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No.__)*</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Definitive Healthcare Corp.</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24477E103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tabs>
          <w:tab w:leader="none" w:pos="50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24477E103</w:t>
      </w:r>
      <w:r>
        <w:rPr>
          <w:sz w:val="20"/>
          <w:szCs w:val="20"/>
          <w:color w:val="auto"/>
        </w:rPr>
        <w:tab/>
      </w:r>
      <w:r>
        <w:rPr>
          <w:rFonts w:ascii="Arial" w:cs="Arial" w:eastAsia="Arial" w:hAnsi="Arial"/>
          <w:sz w:val="17"/>
          <w:szCs w:val="17"/>
          <w:b w:val="1"/>
          <w:bCs w:val="1"/>
          <w:color w:val="auto"/>
        </w:rPr>
        <w:t>SCHEDULE 13G</w:t>
      </w:r>
    </w:p>
    <w:p>
      <w:pPr>
        <w:spacing w:after="0" w:line="270" w:lineRule="exact"/>
        <w:rPr>
          <w:sz w:val="20"/>
          <w:szCs w:val="20"/>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Jason Ronald Krantz</w:t>
      </w:r>
    </w:p>
    <w:p>
      <w:pPr>
        <w:spacing w:after="0" w:line="36"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324"/>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20,657,840 (1)</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20,657,840 (1)</w:t>
            </w:r>
          </w:p>
        </w:tc>
        <w:tc>
          <w:tcPr>
            <w:tcW w:w="0" w:type="dxa"/>
            <w:vAlign w:val="bottom"/>
          </w:tcPr>
          <w:p>
            <w:pPr>
              <w:spacing w:after="0"/>
              <w:rPr>
                <w:sz w:val="1"/>
                <w:szCs w:val="1"/>
                <w:color w:val="auto"/>
              </w:rPr>
            </w:pPr>
          </w:p>
        </w:tc>
      </w:tr>
      <w:tr>
        <w:trPr>
          <w:trHeight w:val="67"/>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44" w:hanging="397"/>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20,657,840 (1)</w:t>
      </w:r>
    </w:p>
    <w:p>
      <w:pPr>
        <w:spacing w:after="0" w:line="36" w:lineRule="exact"/>
        <w:rPr>
          <w:sz w:val="20"/>
          <w:szCs w:val="20"/>
          <w:color w:val="auto"/>
        </w:rPr>
      </w:pPr>
    </w:p>
    <w:p>
      <w:pPr>
        <w:ind w:left="664" w:hanging="507"/>
        <w:spacing w:after="0"/>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17.55%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(i) 206,813 shares of Class A Common Stock, par value $0.001 per share (“Class A Common Stock”) of Definitive Healthcare Corp. (the “Issuer”) that are issuable, at the Reporting Person’s election, upon exchange of an equal number of Limited Liability Company Units of AIDH Topco, LLC (“LLC Units”) held directly by the Reporting Person that are currently vested or that vest within 60 days, and (ii) 20,451,027 shares of Class A Common Stock of the Issuer that are issuable, at the holder’s election, upon exchange of an equal number of LLC Units held by DH Holdings (fka Jason R. Krantz 2009 Trust), of which the Reporting Person is the trustee and beneficiary, that are currently vested or that vest within 60 days.</w:t>
      </w:r>
    </w:p>
    <w:p>
      <w:pPr>
        <w:spacing w:after="0" w:line="1" w:lineRule="exact"/>
        <w:rPr>
          <w:rFonts w:ascii="Arial" w:cs="Arial" w:eastAsia="Arial" w:hAnsi="Arial"/>
          <w:sz w:val="18"/>
          <w:szCs w:val="18"/>
          <w:color w:val="auto"/>
        </w:rPr>
      </w:pPr>
    </w:p>
    <w:p>
      <w:pPr>
        <w:ind w:left="424" w:right="60" w:hanging="424"/>
        <w:spacing w:after="0" w:line="295"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117,687,935 outstanding shares of Class A Common Stock of the Issuer consisting of: (i) 97,030,095 shares of Class A Common Stock outstanding as of November 22, 2021 after giving effect to the offering completed on that date, as reported in the prospectus filed with the U.S. Securities and Exchange Commission on November 17, 2021 pursuant to Rule 424(b) (the “Prospectus”) and (ii) 20,657,840 shares of Class A Common Stock issuable upon exchange of the Reporting Person’s directly and indirectly held vested LLC Units.</w:t>
      </w:r>
    </w:p>
    <w:p>
      <w:pPr>
        <w:spacing w:after="0" w:line="9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0" w:right="5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-198755</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40" w:space="340"/>
            <w:col w:w="9840"/>
          </w:cols>
          <w:pgMar w:left="440" w:top="270" w:right="539" w:bottom="1440" w:gutter="0" w:footer="0" w:header="0"/>
        </w:sectPr>
      </w:pPr>
    </w:p>
    <w:p>
      <w:pPr>
        <w:ind w:left="1100"/>
        <w:spacing w:after="0"/>
        <w:rPr>
          <w:sz w:val="20"/>
          <w:szCs w:val="20"/>
          <w:color w:val="auto"/>
        </w:rPr>
      </w:pPr>
      <w:r>
        <w:rPr>
          <w:rFonts w:ascii="Arial" w:cs="Arial" w:eastAsia="Arial" w:hAnsi="Arial"/>
          <w:sz w:val="16"/>
          <w:szCs w:val="16"/>
          <w:color w:val="auto"/>
        </w:rPr>
        <w:t>Definitive Healthcare Corp.</w:t>
      </w:r>
    </w:p>
    <w:p>
      <w:pPr>
        <w:sectPr>
          <w:pgSz w:w="11900" w:h="16838" w:orient="portrait"/>
          <w:cols w:equalWidth="0" w:num="1">
            <w:col w:w="10920"/>
          </w:cols>
          <w:pgMar w:left="440" w:top="270" w:right="5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144" w:lineRule="exact"/>
        <w:rPr>
          <w:sz w:val="20"/>
          <w:szCs w:val="20"/>
          <w:color w:val="auto"/>
        </w:rPr>
      </w:pPr>
    </w:p>
    <w:p>
      <w:pPr>
        <w:sectPr>
          <w:pgSz w:w="11900" w:h="16838" w:orient="portrait"/>
          <w:cols w:equalWidth="0" w:num="2">
            <w:col w:w="760" w:space="320"/>
            <w:col w:w="9840"/>
          </w:cols>
          <w:pgMar w:left="440" w:top="270" w:right="539" w:bottom="1440" w:gutter="0" w:footer="0" w:header="0"/>
          <w:type w:val="continuous"/>
        </w:sectPr>
      </w:pPr>
    </w:p>
    <w:p>
      <w:pPr>
        <w:ind w:left="1100"/>
        <w:spacing w:after="0"/>
        <w:rPr>
          <w:sz w:val="20"/>
          <w:szCs w:val="20"/>
          <w:color w:val="auto"/>
        </w:rPr>
      </w:pPr>
      <w:r>
        <w:rPr>
          <w:rFonts w:ascii="Arial" w:cs="Arial" w:eastAsia="Arial" w:hAnsi="Arial"/>
          <w:sz w:val="18"/>
          <w:szCs w:val="18"/>
          <w:color w:val="auto"/>
        </w:rPr>
        <w:t>550 Cochituate Rd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Framingham, MA 01701</w:t>
      </w:r>
    </w:p>
    <w:p>
      <w:pPr>
        <w:sectPr>
          <w:pgSz w:w="11900" w:h="16838" w:orient="portrait"/>
          <w:cols w:equalWidth="0" w:num="1">
            <w:col w:w="10920"/>
          </w:cols>
          <w:pgMar w:left="440" w:top="270" w:right="539"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144" w:lineRule="exact"/>
        <w:rPr>
          <w:sz w:val="20"/>
          <w:szCs w:val="20"/>
          <w:color w:val="auto"/>
        </w:rPr>
      </w:pPr>
    </w:p>
    <w:p>
      <w:pPr>
        <w:sectPr>
          <w:pgSz w:w="11900" w:h="16838" w:orient="portrait"/>
          <w:cols w:equalWidth="0" w:num="2">
            <w:col w:w="740" w:space="340"/>
            <w:col w:w="9840"/>
          </w:cols>
          <w:pgMar w:left="440" w:top="270" w:right="5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Jason Ronald Krantz</w:t>
      </w:r>
    </w:p>
    <w:p>
      <w:pPr>
        <w:sectPr>
          <w:pgSz w:w="11900" w:h="16838" w:orient="portrait"/>
          <w:cols w:equalWidth="0" w:num="1">
            <w:col w:w="10920"/>
          </w:cols>
          <w:pgMar w:left="440" w:top="270" w:right="5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155" w:lineRule="exact"/>
        <w:rPr>
          <w:sz w:val="20"/>
          <w:szCs w:val="20"/>
          <w:color w:val="auto"/>
        </w:rPr>
      </w:pPr>
    </w:p>
    <w:p>
      <w:pPr>
        <w:sectPr>
          <w:pgSz w:w="11900" w:h="16838" w:orient="portrait"/>
          <w:cols w:equalWidth="0" w:num="2">
            <w:col w:w="760" w:space="320"/>
            <w:col w:w="9840"/>
          </w:cols>
          <w:pgMar w:left="440" w:top="270" w:right="5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The principal business office of the Reporting Person is:</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550 Cochituate Rd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Framingham, MA 01701</w:t>
      </w:r>
    </w:p>
    <w:p>
      <w:pPr>
        <w:sectPr>
          <w:pgSz w:w="11900" w:h="16838" w:orient="portrait"/>
          <w:cols w:equalWidth="0" w:num="1">
            <w:col w:w="10920"/>
          </w:cols>
          <w:pgMar w:left="440" w:top="270" w:right="53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144" w:lineRule="exact"/>
        <w:rPr>
          <w:sz w:val="20"/>
          <w:szCs w:val="20"/>
          <w:color w:val="auto"/>
        </w:rPr>
      </w:pPr>
    </w:p>
    <w:p>
      <w:pPr>
        <w:sectPr>
          <w:pgSz w:w="11900" w:h="16838" w:orient="portrait"/>
          <w:cols w:equalWidth="0" w:num="2">
            <w:col w:w="740" w:space="340"/>
            <w:col w:w="9840"/>
          </w:cols>
          <w:pgMar w:left="440" w:top="270" w:right="5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United States of America</w:t>
      </w:r>
    </w:p>
    <w:p>
      <w:pPr>
        <w:sectPr>
          <w:pgSz w:w="11900" w:h="16838" w:orient="portrait"/>
          <w:cols w:equalWidth="0" w:num="1">
            <w:col w:w="10920"/>
          </w:cols>
          <w:pgMar w:left="440" w:top="270" w:right="5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144" w:lineRule="exact"/>
        <w:rPr>
          <w:sz w:val="20"/>
          <w:szCs w:val="20"/>
          <w:color w:val="auto"/>
        </w:rPr>
      </w:pPr>
    </w:p>
    <w:p>
      <w:pPr>
        <w:sectPr>
          <w:pgSz w:w="11900" w:h="16838" w:orient="portrait"/>
          <w:cols w:equalWidth="0" w:num="2">
            <w:col w:w="760" w:space="320"/>
            <w:col w:w="9840"/>
          </w:cols>
          <w:pgMar w:left="440" w:top="270" w:right="5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Class A common stock, $0.001 par value per share</w:t>
      </w:r>
    </w:p>
    <w:p>
      <w:pPr>
        <w:sectPr>
          <w:pgSz w:w="11900" w:h="16838" w:orient="portrait"/>
          <w:cols w:equalWidth="0" w:num="1">
            <w:col w:w="10920"/>
          </w:cols>
          <w:pgMar w:left="440" w:top="270" w:right="5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133" w:lineRule="exact"/>
        <w:rPr>
          <w:sz w:val="20"/>
          <w:szCs w:val="20"/>
          <w:color w:val="auto"/>
        </w:rPr>
      </w:pPr>
    </w:p>
    <w:p>
      <w:pPr>
        <w:sectPr>
          <w:pgSz w:w="11900" w:h="16838" w:orient="portrait"/>
          <w:cols w:equalWidth="0" w:num="2">
            <w:col w:w="740" w:space="340"/>
            <w:col w:w="9840"/>
          </w:cols>
          <w:pgMar w:left="440" w:top="270" w:right="5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24477E103</w:t>
      </w:r>
    </w:p>
    <w:p>
      <w:pPr>
        <w:sectPr>
          <w:pgSz w:w="11900" w:h="16838" w:orient="portrait"/>
          <w:cols w:equalWidth="0" w:num="1">
            <w:col w:w="10920"/>
          </w:cols>
          <w:pgMar w:left="440" w:top="270" w:right="5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121" w:lineRule="exact"/>
        <w:rPr>
          <w:sz w:val="20"/>
          <w:szCs w:val="20"/>
          <w:color w:val="auto"/>
        </w:rPr>
      </w:pPr>
    </w:p>
    <w:p>
      <w:pPr>
        <w:sectPr>
          <w:pgSz w:w="11900" w:h="16838" w:orient="portrait"/>
          <w:cols w:equalWidth="0" w:num="2">
            <w:col w:w="540" w:space="540"/>
            <w:col w:w="9840"/>
          </w:cols>
          <w:pgMar w:left="440" w:top="270" w:right="539" w:bottom="1440" w:gutter="0" w:footer="0" w:header="0"/>
          <w:type w:val="continuous"/>
        </w:sectPr>
      </w:pPr>
    </w:p>
    <w:p>
      <w:pPr>
        <w:ind w:left="1100" w:right="40"/>
        <w:spacing w:after="0" w:line="277" w:lineRule="auto"/>
        <w:rPr>
          <w:sz w:val="20"/>
          <w:szCs w:val="20"/>
          <w:color w:val="auto"/>
        </w:rPr>
      </w:pPr>
      <w:r>
        <w:rPr>
          <w:rFonts w:ascii="Arial" w:cs="Arial" w:eastAsia="Arial" w:hAnsi="Arial"/>
          <w:sz w:val="18"/>
          <w:szCs w:val="18"/>
          <w:color w:val="auto"/>
        </w:rPr>
        <w:t>(a)-(c) The responses of the Reporting Person to Rows 5, 6, 7, 8, 9 and 11 in the cover page which relates to the beneficial ownership of the Class A Common Stock of the Issuer, as of December 31, 2021, are incorporated herein by reference.</w:t>
      </w:r>
    </w:p>
    <w:p>
      <w:pPr>
        <w:spacing w:after="0" w:line="62" w:lineRule="exact"/>
        <w:rPr>
          <w:sz w:val="20"/>
          <w:szCs w:val="20"/>
          <w:color w:val="auto"/>
        </w:rPr>
      </w:pPr>
    </w:p>
    <w:p>
      <w:pPr>
        <w:ind w:left="1100"/>
        <w:spacing w:after="0" w:line="273" w:lineRule="auto"/>
        <w:rPr>
          <w:sz w:val="20"/>
          <w:szCs w:val="20"/>
          <w:color w:val="auto"/>
        </w:rPr>
      </w:pPr>
      <w:r>
        <w:rPr>
          <w:rFonts w:ascii="Arial" w:cs="Arial" w:eastAsia="Arial" w:hAnsi="Arial"/>
          <w:sz w:val="17"/>
          <w:szCs w:val="17"/>
          <w:color w:val="auto"/>
        </w:rPr>
        <w:t>As of December 31, 2021, the Reporting Person beneficially owned 20,657,840 shares of Class A Common Stock of the Issuer, issuable upon the Reporting Person’s election to exchange an equal number of LLC Units, which represents approximately 17.55% of the shares of Class A Common Stock outstanding. The percentage ownership is based on 117,687,935 outstanding shares of Class A Common Stock of the Issuer consisting of: (i) 97,030,095 shares of Class A Common Stock outstanding as of November 22, 2021 after giving effect to the offering completed on that date, as reported in the Prospectus and (ii) 20,657,840 shares of Class A Common Stock issuable upon exchange of the Reporting Person’s directly and indirectly held vested LLC Units.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type w:val="continuous"/>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responses of the Reporting Person to Items 2(a) and 4 are incorporated herein by reference.</w:t>
      </w:r>
    </w:p>
    <w:p>
      <w:pPr>
        <w:spacing w:after="0" w:line="370" w:lineRule="exact"/>
        <w:rPr>
          <w:sz w:val="20"/>
          <w:szCs w:val="20"/>
          <w:color w:val="auto"/>
        </w:rPr>
      </w:pPr>
    </w:p>
    <w:p>
      <w:pPr>
        <w:ind w:left="1080" w:right="3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440" w:top="270" w:right="7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Krantz</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
    </w:lvl>
    <w:lvl w:ilvl="1">
      <w:lvlJc w:val="left"/>
      <w:lvlText w:val="%2"/>
      <w:numFmt w:val="decimal"/>
      <w:start w:val="10"/>
    </w:lvl>
  </w:abstractNum>
  <w:abstractNum w:abstractNumId="8">
    <w:nsid w:val="5BD062C2"/>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2022-02-12T03:13:34Z</dcterms:created>
  <dcterms:modified xsi:type="dcterms:W3CDTF">2022-02-12T03:13:34Z</dcterms:modified>
</cp:coreProperties>
</file>