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4"/>
          <w:szCs w:val="24"/>
          <w:color w:val="auto"/>
        </w:rPr>
      </w:pPr>
    </w:p>
    <w:p>
      <w:pPr>
        <w:jc w:val="right"/>
        <w:ind w:right="60"/>
        <w:spacing w:after="0"/>
        <w:rPr>
          <w:sz w:val="20"/>
          <w:szCs w:val="20"/>
          <w:color w:val="auto"/>
        </w:rPr>
      </w:pPr>
      <w:r>
        <w:rPr>
          <w:rFonts w:ascii="Arial" w:cs="Arial" w:eastAsia="Arial" w:hAnsi="Arial"/>
          <w:sz w:val="17"/>
          <w:szCs w:val="17"/>
          <w:b w:val="1"/>
          <w:bCs w:val="1"/>
          <w:color w:val="auto"/>
        </w:rPr>
        <w:t>Filed Pursuant to Rule 424(b)(4)</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333-261083</w:t>
      </w:r>
    </w:p>
    <w:p>
      <w:pPr>
        <w:spacing w:after="0" w:line="12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2566035</wp:posOffset>
            </wp:positionH>
            <wp:positionV relativeFrom="paragraph">
              <wp:posOffset>89535</wp:posOffset>
            </wp:positionV>
            <wp:extent cx="2010410" cy="410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0410" cy="410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459"/>
        <w:spacing w:after="0"/>
        <w:rPr>
          <w:sz w:val="20"/>
          <w:szCs w:val="20"/>
          <w:color w:val="auto"/>
        </w:rPr>
      </w:pPr>
      <w:r>
        <w:rPr>
          <w:rFonts w:ascii="Arial" w:cs="Arial" w:eastAsia="Arial" w:hAnsi="Arial"/>
          <w:sz w:val="24"/>
          <w:szCs w:val="24"/>
          <w:b w:val="1"/>
          <w:bCs w:val="1"/>
          <w:color w:val="auto"/>
        </w:rPr>
        <w:t>11,000,000 Shares</w:t>
      </w:r>
    </w:p>
    <w:p>
      <w:pPr>
        <w:spacing w:after="0" w:line="36" w:lineRule="exact"/>
        <w:rPr>
          <w:sz w:val="24"/>
          <w:szCs w:val="24"/>
          <w:color w:val="auto"/>
        </w:rPr>
      </w:pPr>
    </w:p>
    <w:p>
      <w:pPr>
        <w:jc w:val="center"/>
        <w:ind w:right="-459"/>
        <w:spacing w:after="0"/>
        <w:rPr>
          <w:sz w:val="20"/>
          <w:szCs w:val="20"/>
          <w:color w:val="auto"/>
        </w:rPr>
      </w:pPr>
      <w:r>
        <w:rPr>
          <w:rFonts w:ascii="Arial" w:cs="Arial" w:eastAsia="Arial" w:hAnsi="Arial"/>
          <w:sz w:val="30"/>
          <w:szCs w:val="30"/>
          <w:b w:val="1"/>
          <w:bCs w:val="1"/>
          <w:color w:val="auto"/>
        </w:rPr>
        <w:t>Definitive Healthcare Corp.</w:t>
      </w:r>
    </w:p>
    <w:p>
      <w:pPr>
        <w:spacing w:after="0" w:line="61" w:lineRule="exact"/>
        <w:rPr>
          <w:sz w:val="24"/>
          <w:szCs w:val="24"/>
          <w:color w:val="auto"/>
        </w:rPr>
      </w:pPr>
    </w:p>
    <w:p>
      <w:pPr>
        <w:jc w:val="center"/>
        <w:ind w:right="-459"/>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127635</wp:posOffset>
            </wp:positionV>
            <wp:extent cx="1383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26" w:lineRule="exact"/>
        <w:rPr>
          <w:sz w:val="24"/>
          <w:szCs w:val="24"/>
          <w:color w:val="auto"/>
        </w:rPr>
      </w:pPr>
    </w:p>
    <w:p>
      <w:pPr>
        <w:ind w:left="460" w:right="80" w:firstLine="413"/>
        <w:spacing w:after="0" w:line="256" w:lineRule="auto"/>
        <w:rPr>
          <w:sz w:val="20"/>
          <w:szCs w:val="20"/>
          <w:color w:val="auto"/>
        </w:rPr>
      </w:pPr>
      <w:r>
        <w:rPr>
          <w:rFonts w:ascii="Arial" w:cs="Arial" w:eastAsia="Arial" w:hAnsi="Arial"/>
          <w:sz w:val="16"/>
          <w:szCs w:val="16"/>
          <w:color w:val="auto"/>
        </w:rPr>
        <w:t>We are offering 11,000,000 shares of Class A common stock of Definitive Healthcare Corp. Our Class A common stock is listed on Nasdaq Global Select Market (“Nasdaq”) under the symbol “DH.” On November 17, 2021, the last sale price of our common stock as reported on Nasdaq was $37.64 per share. In this prospectus, unless the context otherwise requires, “Definitive,” the “Company,” “we,” “us” and “our” refer to Definitive Healthcare Corp, Definitive OpCo (as defined herein) and their subsidiaries.</w:t>
      </w:r>
    </w:p>
    <w:p>
      <w:pPr>
        <w:spacing w:after="0" w:line="25" w:lineRule="exact"/>
        <w:rPr>
          <w:sz w:val="24"/>
          <w:szCs w:val="24"/>
          <w:color w:val="auto"/>
        </w:rPr>
      </w:pPr>
    </w:p>
    <w:p>
      <w:pPr>
        <w:ind w:left="460" w:right="60" w:firstLine="413"/>
        <w:spacing w:after="0" w:line="253" w:lineRule="auto"/>
        <w:rPr>
          <w:sz w:val="20"/>
          <w:szCs w:val="20"/>
          <w:color w:val="auto"/>
        </w:rPr>
      </w:pPr>
      <w:r>
        <w:rPr>
          <w:rFonts w:ascii="Arial" w:cs="Arial" w:eastAsia="Arial" w:hAnsi="Arial"/>
          <w:sz w:val="16"/>
          <w:szCs w:val="16"/>
          <w:color w:val="auto"/>
        </w:rPr>
        <w:t>We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“Prospectus Summary—Organizational Structure.”</w:t>
      </w:r>
    </w:p>
    <w:p>
      <w:pPr>
        <w:spacing w:after="0" w:line="27" w:lineRule="exact"/>
        <w:rPr>
          <w:sz w:val="24"/>
          <w:szCs w:val="24"/>
          <w:color w:val="auto"/>
        </w:rPr>
      </w:pPr>
    </w:p>
    <w:p>
      <w:pPr>
        <w:ind w:left="460" w:right="80" w:firstLine="413"/>
        <w:spacing w:after="0" w:line="261" w:lineRule="auto"/>
        <w:rPr>
          <w:sz w:val="20"/>
          <w:szCs w:val="20"/>
          <w:color w:val="auto"/>
        </w:rPr>
      </w:pPr>
      <w:r>
        <w:rPr>
          <w:rFonts w:ascii="Arial" w:cs="Arial" w:eastAsia="Arial" w:hAnsi="Arial"/>
          <w:sz w:val="16"/>
          <w:szCs w:val="16"/>
          <w:color w:val="auto"/>
        </w:rPr>
        <w:t>As a result, certain Unitholders will be able to significantly influence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20" w:lineRule="exact"/>
        <w:rPr>
          <w:sz w:val="24"/>
          <w:szCs w:val="24"/>
          <w:color w:val="auto"/>
        </w:rPr>
      </w:pPr>
    </w:p>
    <w:p>
      <w:pPr>
        <w:ind w:left="460" w:right="20" w:firstLine="413"/>
        <w:spacing w:after="0" w:line="252" w:lineRule="auto"/>
        <w:rPr>
          <w:sz w:val="20"/>
          <w:szCs w:val="20"/>
          <w:color w:val="auto"/>
        </w:rPr>
      </w:pPr>
      <w:r>
        <w:rPr>
          <w:rFonts w:ascii="Arial" w:cs="Arial" w:eastAsia="Arial" w:hAnsi="Arial"/>
          <w:sz w:val="16"/>
          <w:szCs w:val="16"/>
          <w:color w:val="auto"/>
        </w:rPr>
        <w:t>We intend to use the net proceeds from this offering (i) for acquisitions or investments and general corporate purposes, including purchasing 7,000,000 newly issued LLC Units from Definitive OpCo, and (ii) to repurchase an aggregate of 2,233,238 shares of Class A common stock and purchase 1,766,762 LLC Units in Definitive OpCo from existing holders, including our Sponsors, officers, directors and their affiliates, in a “synthetic secondary” transaction, at a price per share of Class A common stock and per LLC Unit in each case, equal to the public offering price of Class A common stock less the underwriting discounts. In the event the underwriters exercise their option to purchase additional shares, we will use the net proceeds to repurchase additional shares of Class A common stock and to purchase additional limited liability interests in Definitive OpCo from existing holders. See “Use of Proceeds” and “Certain Relationships and Related Party Transactions.”</w:t>
      </w:r>
    </w:p>
    <w:p>
      <w:pPr>
        <w:spacing w:after="0" w:line="28" w:lineRule="exact"/>
        <w:rPr>
          <w:sz w:val="24"/>
          <w:szCs w:val="24"/>
          <w:color w:val="auto"/>
        </w:rPr>
      </w:pPr>
    </w:p>
    <w:p>
      <w:pPr>
        <w:ind w:left="460" w:right="600" w:firstLine="413"/>
        <w:spacing w:after="0" w:line="275" w:lineRule="auto"/>
        <w:rPr>
          <w:sz w:val="20"/>
          <w:szCs w:val="20"/>
          <w:color w:val="auto"/>
        </w:rPr>
      </w:pPr>
      <w:r>
        <w:rPr>
          <w:rFonts w:ascii="Arial" w:cs="Arial" w:eastAsia="Arial" w:hAnsi="Arial"/>
          <w:sz w:val="16"/>
          <w:szCs w:val="16"/>
          <w:color w:val="auto"/>
        </w:rPr>
        <w:t>We are an “emerging growth company” as defined under the federal securities laws and, as such, are subject to reduced public company reporting requirements. See “Prospectus Summary—Implications of Being an Emerging Growth Company.”</w:t>
      </w:r>
    </w:p>
    <w:p>
      <w:pPr>
        <w:spacing w:after="0" w:line="5" w:lineRule="exact"/>
        <w:rPr>
          <w:sz w:val="24"/>
          <w:szCs w:val="24"/>
          <w:color w:val="auto"/>
        </w:rPr>
      </w:pPr>
    </w:p>
    <w:p>
      <w:pPr>
        <w:ind w:left="460" w:right="260" w:firstLine="413"/>
        <w:spacing w:after="0" w:line="28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risk. See “</w:t>
      </w:r>
      <w:hyperlink w:anchor="page34">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on page 28 to read about factors you should consider before buying shares of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86995</wp:posOffset>
            </wp:positionV>
            <wp:extent cx="1383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59" w:lineRule="exact"/>
        <w:rPr>
          <w:sz w:val="24"/>
          <w:szCs w:val="24"/>
          <w:color w:val="auto"/>
        </w:rPr>
      </w:pPr>
    </w:p>
    <w:p>
      <w:pPr>
        <w:ind w:left="460" w:right="640" w:firstLine="413"/>
        <w:spacing w:after="0" w:line="309"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tbl>
      <w:tblPr>
        <w:tblLayout w:type="fixed"/>
        <w:tblInd w:w="1700" w:type="dxa"/>
        <w:tblCellMar>
          <w:top w:w="0" w:type="dxa"/>
          <w:left w:w="0" w:type="dxa"/>
          <w:bottom w:w="0" w:type="dxa"/>
          <w:right w:w="0" w:type="dxa"/>
        </w:tblCellMar>
      </w:tblPr>
      <w:tr>
        <w:trPr>
          <w:trHeight w:val="160"/>
        </w:trPr>
        <w:tc>
          <w:tcPr>
            <w:tcW w:w="39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3"/>
                <w:szCs w:val="13"/>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r>
      <w:tr>
        <w:trPr>
          <w:trHeight w:val="183"/>
        </w:trPr>
        <w:tc>
          <w:tcPr>
            <w:tcW w:w="3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Public offering price</w:t>
            </w:r>
          </w:p>
        </w:tc>
        <w:tc>
          <w:tcPr>
            <w:tcW w:w="18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36.00</w:t>
            </w: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7"/>
              </w:rPr>
              <w:t>396,000,000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5"/>
        </w:trPr>
        <w:tc>
          <w:tcPr>
            <w:tcW w:w="394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Underwriting discounts</w:t>
            </w:r>
          </w:p>
        </w:tc>
        <w:tc>
          <w:tcPr>
            <w:tcW w:w="2000" w:type="dxa"/>
            <w:vAlign w:val="bottom"/>
            <w:gridSpan w:val="2"/>
            <w:shd w:val="clear" w:color="auto" w:fill="CCEEFF"/>
          </w:tcPr>
          <w:p>
            <w:pPr>
              <w:ind w:left="1860"/>
              <w:spacing w:after="0" w:line="6" w:lineRule="exact"/>
              <w:rPr>
                <w:sz w:val="20"/>
                <w:szCs w:val="20"/>
                <w:color w:val="auto"/>
              </w:rPr>
            </w:pPr>
            <w:r>
              <w:rPr>
                <w:rFonts w:ascii="Arial" w:cs="Arial" w:eastAsia="Arial" w:hAnsi="Arial"/>
                <w:sz w:val="1"/>
                <w:szCs w:val="1"/>
                <w:color w:val="auto"/>
              </w:rPr>
              <w:t>$</w:t>
            </w:r>
          </w:p>
        </w:tc>
        <w:tc>
          <w:tcPr>
            <w:tcW w:w="940" w:type="dxa"/>
            <w:vAlign w:val="bottom"/>
            <w:gridSpan w:val="2"/>
            <w:shd w:val="clear" w:color="auto" w:fill="CCEEFF"/>
          </w:tcPr>
          <w:p>
            <w:pPr>
              <w:jc w:val="right"/>
              <w:ind w:right="520"/>
              <w:spacing w:after="0" w:line="6" w:lineRule="exact"/>
              <w:rPr>
                <w:sz w:val="20"/>
                <w:szCs w:val="20"/>
                <w:color w:val="auto"/>
              </w:rPr>
            </w:pPr>
            <w:r>
              <w:rPr>
                <w:rFonts w:ascii="Arial" w:cs="Arial" w:eastAsia="Arial" w:hAnsi="Arial"/>
                <w:sz w:val="1"/>
                <w:szCs w:val="1"/>
                <w:color w:val="auto"/>
              </w:rPr>
              <w:t>1.26</w:t>
            </w:r>
          </w:p>
        </w:tc>
        <w:tc>
          <w:tcPr>
            <w:tcW w:w="10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w:t>
            </w:r>
          </w:p>
        </w:tc>
        <w:tc>
          <w:tcPr>
            <w:tcW w:w="80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13,860,000</w:t>
            </w:r>
          </w:p>
        </w:tc>
        <w:tc>
          <w:tcPr>
            <w:tcW w:w="60" w:type="dxa"/>
            <w:vAlign w:val="bottom"/>
            <w:shd w:val="clear" w:color="auto" w:fill="CCEEFF"/>
          </w:tcPr>
          <w:p>
            <w:pPr>
              <w:spacing w:after="0" w:line="20" w:lineRule="exact"/>
              <w:rPr>
                <w:sz w:val="1"/>
                <w:szCs w:val="1"/>
                <w:color w:val="auto"/>
              </w:rPr>
            </w:pPr>
          </w:p>
        </w:tc>
      </w:tr>
      <w:tr>
        <w:trPr>
          <w:trHeight w:val="173"/>
        </w:trPr>
        <w:tc>
          <w:tcPr>
            <w:tcW w:w="3940" w:type="dxa"/>
            <w:vAlign w:val="bottom"/>
          </w:tcPr>
          <w:p>
            <w:pPr>
              <w:jc w:val="right"/>
              <w:ind w:right="2222"/>
              <w:spacing w:after="0"/>
              <w:rPr>
                <w:sz w:val="20"/>
                <w:szCs w:val="20"/>
                <w:color w:val="auto"/>
              </w:rPr>
            </w:pPr>
            <w:r>
              <w:rPr>
                <w:rFonts w:ascii="Arial" w:cs="Arial" w:eastAsia="Arial" w:hAnsi="Arial"/>
                <w:sz w:val="14"/>
                <w:szCs w:val="14"/>
                <w:color w:val="auto"/>
              </w:rPr>
              <w:t>(1)</w:t>
            </w: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2000" w:type="dxa"/>
            <w:vAlign w:val="bottom"/>
            <w:gridSpan w:val="2"/>
            <w:shd w:val="clear" w:color="auto" w:fill="CCEEFF"/>
          </w:tcPr>
          <w:p>
            <w:pPr>
              <w:ind w:left="18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99"/>
              </w:rPr>
              <w:t>34.74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382,140,000</w:t>
            </w:r>
          </w:p>
        </w:tc>
        <w:tc>
          <w:tcPr>
            <w:tcW w:w="6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27" w:lineRule="exact"/>
        <w:rPr>
          <w:sz w:val="24"/>
          <w:szCs w:val="24"/>
          <w:color w:val="auto"/>
        </w:rPr>
      </w:pPr>
    </w:p>
    <w:p>
      <w:pPr>
        <w:ind w:left="860" w:hanging="403"/>
        <w:spacing w:after="0"/>
        <w:tabs>
          <w:tab w:leader="none" w:pos="8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refer you to “Underwriting,” beginning on page 184 of this prospectus, for additional information regarding total underwriter compensation.</w:t>
      </w:r>
    </w:p>
    <w:p>
      <w:pPr>
        <w:spacing w:after="0" w:line="68" w:lineRule="exact"/>
        <w:rPr>
          <w:sz w:val="24"/>
          <w:szCs w:val="24"/>
          <w:color w:val="auto"/>
        </w:rPr>
      </w:pPr>
    </w:p>
    <w:p>
      <w:pPr>
        <w:ind w:left="460" w:right="220" w:firstLine="413"/>
        <w:spacing w:after="0" w:line="275" w:lineRule="auto"/>
        <w:rPr>
          <w:sz w:val="20"/>
          <w:szCs w:val="20"/>
          <w:color w:val="auto"/>
        </w:rPr>
      </w:pPr>
      <w:r>
        <w:rPr>
          <w:rFonts w:ascii="Arial" w:cs="Arial" w:eastAsia="Arial" w:hAnsi="Arial"/>
          <w:sz w:val="16"/>
          <w:szCs w:val="16"/>
          <w:color w:val="auto"/>
        </w:rPr>
        <w:t>The underwriters have an option to purchase up to an additional 1,650,000 shares of Class A common stock from us at the public offering price less the underwriting discounts.</w:t>
      </w:r>
    </w:p>
    <w:p>
      <w:pPr>
        <w:spacing w:after="0" w:line="5"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The underwriters expect to deliver the shares against payment in New York, New York on November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130175</wp:posOffset>
            </wp:positionV>
            <wp:extent cx="1383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ectPr>
          <w:pgSz w:w="11900" w:h="16838" w:orient="portrait"/>
          <w:cols w:equalWidth="0" w:num="1">
            <w:col w:w="10800"/>
          </w:cols>
          <w:pgMar w:left="320" w:top="225" w:right="779" w:bottom="1440" w:gutter="0" w:footer="0" w:header="0"/>
        </w:sectPr>
      </w:pPr>
    </w:p>
    <w:p>
      <w:pPr>
        <w:spacing w:after="0" w:line="298"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Goldman Sachs &amp; Co. LLC*</w:t>
      </w:r>
    </w:p>
    <w:p>
      <w:pPr>
        <w:spacing w:after="0" w:line="40"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J.P. Morgan*</w:t>
      </w:r>
    </w:p>
    <w:p>
      <w:pPr>
        <w:spacing w:after="0" w:line="40"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Barclays</w:t>
      </w:r>
    </w:p>
    <w:p>
      <w:pPr>
        <w:spacing w:after="0" w:line="14" w:lineRule="exact"/>
        <w:rPr>
          <w:sz w:val="24"/>
          <w:szCs w:val="24"/>
          <w:color w:val="auto"/>
        </w:rPr>
      </w:pPr>
    </w:p>
    <w:p>
      <w:pPr>
        <w:sectPr>
          <w:pgSz w:w="11900" w:h="16838" w:orient="portrait"/>
          <w:cols w:equalWidth="0" w:num="2">
            <w:col w:w="8920" w:space="720"/>
            <w:col w:w="1160"/>
          </w:cols>
          <w:pgMar w:left="320" w:top="225" w:right="77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Credit Suisse</w:t>
      </w:r>
    </w:p>
    <w:p>
      <w:pPr>
        <w:spacing w:after="0" w:line="5" w:lineRule="exact"/>
        <w:rPr>
          <w:sz w:val="24"/>
          <w:szCs w:val="24"/>
          <w:color w:val="auto"/>
        </w:rPr>
      </w:pPr>
    </w:p>
    <w:p>
      <w:pPr>
        <w:ind w:left="460"/>
        <w:spacing w:after="0"/>
        <w:rPr>
          <w:sz w:val="20"/>
          <w:szCs w:val="20"/>
          <w:color w:val="auto"/>
        </w:rPr>
      </w:pPr>
      <w:r>
        <w:rPr>
          <w:rFonts w:ascii="Arial" w:cs="Arial" w:eastAsia="Arial" w:hAnsi="Arial"/>
          <w:sz w:val="13"/>
          <w:szCs w:val="13"/>
          <w:b w:val="1"/>
          <w:bCs w:val="1"/>
          <w:color w:val="auto"/>
        </w:rPr>
        <w:t>Canaccord Genuity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110490</wp:posOffset>
            </wp:positionV>
            <wp:extent cx="723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Raymond James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Stifel</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Drexel Hamilton</w:t>
      </w:r>
    </w:p>
    <w:p>
      <w:pPr>
        <w:spacing w:after="0" w:line="20" w:lineRule="exact"/>
        <w:rPr>
          <w:sz w:val="24"/>
          <w:szCs w:val="24"/>
          <w:color w:val="auto"/>
        </w:rPr>
      </w:pPr>
      <w:r>
        <w:rPr>
          <w:sz w:val="24"/>
          <w:szCs w:val="24"/>
          <w:color w:val="auto"/>
        </w:rPr>
        <w:br w:type="column"/>
      </w:r>
    </w:p>
    <w:p>
      <w:pPr>
        <w:jc w:val="right"/>
        <w:ind w:right="180"/>
        <w:spacing w:after="0" w:line="350" w:lineRule="auto"/>
        <w:rPr>
          <w:sz w:val="20"/>
          <w:szCs w:val="20"/>
          <w:color w:val="auto"/>
        </w:rPr>
      </w:pPr>
      <w:r>
        <w:rPr>
          <w:rFonts w:ascii="Arial" w:cs="Arial" w:eastAsia="Arial" w:hAnsi="Arial"/>
          <w:sz w:val="13"/>
          <w:szCs w:val="13"/>
          <w:b w:val="1"/>
          <w:bCs w:val="1"/>
          <w:color w:val="auto"/>
        </w:rPr>
        <w:t>Deutsche Bank Securities Loop Capital Markets</w:t>
      </w:r>
    </w:p>
    <w:p>
      <w:pPr>
        <w:spacing w:after="0" w:line="98" w:lineRule="exact"/>
        <w:rPr>
          <w:sz w:val="24"/>
          <w:szCs w:val="24"/>
          <w:color w:val="auto"/>
        </w:rPr>
      </w:pPr>
    </w:p>
    <w:p>
      <w:pPr>
        <w:sectPr>
          <w:pgSz w:w="11900" w:h="16838" w:orient="portrait"/>
          <w:cols w:equalWidth="0" w:num="5">
            <w:col w:w="3440" w:space="720"/>
            <w:col w:w="1080" w:space="700"/>
            <w:col w:w="340" w:space="560"/>
            <w:col w:w="1400" w:space="720"/>
            <w:col w:w="1840"/>
          </w:cols>
          <w:pgMar w:left="320" w:top="225" w:right="7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 In alphabetical order.</w:t>
      </w:r>
    </w:p>
    <w:p>
      <w:pPr>
        <w:spacing w:after="0" w:line="20" w:lineRule="exact"/>
        <w:rPr>
          <w:sz w:val="24"/>
          <w:szCs w:val="24"/>
          <w:color w:val="auto"/>
        </w:rPr>
      </w:pPr>
    </w:p>
    <w:p>
      <w:pPr>
        <w:ind w:left="4020"/>
        <w:spacing w:after="0"/>
        <w:rPr>
          <w:sz w:val="20"/>
          <w:szCs w:val="20"/>
          <w:color w:val="auto"/>
        </w:rPr>
      </w:pPr>
      <w:r>
        <w:rPr>
          <w:rFonts w:ascii="Arial" w:cs="Arial" w:eastAsia="Arial" w:hAnsi="Arial"/>
          <w:sz w:val="14"/>
          <w:szCs w:val="14"/>
          <w:color w:val="auto"/>
        </w:rPr>
        <w:t>The date of this prospectus is November 17, 2021</w:t>
      </w:r>
    </w:p>
    <w:p>
      <w:pPr>
        <w:sectPr>
          <w:pgSz w:w="11900" w:h="16838" w:orient="portrait"/>
          <w:cols w:equalWidth="0" w:num="1">
            <w:col w:w="10800"/>
          </w:cols>
          <w:pgMar w:left="320" w:top="225" w:right="77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TABLE OF CONTENTS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1960" w:type="dxa"/>
            <w:vAlign w:val="bottom"/>
            <w:gridSpan w:val="11"/>
            <w:vMerge w:val="restart"/>
          </w:tcPr>
          <w:p>
            <w:pPr>
              <w:spacing w:after="0"/>
              <w:rPr>
                <w:rFonts w:ascii="Arial" w:cs="Arial" w:eastAsia="Arial" w:hAnsi="Arial"/>
                <w:sz w:val="17"/>
                <w:szCs w:val="17"/>
                <w:color w:val="0000EE"/>
                <w:w w:val="92"/>
              </w:rPr>
            </w:pPr>
            <w:hyperlink w:anchor="page7">
              <w:r>
                <w:rPr>
                  <w:rFonts w:ascii="Arial" w:cs="Arial" w:eastAsia="Arial" w:hAnsi="Arial"/>
                  <w:sz w:val="17"/>
                  <w:szCs w:val="17"/>
                  <w:color w:val="0000EE"/>
                  <w:w w:val="92"/>
                </w:rPr>
                <w:t>PROSPECTUS SUMMARY</w:t>
              </w:r>
            </w:hyperlink>
          </w:p>
        </w:tc>
        <w:tc>
          <w:tcPr>
            <w:tcW w:w="8020" w:type="dxa"/>
            <w:vAlign w:val="bottom"/>
            <w:gridSpan w:val="15"/>
            <w:vMerge w:val="restart"/>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0000EE"/>
            </w:tcBorders>
            <w:gridSpan w:val="11"/>
            <w:vMerge w:val="continue"/>
          </w:tcPr>
          <w:p>
            <w:pPr>
              <w:spacing w:after="0"/>
              <w:rPr>
                <w:sz w:val="13"/>
                <w:szCs w:val="13"/>
                <w:color w:val="auto"/>
              </w:rPr>
            </w:pPr>
          </w:p>
        </w:tc>
        <w:tc>
          <w:tcPr>
            <w:tcW w:w="8020" w:type="dxa"/>
            <w:vAlign w:val="bottom"/>
            <w:gridSpan w:val="15"/>
            <w:vMerge w:val="continue"/>
          </w:tcPr>
          <w:p>
            <w:pPr>
              <w:spacing w:after="0"/>
              <w:rPr>
                <w:sz w:val="13"/>
                <w:szCs w:val="13"/>
                <w:color w:val="auto"/>
              </w:rPr>
            </w:pPr>
          </w:p>
        </w:tc>
        <w:tc>
          <w:tcPr>
            <w:tcW w:w="30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20" w:type="dxa"/>
            <w:vAlign w:val="bottom"/>
            <w:tcBorders>
              <w:bottom w:val="single" w:sz="8" w:color="0000EE"/>
            </w:tcBorders>
            <w:gridSpan w:val="13"/>
          </w:tcPr>
          <w:p>
            <w:pPr>
              <w:spacing w:after="0" w:line="183" w:lineRule="exact"/>
              <w:rPr>
                <w:rFonts w:ascii="Arial" w:cs="Arial" w:eastAsia="Arial" w:hAnsi="Arial"/>
                <w:sz w:val="17"/>
                <w:szCs w:val="17"/>
                <w:color w:val="0000EE"/>
                <w:w w:val="96"/>
              </w:rPr>
            </w:pPr>
            <w:hyperlink w:anchor="page14">
              <w:r>
                <w:rPr>
                  <w:rFonts w:ascii="Arial" w:cs="Arial" w:eastAsia="Arial" w:hAnsi="Arial"/>
                  <w:sz w:val="17"/>
                  <w:szCs w:val="17"/>
                  <w:color w:val="0000EE"/>
                  <w:w w:val="96"/>
                </w:rPr>
                <w:t>ORGANIZATIONAL STRUCTURE</w:t>
              </w:r>
            </w:hyperlink>
          </w:p>
        </w:tc>
        <w:tc>
          <w:tcPr>
            <w:tcW w:w="7460" w:type="dxa"/>
            <w:vAlign w:val="bottom"/>
            <w:gridSpan w:val="13"/>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3"/>
        </w:trPr>
        <w:tc>
          <w:tcPr>
            <w:tcW w:w="1200" w:type="dxa"/>
            <w:vAlign w:val="bottom"/>
            <w:tcBorders>
              <w:bottom w:val="single" w:sz="8" w:color="0000EE"/>
            </w:tcBorders>
            <w:gridSpan w:val="4"/>
          </w:tcPr>
          <w:p>
            <w:pPr>
              <w:spacing w:after="0" w:line="183" w:lineRule="exact"/>
              <w:rPr>
                <w:rFonts w:ascii="Arial" w:cs="Arial" w:eastAsia="Arial" w:hAnsi="Arial"/>
                <w:sz w:val="17"/>
                <w:szCs w:val="17"/>
                <w:color w:val="0000EE"/>
                <w:w w:val="93"/>
              </w:rPr>
            </w:pPr>
            <w:hyperlink w:anchor="page23">
              <w:r>
                <w:rPr>
                  <w:rFonts w:ascii="Arial" w:cs="Arial" w:eastAsia="Arial" w:hAnsi="Arial"/>
                  <w:sz w:val="17"/>
                  <w:szCs w:val="17"/>
                  <w:color w:val="0000EE"/>
                  <w:w w:val="93"/>
                </w:rPr>
                <w:t>THE OFFERING</w:t>
              </w:r>
            </w:hyperlink>
          </w:p>
        </w:tc>
        <w:tc>
          <w:tcPr>
            <w:tcW w:w="8780" w:type="dxa"/>
            <w:vAlign w:val="bottom"/>
            <w:gridSpan w:val="22"/>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3"/>
        </w:trPr>
        <w:tc>
          <w:tcPr>
            <w:tcW w:w="7100" w:type="dxa"/>
            <w:vAlign w:val="bottom"/>
            <w:tcBorders>
              <w:bottom w:val="single" w:sz="8" w:color="0000EE"/>
            </w:tcBorders>
            <w:gridSpan w:val="24"/>
          </w:tcPr>
          <w:p>
            <w:pPr>
              <w:spacing w:after="0" w:line="183" w:lineRule="exact"/>
              <w:rPr>
                <w:rFonts w:ascii="Arial" w:cs="Arial" w:eastAsia="Arial" w:hAnsi="Arial"/>
                <w:sz w:val="17"/>
                <w:szCs w:val="17"/>
                <w:color w:val="0000EE"/>
                <w:w w:val="97"/>
              </w:rPr>
            </w:pPr>
            <w:hyperlink w:anchor="page27">
              <w:r>
                <w:rPr>
                  <w:rFonts w:ascii="Arial" w:cs="Arial" w:eastAsia="Arial" w:hAnsi="Arial"/>
                  <w:sz w:val="17"/>
                  <w:szCs w:val="17"/>
                  <w:color w:val="0000EE"/>
                  <w:w w:val="97"/>
                </w:rPr>
                <w:t>SUMMARY HISTORICAL AND PRO FORMA CONSOLIDATED FINANCIAL AND OTHER DATA</w:t>
              </w:r>
            </w:hyperlink>
          </w:p>
        </w:tc>
        <w:tc>
          <w:tcPr>
            <w:tcW w:w="2880" w:type="dxa"/>
            <w:vAlign w:val="bottom"/>
            <w:gridSpan w:val="2"/>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34">
              <w:r>
                <w:rPr>
                  <w:rFonts w:ascii="Arial" w:cs="Arial" w:eastAsia="Arial" w:hAnsi="Arial"/>
                  <w:sz w:val="17"/>
                  <w:szCs w:val="17"/>
                  <w:color w:val="0000EE"/>
                </w:rPr>
                <w:t>RISK FACTORS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73">
              <w:r>
                <w:rPr>
                  <w:rFonts w:ascii="Arial" w:cs="Arial" w:eastAsia="Arial" w:hAnsi="Arial"/>
                  <w:sz w:val="17"/>
                  <w:szCs w:val="17"/>
                  <w:color w:val="0000EE"/>
                </w:rPr>
                <w:t>CAUTIONARY NOTE REGARDING FORWARD-LOOKING STATEMENTS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3"/>
        </w:trPr>
        <w:tc>
          <w:tcPr>
            <w:tcW w:w="1500" w:type="dxa"/>
            <w:vAlign w:val="bottom"/>
            <w:tcBorders>
              <w:top w:val="single" w:sz="8" w:color="0000EE"/>
              <w:bottom w:val="single" w:sz="8" w:color="0000EE"/>
            </w:tcBorders>
            <w:gridSpan w:val="10"/>
          </w:tcPr>
          <w:p>
            <w:pPr>
              <w:spacing w:after="0" w:line="183" w:lineRule="exact"/>
              <w:rPr>
                <w:rFonts w:ascii="Arial" w:cs="Arial" w:eastAsia="Arial" w:hAnsi="Arial"/>
                <w:sz w:val="17"/>
                <w:szCs w:val="17"/>
                <w:color w:val="0000EE"/>
                <w:w w:val="90"/>
              </w:rPr>
            </w:pPr>
            <w:hyperlink w:anchor="page75">
              <w:r>
                <w:rPr>
                  <w:rFonts w:ascii="Arial" w:cs="Arial" w:eastAsia="Arial" w:hAnsi="Arial"/>
                  <w:sz w:val="17"/>
                  <w:szCs w:val="17"/>
                  <w:color w:val="0000EE"/>
                  <w:w w:val="90"/>
                </w:rPr>
                <w:t>USE OF PROCEEDS</w:t>
              </w:r>
            </w:hyperlink>
          </w:p>
        </w:tc>
        <w:tc>
          <w:tcPr>
            <w:tcW w:w="3920" w:type="dxa"/>
            <w:vAlign w:val="bottom"/>
            <w:tcBorders>
              <w:top w:val="single" w:sz="8" w:color="0000EE"/>
            </w:tcBorders>
            <w:gridSpan w:val="11"/>
          </w:tcPr>
          <w:p>
            <w:pPr>
              <w:spacing w:after="0"/>
              <w:rPr>
                <w:sz w:val="15"/>
                <w:szCs w:val="15"/>
                <w:color w:val="auto"/>
              </w:rPr>
            </w:pPr>
          </w:p>
        </w:tc>
        <w:tc>
          <w:tcPr>
            <w:tcW w:w="4560" w:type="dxa"/>
            <w:vAlign w:val="bottom"/>
            <w:gridSpan w:val="5"/>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0000EE"/>
            </w:tcBorders>
            <w:gridSpan w:val="9"/>
          </w:tcPr>
          <w:p>
            <w:pPr>
              <w:spacing w:after="0" w:line="183" w:lineRule="exact"/>
              <w:rPr>
                <w:rFonts w:ascii="Arial" w:cs="Arial" w:eastAsia="Arial" w:hAnsi="Arial"/>
                <w:sz w:val="17"/>
                <w:szCs w:val="17"/>
                <w:color w:val="0000EE"/>
                <w:w w:val="98"/>
              </w:rPr>
            </w:pPr>
            <w:hyperlink w:anchor="page76">
              <w:r>
                <w:rPr>
                  <w:rFonts w:ascii="Arial" w:cs="Arial" w:eastAsia="Arial" w:hAnsi="Arial"/>
                  <w:sz w:val="17"/>
                  <w:szCs w:val="17"/>
                  <w:color w:val="0000EE"/>
                  <w:w w:val="98"/>
                </w:rPr>
                <w:t>DIVIDEND POLICY</w:t>
              </w:r>
            </w:hyperlink>
          </w:p>
        </w:tc>
        <w:tc>
          <w:tcPr>
            <w:tcW w:w="8500" w:type="dxa"/>
            <w:vAlign w:val="bottom"/>
            <w:gridSpan w:val="17"/>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83"/>
        </w:trPr>
        <w:tc>
          <w:tcPr>
            <w:tcW w:w="1380" w:type="dxa"/>
            <w:vAlign w:val="bottom"/>
            <w:tcBorders>
              <w:bottom w:val="single" w:sz="8" w:color="0000EE"/>
            </w:tcBorders>
            <w:gridSpan w:val="8"/>
          </w:tcPr>
          <w:p>
            <w:pPr>
              <w:spacing w:after="0" w:line="183" w:lineRule="exact"/>
              <w:rPr>
                <w:rFonts w:ascii="Arial" w:cs="Arial" w:eastAsia="Arial" w:hAnsi="Arial"/>
                <w:sz w:val="17"/>
                <w:szCs w:val="17"/>
                <w:color w:val="0000EE"/>
                <w:w w:val="98"/>
              </w:rPr>
            </w:pPr>
            <w:hyperlink w:anchor="page77">
              <w:r>
                <w:rPr>
                  <w:rFonts w:ascii="Arial" w:cs="Arial" w:eastAsia="Arial" w:hAnsi="Arial"/>
                  <w:sz w:val="17"/>
                  <w:szCs w:val="17"/>
                  <w:color w:val="0000EE"/>
                  <w:w w:val="98"/>
                </w:rPr>
                <w:t>CAPITALIZATION</w:t>
              </w:r>
            </w:hyperlink>
          </w:p>
        </w:tc>
        <w:tc>
          <w:tcPr>
            <w:tcW w:w="8600" w:type="dxa"/>
            <w:vAlign w:val="bottom"/>
            <w:gridSpan w:val="18"/>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78">
              <w:r>
                <w:rPr>
                  <w:rFonts w:ascii="Arial" w:cs="Arial" w:eastAsia="Arial" w:hAnsi="Arial"/>
                  <w:sz w:val="17"/>
                  <w:szCs w:val="17"/>
                  <w:color w:val="0000EE"/>
                </w:rPr>
                <w:t>UNAUDITED PRO FORMA CONSOLIDATED FINANCIAL INFORMATION</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0000EE"/>
            </w:tcBorders>
            <w:gridSpan w:val="25"/>
          </w:tcPr>
          <w:p>
            <w:pPr>
              <w:spacing w:after="0" w:line="183" w:lineRule="exact"/>
              <w:rPr>
                <w:rFonts w:ascii="Arial" w:cs="Arial" w:eastAsia="Arial" w:hAnsi="Arial"/>
                <w:sz w:val="17"/>
                <w:szCs w:val="17"/>
                <w:color w:val="0000EE"/>
                <w:w w:val="96"/>
              </w:rPr>
            </w:pPr>
            <w:hyperlink w:anchor="page84">
              <w:r>
                <w:rPr>
                  <w:rFonts w:ascii="Arial" w:cs="Arial" w:eastAsia="Arial" w:hAnsi="Arial"/>
                  <w:sz w:val="17"/>
                  <w:szCs w:val="17"/>
                  <w:color w:val="0000EE"/>
                  <w:w w:val="96"/>
                </w:rPr>
                <w:t>MANAGEMENT’S DISCUSSION AND ANALYSIS OF FINANCIAL CONDITION AND RESULTS OF OPERATIONS</w:t>
              </w:r>
            </w:hyperlink>
          </w:p>
        </w:tc>
        <w:tc>
          <w:tcPr>
            <w:tcW w:w="1620" w:type="dxa"/>
            <w:vAlign w:val="bottom"/>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83"/>
        </w:trPr>
        <w:tc>
          <w:tcPr>
            <w:tcW w:w="800" w:type="dxa"/>
            <w:vAlign w:val="bottom"/>
            <w:tcBorders>
              <w:bottom w:val="single" w:sz="8" w:color="0000EE"/>
            </w:tcBorders>
            <w:gridSpan w:val="2"/>
          </w:tcPr>
          <w:p>
            <w:pPr>
              <w:spacing w:after="0" w:line="183" w:lineRule="exact"/>
              <w:rPr>
                <w:rFonts w:ascii="Arial" w:cs="Arial" w:eastAsia="Arial" w:hAnsi="Arial"/>
                <w:sz w:val="17"/>
                <w:szCs w:val="17"/>
                <w:color w:val="0000EE"/>
                <w:w w:val="90"/>
              </w:rPr>
            </w:pPr>
            <w:hyperlink w:anchor="page115">
              <w:r>
                <w:rPr>
                  <w:rFonts w:ascii="Arial" w:cs="Arial" w:eastAsia="Arial" w:hAnsi="Arial"/>
                  <w:sz w:val="17"/>
                  <w:szCs w:val="17"/>
                  <w:color w:val="0000EE"/>
                  <w:w w:val="90"/>
                </w:rPr>
                <w:t>BUSINESS</w:t>
              </w:r>
            </w:hyperlink>
          </w:p>
        </w:tc>
        <w:tc>
          <w:tcPr>
            <w:tcW w:w="9180" w:type="dxa"/>
            <w:vAlign w:val="bottom"/>
            <w:gridSpan w:val="24"/>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109</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0000EE"/>
            </w:tcBorders>
            <w:gridSpan w:val="5"/>
          </w:tcPr>
          <w:p>
            <w:pPr>
              <w:spacing w:after="0" w:line="183" w:lineRule="exact"/>
              <w:rPr>
                <w:rFonts w:ascii="Arial" w:cs="Arial" w:eastAsia="Arial" w:hAnsi="Arial"/>
                <w:sz w:val="17"/>
                <w:szCs w:val="17"/>
                <w:color w:val="0000EE"/>
                <w:w w:val="98"/>
              </w:rPr>
            </w:pPr>
            <w:hyperlink w:anchor="page135">
              <w:r>
                <w:rPr>
                  <w:rFonts w:ascii="Arial" w:cs="Arial" w:eastAsia="Arial" w:hAnsi="Arial"/>
                  <w:sz w:val="17"/>
                  <w:szCs w:val="17"/>
                  <w:color w:val="0000EE"/>
                  <w:w w:val="98"/>
                </w:rPr>
                <w:t>MANAGEMENT</w:t>
              </w:r>
            </w:hyperlink>
          </w:p>
        </w:tc>
        <w:tc>
          <w:tcPr>
            <w:tcW w:w="8760" w:type="dxa"/>
            <w:vAlign w:val="bottom"/>
            <w:gridSpan w:val="21"/>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129</w:t>
            </w:r>
          </w:p>
        </w:tc>
        <w:tc>
          <w:tcPr>
            <w:tcW w:w="0" w:type="dxa"/>
            <w:vAlign w:val="bottom"/>
          </w:tcPr>
          <w:p>
            <w:pPr>
              <w:spacing w:after="0"/>
              <w:rPr>
                <w:sz w:val="1"/>
                <w:szCs w:val="1"/>
                <w:color w:val="auto"/>
              </w:rPr>
            </w:pPr>
          </w:p>
        </w:tc>
      </w:tr>
      <w:tr>
        <w:trPr>
          <w:trHeight w:val="183"/>
        </w:trPr>
        <w:tc>
          <w:tcPr>
            <w:tcW w:w="3600" w:type="dxa"/>
            <w:vAlign w:val="bottom"/>
            <w:tcBorders>
              <w:bottom w:val="single" w:sz="8" w:color="0000EE"/>
            </w:tcBorders>
            <w:gridSpan w:val="19"/>
          </w:tcPr>
          <w:p>
            <w:pPr>
              <w:spacing w:after="0" w:line="183" w:lineRule="exact"/>
              <w:rPr>
                <w:rFonts w:ascii="Arial" w:cs="Arial" w:eastAsia="Arial" w:hAnsi="Arial"/>
                <w:sz w:val="17"/>
                <w:szCs w:val="17"/>
                <w:color w:val="0000EE"/>
                <w:w w:val="95"/>
              </w:rPr>
            </w:pPr>
            <w:hyperlink w:anchor="page143">
              <w:r>
                <w:rPr>
                  <w:rFonts w:ascii="Arial" w:cs="Arial" w:eastAsia="Arial" w:hAnsi="Arial"/>
                  <w:sz w:val="17"/>
                  <w:szCs w:val="17"/>
                  <w:color w:val="0000EE"/>
                  <w:w w:val="95"/>
                </w:rPr>
                <w:t>EXECUTIVE AND DIRECTOR COMPENSATION</w:t>
              </w:r>
            </w:hyperlink>
          </w:p>
        </w:tc>
        <w:tc>
          <w:tcPr>
            <w:tcW w:w="6380" w:type="dxa"/>
            <w:vAlign w:val="bottom"/>
            <w:gridSpan w:val="7"/>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137</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164">
              <w:r>
                <w:rPr>
                  <w:rFonts w:ascii="Arial" w:cs="Arial" w:eastAsia="Arial" w:hAnsi="Arial"/>
                  <w:sz w:val="17"/>
                  <w:szCs w:val="17"/>
                  <w:color w:val="0000EE"/>
                </w:rPr>
                <w:t>PRINCIPAL STOCKHOLDERS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158</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168">
              <w:r>
                <w:rPr>
                  <w:rFonts w:ascii="Arial" w:cs="Arial" w:eastAsia="Arial" w:hAnsi="Arial"/>
                  <w:sz w:val="17"/>
                  <w:szCs w:val="17"/>
                  <w:color w:val="0000EE"/>
                </w:rPr>
                <w:t>CERTAIN RELATIONSHIPS AND RELATED PARTY TRANSACTIONS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162</w:t>
            </w:r>
          </w:p>
        </w:tc>
        <w:tc>
          <w:tcPr>
            <w:tcW w:w="0" w:type="dxa"/>
            <w:vAlign w:val="bottom"/>
          </w:tcPr>
          <w:p>
            <w:pPr>
              <w:spacing w:after="0"/>
              <w:rPr>
                <w:sz w:val="1"/>
                <w:szCs w:val="1"/>
                <w:color w:val="auto"/>
              </w:rPr>
            </w:pPr>
          </w:p>
        </w:tc>
      </w:tr>
      <w:tr>
        <w:trPr>
          <w:trHeight w:val="183"/>
        </w:trPr>
        <w:tc>
          <w:tcPr>
            <w:tcW w:w="5120" w:type="dxa"/>
            <w:vAlign w:val="bottom"/>
            <w:tcBorders>
              <w:top w:val="single" w:sz="8" w:color="0000EE"/>
            </w:tcBorders>
            <w:gridSpan w:val="20"/>
          </w:tcPr>
          <w:p>
            <w:pPr>
              <w:spacing w:after="0" w:line="183" w:lineRule="exact"/>
              <w:rPr>
                <w:rFonts w:ascii="Arial" w:cs="Arial" w:eastAsia="Arial" w:hAnsi="Arial"/>
                <w:sz w:val="17"/>
                <w:szCs w:val="17"/>
                <w:color w:val="0000EE"/>
              </w:rPr>
            </w:pPr>
            <w:hyperlink w:anchor="page174">
              <w:r>
                <w:rPr>
                  <w:rFonts w:ascii="Arial" w:cs="Arial" w:eastAsia="Arial" w:hAnsi="Arial"/>
                  <w:sz w:val="17"/>
                  <w:szCs w:val="17"/>
                  <w:color w:val="0000EE"/>
                </w:rPr>
                <w:t>DESCRIPTION OF MATERIAL INDEBTEDNESS</w:t>
              </w:r>
            </w:hyperlink>
          </w:p>
        </w:tc>
        <w:tc>
          <w:tcPr>
            <w:tcW w:w="4860" w:type="dxa"/>
            <w:vAlign w:val="bottom"/>
            <w:gridSpan w:val="6"/>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168</w:t>
            </w:r>
          </w:p>
        </w:tc>
        <w:tc>
          <w:tcPr>
            <w:tcW w:w="0" w:type="dxa"/>
            <w:vAlign w:val="bottom"/>
          </w:tcPr>
          <w:p>
            <w:pPr>
              <w:spacing w:after="0"/>
              <w:rPr>
                <w:sz w:val="1"/>
                <w:szCs w:val="1"/>
                <w:color w:val="auto"/>
              </w:rPr>
            </w:pPr>
          </w:p>
        </w:tc>
      </w:tr>
      <w:tr>
        <w:trPr>
          <w:trHeight w:val="183"/>
        </w:trPr>
        <w:tc>
          <w:tcPr>
            <w:tcW w:w="3540" w:type="dxa"/>
            <w:vAlign w:val="bottom"/>
            <w:tcBorders>
              <w:top w:val="single" w:sz="8" w:color="0000EE"/>
            </w:tcBorders>
            <w:gridSpan w:val="17"/>
          </w:tcPr>
          <w:p>
            <w:pPr>
              <w:spacing w:after="0" w:line="183" w:lineRule="exact"/>
              <w:rPr>
                <w:rFonts w:ascii="Arial" w:cs="Arial" w:eastAsia="Arial" w:hAnsi="Arial"/>
                <w:sz w:val="17"/>
                <w:szCs w:val="17"/>
                <w:color w:val="0000EE"/>
              </w:rPr>
            </w:pPr>
            <w:hyperlink w:anchor="page178">
              <w:r>
                <w:rPr>
                  <w:rFonts w:ascii="Arial" w:cs="Arial" w:eastAsia="Arial" w:hAnsi="Arial"/>
                  <w:sz w:val="17"/>
                  <w:szCs w:val="17"/>
                  <w:color w:val="0000EE"/>
                </w:rPr>
                <w:t>DESCRIPTION OF CAPITAL STOCK</w:t>
              </w:r>
            </w:hyperlink>
          </w:p>
        </w:tc>
        <w:tc>
          <w:tcPr>
            <w:tcW w:w="6440" w:type="dxa"/>
            <w:vAlign w:val="bottom"/>
            <w:gridSpan w:val="9"/>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172</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tcBorders>
              <w:bottom w:val="single" w:sz="8" w:color="0000EE"/>
            </w:tcBorders>
            <w:gridSpan w:val="16"/>
          </w:tcPr>
          <w:p>
            <w:pPr>
              <w:spacing w:after="0" w:line="183" w:lineRule="exact"/>
              <w:rPr>
                <w:rFonts w:ascii="Arial" w:cs="Arial" w:eastAsia="Arial" w:hAnsi="Arial"/>
                <w:sz w:val="17"/>
                <w:szCs w:val="17"/>
                <w:color w:val="0000EE"/>
                <w:w w:val="94"/>
              </w:rPr>
            </w:pPr>
            <w:hyperlink w:anchor="page185">
              <w:r>
                <w:rPr>
                  <w:rFonts w:ascii="Arial" w:cs="Arial" w:eastAsia="Arial" w:hAnsi="Arial"/>
                  <w:sz w:val="17"/>
                  <w:szCs w:val="17"/>
                  <w:color w:val="0000EE"/>
                  <w:w w:val="94"/>
                </w:rPr>
                <w:t>SHARES ELIGIBLE FOR FUTURE SALE</w:t>
              </w:r>
            </w:hyperlink>
          </w:p>
        </w:tc>
        <w:tc>
          <w:tcPr>
            <w:tcW w:w="7000" w:type="dxa"/>
            <w:vAlign w:val="bottom"/>
            <w:gridSpan w:val="10"/>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179</w:t>
            </w:r>
          </w:p>
        </w:tc>
        <w:tc>
          <w:tcPr>
            <w:tcW w:w="0" w:type="dxa"/>
            <w:vAlign w:val="bottom"/>
          </w:tcPr>
          <w:p>
            <w:pPr>
              <w:spacing w:after="0"/>
              <w:rPr>
                <w:sz w:val="1"/>
                <w:szCs w:val="1"/>
                <w:color w:val="auto"/>
              </w:rPr>
            </w:pPr>
          </w:p>
        </w:tc>
      </w:tr>
      <w:tr>
        <w:trPr>
          <w:trHeight w:val="183"/>
        </w:trPr>
        <w:tc>
          <w:tcPr>
            <w:tcW w:w="6520" w:type="dxa"/>
            <w:vAlign w:val="bottom"/>
            <w:tcBorders>
              <w:bottom w:val="single" w:sz="8" w:color="0000EE"/>
            </w:tcBorders>
            <w:gridSpan w:val="23"/>
          </w:tcPr>
          <w:p>
            <w:pPr>
              <w:spacing w:after="0" w:line="183" w:lineRule="exact"/>
              <w:rPr>
                <w:rFonts w:ascii="Arial" w:cs="Arial" w:eastAsia="Arial" w:hAnsi="Arial"/>
                <w:sz w:val="17"/>
                <w:szCs w:val="17"/>
                <w:color w:val="0000EE"/>
                <w:w w:val="95"/>
              </w:rPr>
            </w:pPr>
            <w:hyperlink w:anchor="page188">
              <w:r>
                <w:rPr>
                  <w:rFonts w:ascii="Arial" w:cs="Arial" w:eastAsia="Arial" w:hAnsi="Arial"/>
                  <w:sz w:val="17"/>
                  <w:szCs w:val="17"/>
                  <w:color w:val="0000EE"/>
                  <w:w w:val="95"/>
                </w:rPr>
                <w:t>MATERIAL U.S. FEDERAL INCOME TAX CONSIDERATIONS FOR NON-U.S. HOLDERS</w:t>
              </w:r>
            </w:hyperlink>
          </w:p>
        </w:tc>
        <w:tc>
          <w:tcPr>
            <w:tcW w:w="3460" w:type="dxa"/>
            <w:vAlign w:val="bottom"/>
            <w:gridSpan w:val="3"/>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182</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192">
              <w:r>
                <w:rPr>
                  <w:rFonts w:ascii="Arial" w:cs="Arial" w:eastAsia="Arial" w:hAnsi="Arial"/>
                  <w:sz w:val="17"/>
                  <w:szCs w:val="17"/>
                  <w:color w:val="0000EE"/>
                </w:rPr>
                <w:t>UNDERWRITING</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186</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205">
              <w:r>
                <w:rPr>
                  <w:rFonts w:ascii="Arial" w:cs="Arial" w:eastAsia="Arial" w:hAnsi="Arial"/>
                  <w:sz w:val="17"/>
                  <w:szCs w:val="17"/>
                  <w:color w:val="0000EE"/>
                </w:rPr>
                <w:t>LEGAL MATTERS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199</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bottom w:val="single" w:sz="8" w:color="0000EE"/>
            </w:tcBorders>
          </w:tcPr>
          <w:p>
            <w:pPr>
              <w:spacing w:after="0" w:line="183" w:lineRule="exact"/>
              <w:rPr>
                <w:rFonts w:ascii="Arial" w:cs="Arial" w:eastAsia="Arial" w:hAnsi="Arial"/>
                <w:sz w:val="17"/>
                <w:szCs w:val="17"/>
                <w:color w:val="0000EE"/>
                <w:w w:val="88"/>
              </w:rPr>
            </w:pPr>
            <w:hyperlink w:anchor="page205">
              <w:r>
                <w:rPr>
                  <w:rFonts w:ascii="Arial" w:cs="Arial" w:eastAsia="Arial" w:hAnsi="Arial"/>
                  <w:sz w:val="17"/>
                  <w:szCs w:val="17"/>
                  <w:color w:val="0000EE"/>
                  <w:w w:val="88"/>
                </w:rPr>
                <w:t>EXPERTS</w:t>
              </w:r>
            </w:hyperlink>
          </w:p>
        </w:tc>
        <w:tc>
          <w:tcPr>
            <w:tcW w:w="640" w:type="dxa"/>
            <w:vAlign w:val="bottom"/>
            <w:tcBorders>
              <w:top w:val="single" w:sz="8" w:color="0000EE"/>
            </w:tcBorders>
            <w:gridSpan w:val="6"/>
          </w:tcPr>
          <w:p>
            <w:pPr>
              <w:spacing w:after="0"/>
              <w:rPr>
                <w:sz w:val="15"/>
                <w:szCs w:val="15"/>
                <w:color w:val="auto"/>
              </w:rPr>
            </w:pPr>
          </w:p>
        </w:tc>
        <w:tc>
          <w:tcPr>
            <w:tcW w:w="8620" w:type="dxa"/>
            <w:vAlign w:val="bottom"/>
            <w:gridSpan w:val="19"/>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199</w:t>
            </w:r>
          </w:p>
        </w:tc>
        <w:tc>
          <w:tcPr>
            <w:tcW w:w="0" w:type="dxa"/>
            <w:vAlign w:val="bottom"/>
          </w:tcPr>
          <w:p>
            <w:pPr>
              <w:spacing w:after="0"/>
              <w:rPr>
                <w:sz w:val="1"/>
                <w:szCs w:val="1"/>
                <w:color w:val="auto"/>
              </w:rPr>
            </w:pPr>
          </w:p>
        </w:tc>
      </w:tr>
      <w:tr>
        <w:trPr>
          <w:trHeight w:val="183"/>
        </w:trPr>
        <w:tc>
          <w:tcPr>
            <w:tcW w:w="3580" w:type="dxa"/>
            <w:vAlign w:val="bottom"/>
            <w:tcBorders>
              <w:bottom w:val="single" w:sz="8" w:color="0000EE"/>
            </w:tcBorders>
            <w:gridSpan w:val="18"/>
          </w:tcPr>
          <w:p>
            <w:pPr>
              <w:spacing w:after="0" w:line="183" w:lineRule="exact"/>
              <w:rPr>
                <w:rFonts w:ascii="Arial" w:cs="Arial" w:eastAsia="Arial" w:hAnsi="Arial"/>
                <w:sz w:val="17"/>
                <w:szCs w:val="17"/>
                <w:color w:val="0000EE"/>
                <w:w w:val="96"/>
              </w:rPr>
            </w:pPr>
            <w:hyperlink w:anchor="page206">
              <w:r>
                <w:rPr>
                  <w:rFonts w:ascii="Arial" w:cs="Arial" w:eastAsia="Arial" w:hAnsi="Arial"/>
                  <w:sz w:val="17"/>
                  <w:szCs w:val="17"/>
                  <w:color w:val="0000EE"/>
                  <w:w w:val="96"/>
                </w:rPr>
                <w:t>WHERE YOU CAN FIND MORE INFORMATION</w:t>
              </w:r>
            </w:hyperlink>
          </w:p>
        </w:tc>
        <w:tc>
          <w:tcPr>
            <w:tcW w:w="6400" w:type="dxa"/>
            <w:vAlign w:val="bottom"/>
            <w:gridSpan w:val="8"/>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200</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207">
              <w:r>
                <w:rPr>
                  <w:rFonts w:ascii="Arial" w:cs="Arial" w:eastAsia="Arial" w:hAnsi="Arial"/>
                  <w:sz w:val="17"/>
                  <w:szCs w:val="17"/>
                  <w:color w:val="0000EE"/>
                </w:rPr>
                <w:t>INDEX TO FINANCIAL STATEMENTS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233045</wp:posOffset>
            </wp:positionV>
            <wp:extent cx="1383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Basis of Presentation</w:t>
      </w:r>
    </w:p>
    <w:p>
      <w:pPr>
        <w:spacing w:after="0" w:line="112"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In this prospectus, unless the context otherwise requires, “Definitive,” the “Company,” “we,” “us” and “our” refer to Definitive Healthcare Corp., Definitive OpCo and their subsidiaries. References to “Predecessor Company” refer to Definitive OpCo prior to July 16, 2019 and “Successor Company” refer to Definitive OpCo after July 15, 2019. See “Management’s Discussion and Analysis of Financial Condition and Results of Operations —Impact of Acquisitions.”</w:t>
      </w:r>
    </w:p>
    <w:p>
      <w:pPr>
        <w:spacing w:after="0" w:line="11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740"/>
          </w:cols>
          <w:pgMar w:left="320" w:top="440" w:right="8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Trademarks and Trade Names</w:t>
      </w:r>
    </w:p>
    <w:p>
      <w:pPr>
        <w:spacing w:after="0" w:line="112"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We own or have the rights to use various trademarks, trade names, service marks and copyrights, including: Definitive Healthcare</w:t>
      </w:r>
      <w:r>
        <w:rPr>
          <w:rFonts w:ascii="Arial" w:cs="Arial" w:eastAsia="Arial" w:hAnsi="Arial"/>
          <w:sz w:val="14"/>
          <w:szCs w:val="14"/>
          <w:color w:val="auto"/>
        </w:rPr>
        <w:t>®</w:t>
      </w:r>
      <w:r>
        <w:rPr>
          <w:rFonts w:ascii="Arial" w:cs="Arial" w:eastAsia="Arial" w:hAnsi="Arial"/>
          <w:sz w:val="17"/>
          <w:szCs w:val="17"/>
          <w:color w:val="auto"/>
        </w:rPr>
        <w:t xml:space="preserve"> and our logo used in association with our name. Solely for convenience, any trademarks, trade names, service marks or copyrights referred to or used herein are listed without the applicable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or ™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Market and Industry Information</w:t>
      </w:r>
    </w:p>
    <w:p>
      <w:pPr>
        <w:spacing w:after="0" w:line="112" w:lineRule="exact"/>
        <w:rPr>
          <w:sz w:val="20"/>
          <w:szCs w:val="20"/>
          <w:color w:val="auto"/>
        </w:rPr>
      </w:pPr>
    </w:p>
    <w:p>
      <w:pPr>
        <w:ind w:left="460" w:right="20" w:firstLine="413"/>
        <w:spacing w:after="0" w:line="267" w:lineRule="auto"/>
        <w:rPr>
          <w:sz w:val="20"/>
          <w:szCs w:val="20"/>
          <w:color w:val="auto"/>
        </w:rPr>
      </w:pPr>
      <w:r>
        <w:rPr>
          <w:rFonts w:ascii="Arial" w:cs="Arial" w:eastAsia="Arial" w:hAnsi="Arial"/>
          <w:sz w:val="16"/>
          <w:szCs w:val="16"/>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76"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We have relied on the calculations and analysis and our use of third-party analytics tools to present metrics that, as closely as possible, reflect genuine users and legitimate user activity on our platform.</w:t>
      </w:r>
    </w:p>
    <w:p>
      <w:pPr>
        <w:spacing w:after="0" w:line="165"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color w:val="auto"/>
        </w:rPr>
        <w:t>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Definitions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used in this prospectus, unless otherwise noted or the context requires otherwise:</w:t>
      </w:r>
    </w:p>
    <w:p>
      <w:pPr>
        <w:spacing w:after="0" w:line="121" w:lineRule="exact"/>
        <w:rPr>
          <w:sz w:val="20"/>
          <w:szCs w:val="20"/>
          <w:color w:val="auto"/>
        </w:rPr>
      </w:pPr>
    </w:p>
    <w:p>
      <w:pPr>
        <w:ind w:left="860" w:hanging="301"/>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“Advent” refers to Advent International, a global private equity firm.</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“Amended LLC Agreement” has the meaning given in “Prospectus Summary—Organizational Structure.”</w:t>
      </w:r>
    </w:p>
    <w:p>
      <w:pPr>
        <w:spacing w:after="0" w:line="121" w:lineRule="exact"/>
        <w:rPr>
          <w:rFonts w:ascii="Arial" w:cs="Arial" w:eastAsia="Arial" w:hAnsi="Arial"/>
          <w:sz w:val="17"/>
          <w:szCs w:val="17"/>
          <w:color w:val="auto"/>
        </w:rPr>
      </w:pPr>
    </w:p>
    <w:p>
      <w:pPr>
        <w:ind w:left="860" w:right="400" w:hanging="301"/>
        <w:spacing w:after="0" w:line="272"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76" w:lineRule="exact"/>
        <w:rPr>
          <w:rFonts w:ascii="Arial" w:cs="Arial" w:eastAsia="Arial" w:hAnsi="Arial"/>
          <w:sz w:val="17"/>
          <w:szCs w:val="17"/>
          <w:color w:val="auto"/>
        </w:rPr>
      </w:pPr>
    </w:p>
    <w:p>
      <w:pPr>
        <w:ind w:left="860" w:hanging="301"/>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“Blocker Company” has the meaning given in “Prospectus Summary—Organizational Structure.”</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760"/>
          </w:cols>
          <w:pgMar w:left="320" w:top="440" w:right="81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right="20" w:hanging="301"/>
        <w:spacing w:after="0" w:line="301" w:lineRule="auto"/>
        <w:tabs>
          <w:tab w:leader="none" w:pos="8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59" w:lineRule="exact"/>
        <w:rPr>
          <w:rFonts w:ascii="Arial" w:cs="Arial" w:eastAsia="Arial" w:hAnsi="Arial"/>
          <w:sz w:val="15"/>
          <w:szCs w:val="15"/>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“Class B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 LLC Class B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“Mergers”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“Unitholders”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line="260"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“Definitive Healthcare,” the “Company,” “we,” “us” and “our” refer (i) prior to the recent consummation of the Reorganization Transactions to Definitive OpCo and its subsidiaries and (ii) after the reorganization transactions, to Definitive Healthcare Corp., Definitive OpCo and their subsidiaries.</w:t>
      </w:r>
    </w:p>
    <w:p>
      <w:pPr>
        <w:spacing w:after="0" w:line="86"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OpCo” refers to AIDH TopCo, LLC, a Delaware limited liability company, and a subsidiary of Definitive Healthcare Corp.</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“DH Holdings” refers to Definitive Healthcare Holdings, LLC, a wholly-owned subsidiary of Definitive Healthcare.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“IPO” refers to the initial public offering of our Class A common stock completed September 17, 2021.</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“IPO Transactions” refers to the offering of Class A common stock in our IPO and the transactions contemplated in connection therewith.</w:t>
      </w:r>
    </w:p>
    <w:p>
      <w:pPr>
        <w:spacing w:after="0" w:line="132" w:lineRule="exact"/>
        <w:rPr>
          <w:rFonts w:ascii="Arial" w:cs="Arial" w:eastAsia="Arial" w:hAnsi="Arial"/>
          <w:sz w:val="16"/>
          <w:szCs w:val="16"/>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“LLC Units” has the meaning given in “Prospectus Summary—Organizational Structure.”</w:t>
      </w:r>
    </w:p>
    <w:p>
      <w:pPr>
        <w:spacing w:after="0" w:line="121" w:lineRule="exact"/>
        <w:rPr>
          <w:rFonts w:ascii="Arial" w:cs="Arial" w:eastAsia="Arial" w:hAnsi="Arial"/>
          <w:sz w:val="17"/>
          <w:szCs w:val="17"/>
          <w:color w:val="auto"/>
        </w:rPr>
      </w:pPr>
    </w:p>
    <w:p>
      <w:pPr>
        <w:ind w:left="860" w:right="80" w:hanging="301"/>
        <w:spacing w:after="0" w:line="277"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75" w:lineRule="exact"/>
        <w:rPr>
          <w:rFonts w:ascii="Arial" w:cs="Arial" w:eastAsia="Arial" w:hAnsi="Arial"/>
          <w:sz w:val="16"/>
          <w:szCs w:val="16"/>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 LLC Class A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line="256"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0"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“Reclassified Class B LLC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“Reclassified Management Holdings Class B Units” has the meaning given in “Prospectus Summary— 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“Reorganization Parties”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“Reorganization Transactions”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“Spectrum Equity” refers to investment funds associated with Spectrum Equity Management, L.P., a private equity firm.</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“Sponsors” refers collectively to Advent, Spectrum Equity and 22C Capital.</w:t>
      </w:r>
    </w:p>
    <w:p>
      <w:pPr>
        <w:spacing w:after="0" w:line="14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740"/>
          </w:cols>
          <w:pgMar w:left="320" w:top="440" w:right="8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“Topco Class A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entered into with the TRA Parties.</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 Parties”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“22C Capital” refers to investment funds associated with 22C Capital LLC, a private equity firm.</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Non-GAAP Financial Measures</w:t>
      </w:r>
    </w:p>
    <w:p>
      <w:pPr>
        <w:spacing w:after="0" w:line="112" w:lineRule="exact"/>
        <w:rPr>
          <w:sz w:val="20"/>
          <w:szCs w:val="20"/>
          <w:color w:val="auto"/>
        </w:rPr>
      </w:pPr>
    </w:p>
    <w:p>
      <w:pPr>
        <w:ind w:left="460" w:right="140" w:firstLine="413"/>
        <w:spacing w:after="0" w:line="301" w:lineRule="auto"/>
        <w:rPr>
          <w:sz w:val="20"/>
          <w:szCs w:val="20"/>
          <w:color w:val="auto"/>
        </w:rPr>
      </w:pPr>
      <w:r>
        <w:rPr>
          <w:rFonts w:ascii="Arial" w:cs="Arial" w:eastAsia="Arial" w:hAnsi="Arial"/>
          <w:sz w:val="15"/>
          <w:szCs w:val="15"/>
          <w:color w:val="auto"/>
        </w:rPr>
        <w:t>We refer in this prospectus to Adjusted EBITDA, Adjusted Gross Profit, Adjusted Gross Margin, Adjusted EBITDA Margin Adjusted Operating Income and Adjusted Net Income (Loss),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4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6"/>
          <w:szCs w:val="16"/>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67"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48"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Adjusted Operating Income and Adjusted Net Income (Loss) mean income from operations plus acquisition- related amortization, stock-based compensation, acquisition-related expenses and other non-recurring adjustments.</w:t>
      </w:r>
    </w:p>
    <w:p>
      <w:pPr>
        <w:spacing w:after="0" w:line="165"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 based compensation is included in cost of revenue in accordance with GAAP, but is excluded from our Adjusted Gross Margin calculations due to its non-cash nature.</w:t>
      </w:r>
    </w:p>
    <w:p>
      <w:pPr>
        <w:spacing w:after="0" w:line="179"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83" w:lineRule="exact"/>
        <w:rPr>
          <w:sz w:val="20"/>
          <w:szCs w:val="20"/>
          <w:color w:val="auto"/>
        </w:rPr>
      </w:pPr>
    </w:p>
    <w:p>
      <w:pPr>
        <w:ind w:left="5560" w:right="2820" w:hanging="5001"/>
        <w:spacing w:after="0" w:line="443" w:lineRule="auto"/>
        <w:tabs>
          <w:tab w:leader="none" w:pos="864"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debt-related costs, including interest expense; iv</w:t>
      </w:r>
    </w:p>
    <w:p>
      <w:pPr>
        <w:sectPr>
          <w:pgSz w:w="11900" w:h="16838" w:orient="portrait"/>
          <w:cols w:equalWidth="0" w:num="1">
            <w:col w:w="10780"/>
          </w:cols>
          <w:pgMar w:left="320" w:top="440" w:right="7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301"/>
        <w:spacing w:after="0"/>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income tax expense or the cash requirements to pay our income taxes;</w:t>
      </w:r>
    </w:p>
    <w:p>
      <w:pPr>
        <w:spacing w:after="0" w:line="121" w:lineRule="exact"/>
        <w:rPr>
          <w:rFonts w:ascii="Arial" w:cs="Arial" w:eastAsia="Arial" w:hAnsi="Arial"/>
          <w:sz w:val="17"/>
          <w:szCs w:val="17"/>
          <w:color w:val="auto"/>
        </w:rPr>
      </w:pPr>
    </w:p>
    <w:p>
      <w:pPr>
        <w:ind w:left="860" w:right="20" w:hanging="301"/>
        <w:spacing w:after="0" w:line="272"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charges for the assets being depreciated and amortized that may need to be replaced in the future;</w:t>
      </w:r>
    </w:p>
    <w:p>
      <w:pPr>
        <w:spacing w:after="0" w:line="76" w:lineRule="exact"/>
        <w:rPr>
          <w:rFonts w:ascii="Arial" w:cs="Arial" w:eastAsia="Arial" w:hAnsi="Arial"/>
          <w:sz w:val="17"/>
          <w:szCs w:val="17"/>
          <w:color w:val="auto"/>
        </w:rPr>
      </w:pPr>
    </w:p>
    <w:p>
      <w:pPr>
        <w:ind w:left="860" w:right="80" w:hanging="301"/>
        <w:spacing w:after="0" w:line="260"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Gross Profit, Adjusted Gross Margin and Adjusted Operating Income include depreciation and amortization for assets that may need to be replaced, but exclude amortization for intangible assets that are primarily a result of purchase accounting, which results primarily from the Advent acquisition;</w:t>
      </w:r>
    </w:p>
    <w:p>
      <w:pPr>
        <w:spacing w:after="0" w:line="86" w:lineRule="exact"/>
        <w:rPr>
          <w:rFonts w:ascii="Arial" w:cs="Arial" w:eastAsia="Arial" w:hAnsi="Arial"/>
          <w:sz w:val="17"/>
          <w:szCs w:val="17"/>
          <w:color w:val="auto"/>
        </w:rPr>
      </w:pPr>
    </w:p>
    <w:p>
      <w:pPr>
        <w:ind w:left="860" w:hanging="301"/>
        <w:spacing w:after="0"/>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the impact of impairment loss;</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foreign exchange transaction gain and loss;</w:t>
      </w:r>
    </w:p>
    <w:p>
      <w:pPr>
        <w:spacing w:after="0" w:line="121" w:lineRule="exact"/>
        <w:rPr>
          <w:rFonts w:ascii="Arial" w:cs="Arial" w:eastAsia="Arial" w:hAnsi="Arial"/>
          <w:sz w:val="17"/>
          <w:szCs w:val="17"/>
          <w:color w:val="auto"/>
        </w:rPr>
      </w:pPr>
    </w:p>
    <w:p>
      <w:pPr>
        <w:ind w:left="860" w:right="160" w:hanging="301"/>
        <w:spacing w:after="0" w:line="272"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the impact of stock-based compensation upon our results of operations;</w:t>
      </w:r>
    </w:p>
    <w:p>
      <w:pPr>
        <w:spacing w:after="0" w:line="76" w:lineRule="exact"/>
        <w:rPr>
          <w:rFonts w:ascii="Arial" w:cs="Arial" w:eastAsia="Arial" w:hAnsi="Arial"/>
          <w:sz w:val="17"/>
          <w:szCs w:val="17"/>
          <w:color w:val="auto"/>
        </w:rPr>
      </w:pPr>
    </w:p>
    <w:p>
      <w:pPr>
        <w:ind w:left="860" w:right="620" w:hanging="301"/>
        <w:spacing w:after="0" w:line="272"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acquisition-related expenses; and</w:t>
      </w:r>
    </w:p>
    <w:p>
      <w:pPr>
        <w:spacing w:after="0" w:line="76" w:lineRule="exact"/>
        <w:rPr>
          <w:rFonts w:ascii="Arial" w:cs="Arial" w:eastAsia="Arial" w:hAnsi="Arial"/>
          <w:sz w:val="17"/>
          <w:szCs w:val="17"/>
          <w:color w:val="auto"/>
        </w:rPr>
      </w:pPr>
    </w:p>
    <w:p>
      <w:pPr>
        <w:ind w:left="860" w:right="220" w:hanging="301"/>
        <w:spacing w:after="0" w:line="272"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certain expenses that are non-recurring in nature.</w:t>
      </w:r>
    </w:p>
    <w:p>
      <w:pPr>
        <w:spacing w:after="0" w:line="165"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In evaluating Adjusted EBITDA, Adjusted EBITDA Margin, Adjusted Gross Profit and Adjusted Gross Margin, you should be aware that in the future we may incur expenses similar to those eliminated in these presentations.</w:t>
      </w:r>
    </w:p>
    <w:p>
      <w:pPr>
        <w:spacing w:after="0" w:line="165"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See “Summary Historical and Pro Forma Consolidated Financial and Other Data” for a reconciliation of Adjusted EBITDA to net income (loss), the most directly comparable GAAP measure and a reconciliation of Adjusted Gross Profit and Adjusted Gross Margin to gross profit, the most directly comparable GAAP measure.</w:t>
      </w:r>
    </w:p>
    <w:p>
      <w:pPr>
        <w:spacing w:after="0" w:line="11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720"/>
          </w:cols>
          <w:pgMar w:left="320" w:top="440" w:right="8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915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6535" cy="591502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PROSPECTUS SUMMARY</w:t>
      </w:r>
    </w:p>
    <w:p>
      <w:pPr>
        <w:spacing w:after="0" w:line="214" w:lineRule="exact"/>
        <w:rPr>
          <w:sz w:val="20"/>
          <w:szCs w:val="20"/>
          <w:color w:val="auto"/>
        </w:rPr>
      </w:pPr>
    </w:p>
    <w:p>
      <w:pPr>
        <w:ind w:left="620" w:right="100" w:firstLine="399"/>
        <w:spacing w:after="0" w:line="274"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28. In addition, certain statements in this prospectus include forward-looking information that is subject to risks and uncertainties. See “Cautionary Note Regarding Forward-Looking Statements.”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Mission</w:t>
      </w:r>
    </w:p>
    <w:p>
      <w:pPr>
        <w:spacing w:after="0" w:line="112" w:lineRule="exact"/>
        <w:rPr>
          <w:sz w:val="20"/>
          <w:szCs w:val="20"/>
          <w:color w:val="auto"/>
        </w:rPr>
      </w:pPr>
    </w:p>
    <w:p>
      <w:pPr>
        <w:ind w:left="620" w:right="360" w:firstLine="399"/>
        <w:spacing w:after="0" w:line="272"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Overview</w:t>
      </w:r>
    </w:p>
    <w:p>
      <w:pPr>
        <w:spacing w:after="0" w:line="112" w:lineRule="exact"/>
        <w:rPr>
          <w:sz w:val="20"/>
          <w:szCs w:val="20"/>
          <w:color w:val="auto"/>
        </w:rPr>
      </w:pPr>
    </w:p>
    <w:p>
      <w:pPr>
        <w:ind w:left="620" w:right="60" w:firstLine="399"/>
        <w:spacing w:after="0" w:line="256"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2,700 customers as of September 30, 2021.</w:t>
      </w:r>
    </w:p>
    <w:p>
      <w:pPr>
        <w:spacing w:after="0" w:line="179" w:lineRule="exact"/>
        <w:rPr>
          <w:sz w:val="20"/>
          <w:szCs w:val="20"/>
          <w:color w:val="auto"/>
        </w:rPr>
      </w:pPr>
    </w:p>
    <w:p>
      <w:pPr>
        <w:ind w:left="620" w:right="160" w:firstLine="399"/>
        <w:spacing w:after="0" w:line="252" w:lineRule="auto"/>
        <w:rPr>
          <w:sz w:val="20"/>
          <w:szCs w:val="20"/>
          <w:color w:val="auto"/>
        </w:rPr>
      </w:pPr>
      <w:r>
        <w:rPr>
          <w:rFonts w:ascii="Arial" w:cs="Arial" w:eastAsia="Arial" w:hAnsi="Arial"/>
          <w:sz w:val="17"/>
          <w:szCs w:val="17"/>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84" w:lineRule="exact"/>
        <w:rPr>
          <w:sz w:val="20"/>
          <w:szCs w:val="20"/>
          <w:color w:val="auto"/>
        </w:rPr>
      </w:pPr>
    </w:p>
    <w:p>
      <w:pPr>
        <w:ind w:left="620" w:right="80" w:firstLine="399"/>
        <w:spacing w:after="0" w:line="254" w:lineRule="auto"/>
        <w:rPr>
          <w:sz w:val="20"/>
          <w:szCs w:val="20"/>
          <w:color w:val="auto"/>
        </w:rPr>
      </w:pPr>
      <w:r>
        <w:rPr>
          <w:rFonts w:ascii="Arial" w:cs="Arial" w:eastAsia="Arial" w:hAnsi="Arial"/>
          <w:sz w:val="17"/>
          <w:szCs w:val="17"/>
          <w:color w:val="auto"/>
        </w:rPr>
        <w:t>Our customers include biopharmaceutical and medical device (“Life Sciences”) companies, Healthcare Information Technology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1" w:lineRule="exact"/>
        <w:rPr>
          <w:sz w:val="20"/>
          <w:szCs w:val="20"/>
          <w:color w:val="auto"/>
        </w:rPr>
      </w:pPr>
    </w:p>
    <w:p>
      <w:pPr>
        <w:ind w:left="1000" w:right="540" w:hanging="283"/>
        <w:spacing w:after="0" w:line="272"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Sales. </w:t>
      </w:r>
      <w:r>
        <w:rPr>
          <w:rFonts w:ascii="Arial" w:cs="Arial" w:eastAsia="Arial" w:hAnsi="Arial"/>
          <w:sz w:val="17"/>
          <w:szCs w:val="17"/>
          <w:color w:val="auto"/>
        </w:rPr>
        <w:t>Size markets, build efficient go-to-market strategies and generate actionable intelligence including prospect and decision maker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w:t>
      </w:r>
    </w:p>
    <w:p>
      <w:pPr>
        <w:spacing w:after="0" w:line="76" w:lineRule="exact"/>
        <w:rPr>
          <w:rFonts w:ascii="Arial" w:cs="Arial" w:eastAsia="Arial" w:hAnsi="Arial"/>
          <w:sz w:val="17"/>
          <w:szCs w:val="17"/>
          <w:color w:val="auto"/>
        </w:rPr>
      </w:pPr>
    </w:p>
    <w:p>
      <w:pPr>
        <w:ind w:left="1000" w:hanging="283"/>
        <w:spacing w:after="0" w:line="272"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Return on Investment (“ROI”) for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services.</w:t>
      </w:r>
    </w:p>
    <w:p>
      <w:pPr>
        <w:spacing w:after="0" w:line="76" w:lineRule="exact"/>
        <w:rPr>
          <w:rFonts w:ascii="Arial" w:cs="Arial" w:eastAsia="Arial" w:hAnsi="Arial"/>
          <w:sz w:val="17"/>
          <w:szCs w:val="17"/>
          <w:color w:val="auto"/>
        </w:rPr>
      </w:pPr>
    </w:p>
    <w:p>
      <w:pPr>
        <w:ind w:left="1000" w:right="100" w:hanging="283"/>
        <w:spacing w:after="0" w:line="340" w:lineRule="auto"/>
        <w:tabs>
          <w:tab w:leader="none" w:pos="100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Clinical Research &amp; Product Development. </w:t>
      </w:r>
      <w:r>
        <w:rPr>
          <w:rFonts w:ascii="Arial" w:cs="Arial" w:eastAsia="Arial" w:hAnsi="Arial"/>
          <w:sz w:val="15"/>
          <w:szCs w:val="15"/>
          <w:color w:val="auto"/>
        </w:rPr>
        <w:t>Identify experts within a specific disease area to find important sites for clinical trials and make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data-driven investment decisions. We recently launched our Latitude Reporting, enabling custom patient cohort creation and analytics.</w:t>
      </w:r>
    </w:p>
    <w:p>
      <w:pPr>
        <w:spacing w:after="0" w:line="30" w:lineRule="exact"/>
        <w:rPr>
          <w:rFonts w:ascii="Arial" w:cs="Arial" w:eastAsia="Arial" w:hAnsi="Arial"/>
          <w:sz w:val="15"/>
          <w:szCs w:val="15"/>
          <w:color w:val="auto"/>
        </w:rPr>
      </w:pPr>
    </w:p>
    <w:p>
      <w:pPr>
        <w:ind w:left="1000" w:hanging="283"/>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00"/>
          </w:cols>
          <w:pgMar w:left="320" w:top="440" w:right="9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6204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66535" cy="62045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0" w:right="540" w:hanging="283"/>
        <w:spacing w:after="0" w:line="272"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Talent Acquisition. </w:t>
      </w:r>
      <w:r>
        <w:rPr>
          <w:rFonts w:ascii="Arial" w:cs="Arial" w:eastAsia="Arial" w:hAnsi="Arial"/>
          <w:sz w:val="17"/>
          <w:szCs w:val="17"/>
          <w:color w:val="auto"/>
        </w:rPr>
        <w:t>Identify and conduct outreach to candidates for healthcare-specific roles including physicians, nurses and hospital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executives.</w:t>
      </w:r>
    </w:p>
    <w:p>
      <w:pPr>
        <w:spacing w:after="0" w:line="76" w:lineRule="exact"/>
        <w:rPr>
          <w:rFonts w:ascii="Arial" w:cs="Arial" w:eastAsia="Arial" w:hAnsi="Arial"/>
          <w:sz w:val="17"/>
          <w:szCs w:val="17"/>
          <w:color w:val="auto"/>
        </w:rPr>
      </w:pPr>
    </w:p>
    <w:p>
      <w:pPr>
        <w:ind w:left="1000" w:right="60" w:hanging="283"/>
        <w:spacing w:after="0" w:line="272"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5" w:lineRule="exact"/>
        <w:rPr>
          <w:sz w:val="20"/>
          <w:szCs w:val="20"/>
          <w:color w:val="auto"/>
        </w:rPr>
      </w:pPr>
    </w:p>
    <w:p>
      <w:pPr>
        <w:ind w:left="620" w:right="300" w:firstLine="399"/>
        <w:spacing w:after="0" w:line="272"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These three elements are:</w:t>
      </w:r>
    </w:p>
    <w:p>
      <w:pPr>
        <w:spacing w:after="0" w:line="121" w:lineRule="exact"/>
        <w:rPr>
          <w:sz w:val="20"/>
          <w:szCs w:val="20"/>
          <w:color w:val="auto"/>
        </w:rPr>
      </w:pPr>
    </w:p>
    <w:p>
      <w:pPr>
        <w:ind w:left="1000" w:hanging="283"/>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p>
    <w:p>
      <w:pPr>
        <w:spacing w:after="0" w:line="121" w:lineRule="exact"/>
        <w:rPr>
          <w:rFonts w:ascii="Arial" w:cs="Arial" w:eastAsia="Arial" w:hAnsi="Arial"/>
          <w:sz w:val="17"/>
          <w:szCs w:val="17"/>
          <w:color w:val="auto"/>
        </w:rPr>
      </w:pPr>
    </w:p>
    <w:p>
      <w:pPr>
        <w:ind w:left="1000" w:right="700" w:hanging="283"/>
        <w:spacing w:after="0" w:line="272"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Artificial Intelligence (“A.I.”) Engine, </w:t>
      </w:r>
      <w:r>
        <w:rPr>
          <w:rFonts w:ascii="Arial" w:cs="Arial" w:eastAsia="Arial" w:hAnsi="Arial"/>
          <w:sz w:val="17"/>
          <w:szCs w:val="17"/>
          <w:color w:val="auto"/>
        </w:rPr>
        <w:t>built by our team of data scientists, that cleanses, links and creates new information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w:t>
      </w:r>
    </w:p>
    <w:p>
      <w:pPr>
        <w:spacing w:after="0" w:line="76" w:lineRule="exact"/>
        <w:rPr>
          <w:rFonts w:ascii="Arial" w:cs="Arial" w:eastAsia="Arial" w:hAnsi="Arial"/>
          <w:sz w:val="17"/>
          <w:szCs w:val="17"/>
          <w:color w:val="auto"/>
        </w:rPr>
      </w:pPr>
    </w:p>
    <w:p>
      <w:pPr>
        <w:ind w:left="1000" w:right="280" w:hanging="283"/>
        <w:spacing w:after="0" w:line="272"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in real-time,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actionable insights and create a path to commercial success.</w:t>
      </w:r>
    </w:p>
    <w:p>
      <w:pPr>
        <w:spacing w:after="0" w:line="165" w:lineRule="exact"/>
        <w:rPr>
          <w:sz w:val="20"/>
          <w:szCs w:val="20"/>
          <w:color w:val="auto"/>
        </w:rPr>
      </w:pPr>
    </w:p>
    <w:p>
      <w:pPr>
        <w:ind w:left="620" w:right="40" w:firstLine="399"/>
        <w:spacing w:after="0" w:line="256"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79" w:lineRule="exact"/>
        <w:rPr>
          <w:sz w:val="20"/>
          <w:szCs w:val="20"/>
          <w:color w:val="auto"/>
        </w:rPr>
      </w:pPr>
    </w:p>
    <w:p>
      <w:pPr>
        <w:jc w:val="both"/>
        <w:ind w:left="620" w:firstLine="399"/>
        <w:spacing w:after="0" w:line="284" w:lineRule="auto"/>
        <w:rPr>
          <w:sz w:val="20"/>
          <w:szCs w:val="20"/>
          <w:color w:val="auto"/>
        </w:rPr>
      </w:pPr>
      <w:r>
        <w:rPr>
          <w:rFonts w:ascii="Arial" w:cs="Arial" w:eastAsia="Arial" w:hAnsi="Arial"/>
          <w:sz w:val="16"/>
          <w:szCs w:val="16"/>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57" w:lineRule="exact"/>
        <w:rPr>
          <w:sz w:val="20"/>
          <w:szCs w:val="20"/>
          <w:color w:val="auto"/>
        </w:rPr>
      </w:pPr>
    </w:p>
    <w:p>
      <w:pPr>
        <w:ind w:left="620" w:right="300" w:firstLine="399"/>
        <w:spacing w:after="0" w:line="284" w:lineRule="auto"/>
        <w:rPr>
          <w:sz w:val="20"/>
          <w:szCs w:val="20"/>
          <w:color w:val="auto"/>
        </w:rPr>
      </w:pPr>
      <w:r>
        <w:rPr>
          <w:rFonts w:ascii="Arial" w:cs="Arial" w:eastAsia="Arial" w:hAnsi="Arial"/>
          <w:sz w:val="16"/>
          <w:szCs w:val="16"/>
          <w:color w:val="auto"/>
        </w:rPr>
        <w:t>We were founded in 2011 by our CEO, Jason Krantz, who has cultivated a culture of innovation that attracts and retains a highly talented team. Our seasoned executive team and over 640 employees are committed to growing a platform that delivers meaningful insights to our customers. This has resulted in a highly scalable business model and strong financial performance, including:</w:t>
      </w:r>
    </w:p>
    <w:p>
      <w:pPr>
        <w:spacing w:after="0" w:line="69" w:lineRule="exact"/>
        <w:rPr>
          <w:sz w:val="20"/>
          <w:szCs w:val="20"/>
          <w:color w:val="auto"/>
        </w:rPr>
      </w:pPr>
    </w:p>
    <w:p>
      <w:pPr>
        <w:ind w:left="1000" w:hanging="283"/>
        <w:spacing w:after="0" w:line="260"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History of Significant Revenue Growth at Scale</w:t>
      </w:r>
      <w:r>
        <w:rPr>
          <w:rFonts w:ascii="Arial" w:cs="Arial" w:eastAsia="Arial" w:hAnsi="Arial"/>
          <w:sz w:val="17"/>
          <w:szCs w:val="17"/>
          <w:color w:val="auto"/>
        </w:rPr>
        <w:t>. 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38% growth. We generated revenue of $119.8 million and $84.7 million in the nine months ended September 30, 2021 and 2020, respectively, representing 41% growth.</w:t>
      </w:r>
    </w:p>
    <w:p>
      <w:pPr>
        <w:spacing w:after="0" w:line="86" w:lineRule="exact"/>
        <w:rPr>
          <w:rFonts w:ascii="Arial" w:cs="Arial" w:eastAsia="Arial" w:hAnsi="Arial"/>
          <w:sz w:val="17"/>
          <w:szCs w:val="17"/>
          <w:color w:val="auto"/>
        </w:rPr>
      </w:pPr>
    </w:p>
    <w:p>
      <w:pPr>
        <w:ind w:left="1000" w:right="200" w:hanging="283"/>
        <w:spacing w:after="0" w:line="340" w:lineRule="auto"/>
        <w:tabs>
          <w:tab w:leader="none" w:pos="100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Subscription-based Business Model with Significant Visibility</w:t>
      </w:r>
      <w:r>
        <w:rPr>
          <w:rFonts w:ascii="Arial" w:cs="Arial" w:eastAsia="Arial" w:hAnsi="Arial"/>
          <w:sz w:val="15"/>
          <w:szCs w:val="15"/>
          <w:color w:val="auto"/>
        </w:rPr>
        <w:t>. We generate substantially all of our revenue from subscription fees,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accounted for 99% of our revenue for the year ended December 31, 2020 and the nine months ended September 30, 2021.</w:t>
      </w:r>
    </w:p>
    <w:p>
      <w:pPr>
        <w:spacing w:after="0" w:line="30" w:lineRule="exact"/>
        <w:rPr>
          <w:rFonts w:ascii="Arial" w:cs="Arial" w:eastAsia="Arial" w:hAnsi="Arial"/>
          <w:sz w:val="15"/>
          <w:szCs w:val="15"/>
          <w:color w:val="auto"/>
        </w:rPr>
      </w:pPr>
    </w:p>
    <w:p>
      <w:pPr>
        <w:ind w:left="1000" w:right="240" w:hanging="283"/>
        <w:spacing w:after="0" w:line="260"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Diversified Customer Base</w:t>
      </w:r>
      <w:r>
        <w:rPr>
          <w:rFonts w:ascii="Arial" w:cs="Arial" w:eastAsia="Arial" w:hAnsi="Arial"/>
          <w:sz w:val="17"/>
          <w:szCs w:val="17"/>
          <w:color w:val="auto"/>
        </w:rPr>
        <w:t>. Over 2,700 companies use our platform to help sell into or compete in the healthcare ecosystem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No single customer made up more than 2% of our revenue for the nine months ended September 30, 2021 or the year ended December 31, 2020.</w:t>
      </w:r>
    </w:p>
    <w:p>
      <w:pPr>
        <w:spacing w:after="0" w:line="86" w:lineRule="exact"/>
        <w:rPr>
          <w:rFonts w:ascii="Arial" w:cs="Arial" w:eastAsia="Arial" w:hAnsi="Arial"/>
          <w:sz w:val="17"/>
          <w:szCs w:val="17"/>
          <w:color w:val="auto"/>
        </w:rPr>
      </w:pPr>
    </w:p>
    <w:p>
      <w:pPr>
        <w:ind w:left="1000" w:right="160" w:hanging="283"/>
        <w:spacing w:after="0" w:line="252"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Strong Retention and Growth of Existing Customers</w:t>
      </w:r>
      <w:r>
        <w:rPr>
          <w:rFonts w:ascii="Arial" w:cs="Arial" w:eastAsia="Arial" w:hAnsi="Arial"/>
          <w:sz w:val="17"/>
          <w:szCs w:val="17"/>
          <w:color w:val="auto"/>
        </w:rPr>
        <w:t>. Our ability to retain and grow existing customer relationships is reflected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number of Enterprise Customers, which we define as customers generating more than $100,000 in ARR (“Enterprise Customers”). For the year ended December 31, 2020, we had 292 Enterprise Customers, compared to 221 Enterprise Customers for the year ended December 31, 2019, with an average Net Dollar Retention Rate of 124%. We had 377 Enterprise Customers for the nine months ended September 30, 2021 compared to 252 Enterprise Customers for the nine months ended September 30, 2020, and we added 28 Enterprise Customers in the three months ended September 30, 2021. Our 377 Enterprise Customers for the nine months ended September 30, 2021 represent over half of our ARR.</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80"/>
          </w:cols>
          <w:pgMar w:left="320" w:top="440" w:right="9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344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66535" cy="534416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0" w:right="40" w:hanging="283"/>
        <w:spacing w:after="0" w:line="288" w:lineRule="auto"/>
        <w:tabs>
          <w:tab w:leader="none" w:pos="100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History of Strong Financial Performance</w:t>
      </w:r>
      <w:r>
        <w:rPr>
          <w:rFonts w:ascii="Arial" w:cs="Arial" w:eastAsia="Arial" w:hAnsi="Arial"/>
          <w:sz w:val="15"/>
          <w:szCs w:val="15"/>
          <w:color w:val="auto"/>
        </w:rPr>
        <w:t>. Our business model generates strong financial performance and cash flows. Our net loss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$51.2 million for the year ended December 31, 2020 as compared to a net loss of $49.3 million for the period from July 16, 2019 to December 31, 2019 and net income of $12.9 million for the period from January 1, 2019 to July 15, 2019. Our net loss was $46.5 million and $35.3 million for the nine months ended September 30, 2021 and 2020, respectively. For the year ended December 31, 2020, our Net Loss Margin was (43)% and our Gross Margin was 74%. For the nine months ended September 30, 2021, our Net Loss Margin was (39)% and our Gross Margin was 75%. For the nine months ended September 30, 2021 and the year ended December 31, 2020, our Adjusted Gross Margin was 88% and 91%, respectively, and our Adjusted EBITDA was $42.9 million and $53.5 million, respectively, reflecting Adjusted EBITDA Margins of 45% for 2020 and 36% for the nine months ended September 30, 2021.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Industry Background</w:t>
      </w:r>
    </w:p>
    <w:p>
      <w:pPr>
        <w:spacing w:after="0" w:line="112" w:lineRule="exact"/>
        <w:rPr>
          <w:sz w:val="20"/>
          <w:szCs w:val="20"/>
          <w:color w:val="auto"/>
        </w:rPr>
      </w:pPr>
    </w:p>
    <w:p>
      <w:pPr>
        <w:ind w:left="620" w:firstLine="399"/>
        <w:spacing w:after="0" w:line="293" w:lineRule="auto"/>
        <w:rPr>
          <w:sz w:val="20"/>
          <w:szCs w:val="20"/>
          <w:color w:val="auto"/>
        </w:rPr>
      </w:pPr>
      <w:r>
        <w:rPr>
          <w:rFonts w:ascii="Arial" w:cs="Arial" w:eastAsia="Arial" w:hAnsi="Arial"/>
          <w:sz w:val="15"/>
          <w:szCs w:val="15"/>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08" w:lineRule="exact"/>
        <w:rPr>
          <w:sz w:val="20"/>
          <w:szCs w:val="20"/>
          <w:color w:val="auto"/>
        </w:rPr>
      </w:pPr>
    </w:p>
    <w:p>
      <w:pPr>
        <w:ind w:left="620" w:right="20" w:firstLine="399"/>
        <w:spacing w:after="0" w:line="272"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jc w:val="both"/>
        <w:ind w:left="1000" w:right="80" w:hanging="283"/>
        <w:spacing w:after="0" w:line="260"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Companies are selling to an entire ecosystem, not a single company</w:t>
      </w:r>
      <w:r>
        <w:rPr>
          <w:rFonts w:ascii="Arial" w:cs="Arial" w:eastAsia="Arial" w:hAnsi="Arial"/>
          <w:sz w:val="17"/>
          <w:szCs w:val="17"/>
          <w:color w:val="auto"/>
        </w:rPr>
        <w:t>. There are a large number of stakeholders including providers, payers,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agencies and regulators that are intermingled in meeting the needs of over 300 million potential patients in the U.S. as of May 1, 2021.</w:t>
      </w:r>
    </w:p>
    <w:p>
      <w:pPr>
        <w:spacing w:after="0" w:line="86" w:lineRule="exact"/>
        <w:rPr>
          <w:rFonts w:ascii="Arial" w:cs="Arial" w:eastAsia="Arial" w:hAnsi="Arial"/>
          <w:sz w:val="17"/>
          <w:szCs w:val="17"/>
          <w:color w:val="auto"/>
        </w:rPr>
      </w:pPr>
    </w:p>
    <w:p>
      <w:pPr>
        <w:ind w:left="1000" w:right="60" w:hanging="283"/>
        <w:spacing w:after="0" w:line="272"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It is challenging to identify the true decision maker</w:t>
      </w:r>
      <w:r>
        <w:rPr>
          <w:rFonts w:ascii="Arial" w:cs="Arial" w:eastAsia="Arial" w:hAnsi="Arial"/>
          <w:sz w:val="17"/>
          <w:szCs w:val="17"/>
          <w:color w:val="auto"/>
        </w:rPr>
        <w:t>. The healthcare ecosystem is highly interconnected and understanding how stakeholders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affiliated and related is critical to properly identifying true decision makers.</w:t>
      </w:r>
    </w:p>
    <w:p>
      <w:pPr>
        <w:spacing w:after="0" w:line="76" w:lineRule="exact"/>
        <w:rPr>
          <w:rFonts w:ascii="Arial" w:cs="Arial" w:eastAsia="Arial" w:hAnsi="Arial"/>
          <w:sz w:val="17"/>
          <w:szCs w:val="17"/>
          <w:color w:val="auto"/>
        </w:rPr>
      </w:pPr>
    </w:p>
    <w:p>
      <w:pPr>
        <w:ind w:left="1000" w:right="160" w:hanging="283"/>
        <w:spacing w:after="0" w:line="260"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To differentiate, companies need to tailor their product or service to specific pain points</w:t>
      </w:r>
      <w:r>
        <w:rPr>
          <w:rFonts w:ascii="Arial" w:cs="Arial" w:eastAsia="Arial" w:hAnsi="Arial"/>
          <w:sz w:val="17"/>
          <w:szCs w:val="17"/>
          <w:color w:val="auto"/>
        </w:rPr>
        <w:t>. Healthcare providers have a wide variety of pain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points to address. Understanding these pain points can help companies selling into healthcare target these pain points and allow them to derive value from our platform.</w:t>
      </w:r>
    </w:p>
    <w:p>
      <w:pPr>
        <w:spacing w:after="0" w:line="86" w:lineRule="exact"/>
        <w:rPr>
          <w:rFonts w:ascii="Arial" w:cs="Arial" w:eastAsia="Arial" w:hAnsi="Arial"/>
          <w:sz w:val="17"/>
          <w:szCs w:val="17"/>
          <w:color w:val="auto"/>
        </w:rPr>
      </w:pPr>
    </w:p>
    <w:p>
      <w:pPr>
        <w:ind w:left="1000" w:right="260" w:hanging="283"/>
        <w:spacing w:after="0" w:line="272"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Constant change</w:t>
      </w:r>
      <w:r>
        <w:rPr>
          <w:rFonts w:ascii="Arial" w:cs="Arial" w:eastAsia="Arial" w:hAnsi="Arial"/>
          <w:sz w:val="17"/>
          <w:szCs w:val="17"/>
          <w:color w:val="auto"/>
        </w:rPr>
        <w:t>. The healthcare industry is in a constant state of change including changing regulations and adoption of new patient 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w:t>
      </w:r>
    </w:p>
    <w:p>
      <w:pPr>
        <w:spacing w:after="0" w:line="76" w:lineRule="exact"/>
        <w:rPr>
          <w:rFonts w:ascii="Arial" w:cs="Arial" w:eastAsia="Arial" w:hAnsi="Arial"/>
          <w:sz w:val="17"/>
          <w:szCs w:val="17"/>
          <w:color w:val="auto"/>
        </w:rPr>
      </w:pPr>
    </w:p>
    <w:p>
      <w:pPr>
        <w:ind w:left="1000" w:right="140" w:hanging="283"/>
        <w:spacing w:after="0" w:line="260"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00"/>
          </w:cols>
          <w:pgMar w:left="320" w:top="440" w:right="9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545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6535" cy="55454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2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08" w:lineRule="exact"/>
        <w:rPr>
          <w:sz w:val="20"/>
          <w:szCs w:val="20"/>
          <w:color w:val="auto"/>
        </w:rPr>
      </w:pPr>
    </w:p>
    <w:p>
      <w:pPr>
        <w:jc w:val="both"/>
        <w:ind w:left="620" w:firstLine="399"/>
        <w:spacing w:after="0" w:line="311" w:lineRule="auto"/>
        <w:rPr>
          <w:sz w:val="20"/>
          <w:szCs w:val="20"/>
          <w:color w:val="auto"/>
        </w:rPr>
      </w:pPr>
      <w:r>
        <w:rPr>
          <w:rFonts w:ascii="Arial" w:cs="Arial" w:eastAsia="Arial" w:hAnsi="Arial"/>
          <w:sz w:val="15"/>
          <w:szCs w:val="15"/>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7" w:lineRule="exact"/>
        <w:rPr>
          <w:sz w:val="20"/>
          <w:szCs w:val="20"/>
          <w:color w:val="auto"/>
        </w:rPr>
      </w:pPr>
    </w:p>
    <w:p>
      <w:pPr>
        <w:ind w:left="1000" w:right="80" w:hanging="283"/>
        <w:spacing w:after="0" w:line="279"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Lack of Healthcare Depth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Generalized Sales and Marketing intelligence providers do not provide the healthcare specific intelligence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68" w:lineRule="exact"/>
        <w:rPr>
          <w:rFonts w:ascii="Arial" w:cs="Arial" w:eastAsia="Arial" w:hAnsi="Arial"/>
          <w:sz w:val="16"/>
          <w:szCs w:val="16"/>
          <w:color w:val="auto"/>
        </w:rPr>
      </w:pPr>
    </w:p>
    <w:p>
      <w:pPr>
        <w:ind w:left="1000" w:right="140" w:hanging="283"/>
        <w:spacing w:after="0" w:line="25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healthcare ecosystem—to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3" w:lineRule="exact"/>
        <w:rPr>
          <w:rFonts w:ascii="Arial" w:cs="Arial" w:eastAsia="Arial" w:hAnsi="Arial"/>
          <w:sz w:val="17"/>
          <w:szCs w:val="17"/>
          <w:color w:val="auto"/>
        </w:rPr>
      </w:pPr>
    </w:p>
    <w:p>
      <w:pPr>
        <w:ind w:left="1000" w:hanging="283"/>
        <w:spacing w:after="0" w:line="255"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 healthcare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08" w:lineRule="exact"/>
        <w:rPr>
          <w:sz w:val="20"/>
          <w:szCs w:val="20"/>
          <w:color w:val="auto"/>
        </w:rPr>
      </w:pPr>
    </w:p>
    <w:p>
      <w:pPr>
        <w:ind w:left="620" w:right="140" w:firstLine="399"/>
        <w:spacing w:after="0" w:line="301" w:lineRule="auto"/>
        <w:rPr>
          <w:sz w:val="20"/>
          <w:szCs w:val="20"/>
          <w:color w:val="auto"/>
        </w:rPr>
      </w:pPr>
      <w:r>
        <w:rPr>
          <w:rFonts w:ascii="Arial" w:cs="Arial" w:eastAsia="Arial" w:hAnsi="Arial"/>
          <w:sz w:val="15"/>
          <w:szCs w:val="15"/>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1" w:lineRule="exact"/>
        <w:rPr>
          <w:sz w:val="20"/>
          <w:szCs w:val="20"/>
          <w:color w:val="auto"/>
        </w:rPr>
      </w:pPr>
    </w:p>
    <w:p>
      <w:pPr>
        <w:ind w:left="1000" w:right="80" w:hanging="283"/>
        <w:spacing w:after="0" w:line="260"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comprehensive view of the entire healthcare ecosystem </w:t>
      </w:r>
      <w:r>
        <w:rPr>
          <w:rFonts w:ascii="Arial" w:cs="Arial" w:eastAsia="Arial" w:hAnsi="Arial"/>
          <w:sz w:val="17"/>
          <w:szCs w:val="17"/>
          <w:color w:val="auto"/>
        </w:rPr>
        <w:t>including intelligence on hospitals, physicians, physician groups, clinics, imaging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centers, long-term care facilities, ambulatory surgery centers, payers, virtual care providers, Group Purchasing Organizations (“GPOs”) and others.</w:t>
      </w:r>
    </w:p>
    <w:p>
      <w:pPr>
        <w:spacing w:after="0" w:line="86" w:lineRule="exact"/>
        <w:rPr>
          <w:rFonts w:ascii="Arial" w:cs="Arial" w:eastAsia="Arial" w:hAnsi="Arial"/>
          <w:sz w:val="17"/>
          <w:szCs w:val="17"/>
          <w:color w:val="auto"/>
        </w:rPr>
      </w:pPr>
    </w:p>
    <w:p>
      <w:pPr>
        <w:ind w:left="1000" w:right="100" w:hanging="283"/>
        <w:spacing w:after="0" w:line="272"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 patient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all linked together through the proprietary Definitive ID.</w:t>
      </w:r>
    </w:p>
    <w:p>
      <w:pPr>
        <w:spacing w:after="0" w:line="76" w:lineRule="exact"/>
        <w:rPr>
          <w:rFonts w:ascii="Arial" w:cs="Arial" w:eastAsia="Arial" w:hAnsi="Arial"/>
          <w:sz w:val="17"/>
          <w:szCs w:val="17"/>
          <w:color w:val="auto"/>
        </w:rPr>
      </w:pPr>
    </w:p>
    <w:p>
      <w:pPr>
        <w:ind w:left="1000" w:right="100" w:hanging="283"/>
        <w:spacing w:after="0" w:line="260"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Request for Proposals (“RFPs”), procedure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diagnosis volumes, patient leakage, quality of care analytics, financial metrics, technology infrastructure of providers and healthcare stakeholder intelligence with detailed contact information.</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80"/>
          </w:cols>
          <w:pgMar w:left="320" w:top="440" w:right="9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384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66535" cy="538416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0" w:hanging="283"/>
        <w:spacing w:after="0"/>
        <w:tabs>
          <w:tab w:leader="none" w:pos="1000"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144" w:lineRule="exact"/>
        <w:rPr>
          <w:rFonts w:ascii="Arial" w:cs="Arial" w:eastAsia="Arial" w:hAnsi="Arial"/>
          <w:sz w:val="15"/>
          <w:szCs w:val="15"/>
          <w:color w:val="auto"/>
        </w:rPr>
      </w:pPr>
    </w:p>
    <w:p>
      <w:pPr>
        <w:ind w:left="1000" w:right="560" w:hanging="283"/>
        <w:spacing w:after="0" w:line="272"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Delivered through an intelligent SaaS platform </w:t>
      </w:r>
      <w:r>
        <w:rPr>
          <w:rFonts w:ascii="Arial" w:cs="Arial" w:eastAsia="Arial" w:hAnsi="Arial"/>
          <w:sz w:val="17"/>
          <w:szCs w:val="17"/>
          <w:color w:val="auto"/>
        </w:rPr>
        <w:t>that combines our comprehensive intelligence with analytical capabilities to help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uncover actionable insights and make better decisions, simplifying trend identification.</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Data Sources and Data Engine</w:t>
      </w:r>
    </w:p>
    <w:p>
      <w:pPr>
        <w:spacing w:after="0" w:line="112" w:lineRule="exact"/>
        <w:rPr>
          <w:sz w:val="20"/>
          <w:szCs w:val="20"/>
          <w:color w:val="auto"/>
        </w:rPr>
      </w:pPr>
    </w:p>
    <w:p>
      <w:pPr>
        <w:ind w:left="620" w:firstLine="399"/>
        <w:spacing w:after="0" w:line="253" w:lineRule="auto"/>
        <w:rPr>
          <w:sz w:val="20"/>
          <w:szCs w:val="20"/>
          <w:color w:val="auto"/>
        </w:rPr>
      </w:pPr>
      <w:r>
        <w:rPr>
          <w:rFonts w:ascii="Arial" w:cs="Arial" w:eastAsia="Arial" w:hAnsi="Arial"/>
          <w:sz w:val="17"/>
          <w:szCs w:val="17"/>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93" w:lineRule="exact"/>
        <w:rPr>
          <w:sz w:val="20"/>
          <w:szCs w:val="20"/>
          <w:color w:val="auto"/>
        </w:rPr>
      </w:pPr>
    </w:p>
    <w:p>
      <w:pPr>
        <w:ind w:left="1000" w:hanging="283"/>
        <w:spacing w:after="0"/>
        <w:tabs>
          <w:tab w:leader="none" w:pos="100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First Party Research</w:t>
      </w:r>
      <w:r>
        <w:rPr>
          <w:rFonts w:ascii="Arial" w:cs="Arial" w:eastAsia="Arial" w:hAnsi="Arial"/>
          <w:sz w:val="15"/>
          <w:szCs w:val="15"/>
          <w:color w:val="auto"/>
        </w:rPr>
        <w:t>. Our team conducts primary research via 650,000 annual research calls and 3.7 million e-mail outreaches per year.</w:t>
      </w:r>
    </w:p>
    <w:p>
      <w:pPr>
        <w:spacing w:after="0" w:line="140" w:lineRule="exact"/>
        <w:rPr>
          <w:rFonts w:ascii="Arial" w:cs="Arial" w:eastAsia="Arial" w:hAnsi="Arial"/>
          <w:sz w:val="15"/>
          <w:szCs w:val="15"/>
          <w:color w:val="auto"/>
        </w:rPr>
      </w:pPr>
    </w:p>
    <w:p>
      <w:pPr>
        <w:ind w:left="1000" w:right="260" w:hanging="283"/>
        <w:spacing w:after="0" w:line="27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 sources.</w:t>
      </w:r>
    </w:p>
    <w:p>
      <w:pPr>
        <w:spacing w:after="0" w:line="69" w:lineRule="exact"/>
        <w:rPr>
          <w:rFonts w:ascii="Arial" w:cs="Arial" w:eastAsia="Arial" w:hAnsi="Arial"/>
          <w:sz w:val="17"/>
          <w:szCs w:val="17"/>
          <w:color w:val="auto"/>
        </w:rPr>
      </w:pPr>
    </w:p>
    <w:p>
      <w:pPr>
        <w:ind w:left="1000" w:right="260" w:hanging="283"/>
        <w:spacing w:after="0" w:line="27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Government and Regulatory Sources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automated processes for ingesting, updating and linking information from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20,000 sources, including the federal government, states, towns and municipalities across the U.S.</w:t>
      </w:r>
    </w:p>
    <w:p>
      <w:pPr>
        <w:spacing w:after="0" w:line="69" w:lineRule="exact"/>
        <w:rPr>
          <w:rFonts w:ascii="Arial" w:cs="Arial" w:eastAsia="Arial" w:hAnsi="Arial"/>
          <w:sz w:val="17"/>
          <w:szCs w:val="17"/>
          <w:color w:val="auto"/>
        </w:rPr>
      </w:pPr>
    </w:p>
    <w:p>
      <w:pPr>
        <w:ind w:left="1000" w:right="60" w:hanging="283"/>
        <w:spacing w:after="0" w:line="27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third-party vendors, which provide us with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 billion claims covering over 250 million patients as of May 2021.</w:t>
      </w:r>
    </w:p>
    <w:p>
      <w:pPr>
        <w:spacing w:after="0" w:line="69" w:lineRule="exact"/>
        <w:rPr>
          <w:rFonts w:ascii="Arial" w:cs="Arial" w:eastAsia="Arial" w:hAnsi="Arial"/>
          <w:sz w:val="17"/>
          <w:szCs w:val="17"/>
          <w:color w:val="auto"/>
        </w:rPr>
      </w:pPr>
    </w:p>
    <w:p>
      <w:pPr>
        <w:ind w:left="1000" w:right="520" w:hanging="283"/>
        <w:spacing w:after="0" w:line="27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Competitive Strengths</w:t>
      </w:r>
    </w:p>
    <w:p>
      <w:pPr>
        <w:spacing w:after="0" w:line="125" w:lineRule="exact"/>
        <w:rPr>
          <w:sz w:val="20"/>
          <w:szCs w:val="20"/>
          <w:color w:val="auto"/>
        </w:rPr>
      </w:pPr>
    </w:p>
    <w:p>
      <w:pPr>
        <w:ind w:left="1000" w:right="300" w:hanging="283"/>
        <w:spacing w:after="0" w:line="260"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Healthcare-specific Intelligence</w:t>
      </w:r>
      <w:r>
        <w:rPr>
          <w:rFonts w:ascii="Arial" w:cs="Arial" w:eastAsia="Arial" w:hAnsi="Arial"/>
          <w:sz w:val="17"/>
          <w:szCs w:val="17"/>
          <w:color w:val="auto"/>
        </w:rPr>
        <w:t>. Over the last 11 years, we have built proprietary intelligence via first party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aggregated, linked, cleansed and inferred information from thousands of data sources and tied billions of data points together into a single longitudinal view of the entire healthcare ecosystem.</w:t>
      </w:r>
    </w:p>
    <w:p>
      <w:pPr>
        <w:spacing w:after="0" w:line="82" w:lineRule="exact"/>
        <w:rPr>
          <w:rFonts w:ascii="Arial" w:cs="Arial" w:eastAsia="Arial" w:hAnsi="Arial"/>
          <w:sz w:val="17"/>
          <w:szCs w:val="17"/>
          <w:color w:val="auto"/>
        </w:rPr>
      </w:pPr>
    </w:p>
    <w:p>
      <w:pPr>
        <w:ind w:left="1000" w:right="140" w:hanging="283"/>
        <w:spacing w:after="0" w:line="262"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An Integrated Data and Technology Foundation that Creates a Flywheel of Innovation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technology platform provides the foundation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rapid product development and innovation by leveraging our existing data assets to produce new modules and features that solve a growing number of our customers’ business problems.</w:t>
      </w:r>
    </w:p>
    <w:p>
      <w:pPr>
        <w:spacing w:after="0" w:line="81" w:lineRule="exact"/>
        <w:rPr>
          <w:rFonts w:ascii="Arial" w:cs="Arial" w:eastAsia="Arial" w:hAnsi="Arial"/>
          <w:sz w:val="17"/>
          <w:szCs w:val="17"/>
          <w:color w:val="auto"/>
        </w:rPr>
      </w:pPr>
    </w:p>
    <w:p>
      <w:pPr>
        <w:ind w:left="1000" w:right="340" w:hanging="283"/>
        <w:spacing w:after="0" w:line="262"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Powerful Go-to-Market Engine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sales executives (“SEs”). The efficiency of our model is demonstrated through our 2020 LTV to CAC ratio of over 10x.</w:t>
      </w:r>
    </w:p>
    <w:p>
      <w:pPr>
        <w:spacing w:after="0" w:line="81" w:lineRule="exact"/>
        <w:rPr>
          <w:rFonts w:ascii="Arial" w:cs="Arial" w:eastAsia="Arial" w:hAnsi="Arial"/>
          <w:sz w:val="17"/>
          <w:szCs w:val="17"/>
          <w:color w:val="auto"/>
        </w:rPr>
      </w:pPr>
    </w:p>
    <w:p>
      <w:pPr>
        <w:ind w:left="1000" w:hanging="283"/>
        <w:spacing w:after="0" w:line="345" w:lineRule="auto"/>
        <w:tabs>
          <w:tab w:leader="none" w:pos="100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Visionary, Founder-Led Management Team with a Track Record of Execution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founder-led management team has a strong track record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exceptional financial performance and of building an award- winning culture to attract and retain highly talented individuals.</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00"/>
          </w:cols>
          <w:pgMar w:left="320" w:top="440" w:right="9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6043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66535" cy="604393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Market Opportunity</w:t>
      </w:r>
    </w:p>
    <w:p>
      <w:pPr>
        <w:spacing w:after="0" w:line="112" w:lineRule="exact"/>
        <w:rPr>
          <w:sz w:val="20"/>
          <w:szCs w:val="20"/>
          <w:color w:val="auto"/>
        </w:rPr>
      </w:pPr>
    </w:p>
    <w:p>
      <w:pPr>
        <w:ind w:left="620" w:firstLine="399"/>
        <w:spacing w:after="0" w:line="269" w:lineRule="auto"/>
        <w:rPr>
          <w:sz w:val="20"/>
          <w:szCs w:val="20"/>
          <w:color w:val="auto"/>
        </w:rPr>
      </w:pPr>
      <w:r>
        <w:rPr>
          <w:rFonts w:ascii="Arial" w:cs="Arial" w:eastAsia="Arial" w:hAnsi="Arial"/>
          <w:sz w:val="16"/>
          <w:szCs w:val="16"/>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nine month period ending September 30, 2021.</w:t>
      </w:r>
    </w:p>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Growth Strategies</w:t>
      </w:r>
    </w:p>
    <w:p>
      <w:pPr>
        <w:spacing w:after="0" w:line="1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1" w:lineRule="exact"/>
        <w:rPr>
          <w:sz w:val="20"/>
          <w:szCs w:val="20"/>
          <w:color w:val="auto"/>
        </w:rPr>
      </w:pPr>
    </w:p>
    <w:p>
      <w:pPr>
        <w:ind w:left="1000" w:hanging="28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Acquire New Customers.</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Expand our Relationships with Existing Customers.</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 to Innovate to Strengthen our Platform and Market Leadership Position.</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Make Selective Strategic Acquisitions and Investments.</w:t>
      </w:r>
    </w:p>
    <w:p>
      <w:pPr>
        <w:spacing w:after="0" w:line="30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Summary of Risk Factors</w:t>
      </w:r>
    </w:p>
    <w:p>
      <w:pPr>
        <w:spacing w:after="0" w:line="112" w:lineRule="exact"/>
        <w:rPr>
          <w:sz w:val="20"/>
          <w:szCs w:val="20"/>
          <w:color w:val="auto"/>
        </w:rPr>
      </w:pPr>
    </w:p>
    <w:p>
      <w:pPr>
        <w:ind w:left="620" w:right="20" w:firstLine="399"/>
        <w:spacing w:after="0" w:line="254" w:lineRule="auto"/>
        <w:rPr>
          <w:sz w:val="20"/>
          <w:szCs w:val="20"/>
          <w:color w:val="auto"/>
        </w:rPr>
      </w:pPr>
      <w:r>
        <w:rPr>
          <w:rFonts w:ascii="Arial" w:cs="Arial" w:eastAsia="Arial" w:hAnsi="Arial"/>
          <w:sz w:val="17"/>
          <w:szCs w:val="17"/>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3" w:lineRule="exact"/>
        <w:rPr>
          <w:sz w:val="20"/>
          <w:szCs w:val="20"/>
          <w:color w:val="auto"/>
        </w:rPr>
      </w:pPr>
    </w:p>
    <w:p>
      <w:pPr>
        <w:ind w:left="1000" w:hanging="283"/>
        <w:spacing w:after="0" w:line="340" w:lineRule="auto"/>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30" w:lineRule="exact"/>
        <w:rPr>
          <w:rFonts w:ascii="Arial" w:cs="Arial" w:eastAsia="Arial" w:hAnsi="Arial"/>
          <w:sz w:val="15"/>
          <w:szCs w:val="15"/>
          <w:color w:val="auto"/>
        </w:rPr>
      </w:pPr>
    </w:p>
    <w:p>
      <w:pPr>
        <w:ind w:left="1000" w:right="100" w:hanging="283"/>
        <w:spacing w:after="0" w:line="272"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000" w:right="480" w:hanging="283"/>
        <w:spacing w:after="0" w:line="272"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76" w:lineRule="exact"/>
        <w:rPr>
          <w:rFonts w:ascii="Arial" w:cs="Arial" w:eastAsia="Arial" w:hAnsi="Arial"/>
          <w:sz w:val="17"/>
          <w:szCs w:val="17"/>
          <w:color w:val="auto"/>
        </w:rPr>
      </w:pPr>
    </w:p>
    <w:p>
      <w:pPr>
        <w:ind w:left="1000" w:hanging="28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inability to obtain and maintain accurate, comprehensive or reliable data, could result in reduced demand for our platform;</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132" w:lineRule="exact"/>
        <w:rPr>
          <w:rFonts w:ascii="Arial" w:cs="Arial" w:eastAsia="Arial" w:hAnsi="Arial"/>
          <w:sz w:val="16"/>
          <w:szCs w:val="16"/>
          <w:color w:val="auto"/>
        </w:rPr>
      </w:pPr>
    </w:p>
    <w:p>
      <w:pPr>
        <w:ind w:left="1000" w:right="380" w:hanging="283"/>
        <w:spacing w:after="0" w:line="272"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000" w:right="20" w:hanging="283"/>
        <w:spacing w:after="0" w:line="272"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40"/>
          </w:cols>
          <w:pgMar w:left="320" w:top="440" w:right="10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3397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66535" cy="33978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0" w:right="140" w:hanging="283"/>
        <w:spacing w:after="0" w:line="272"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76" w:lineRule="exact"/>
        <w:rPr>
          <w:rFonts w:ascii="Arial" w:cs="Arial" w:eastAsia="Arial" w:hAnsi="Arial"/>
          <w:sz w:val="17"/>
          <w:szCs w:val="17"/>
          <w:color w:val="auto"/>
        </w:rPr>
      </w:pPr>
    </w:p>
    <w:p>
      <w:pPr>
        <w:ind w:left="1000" w:right="140" w:hanging="283"/>
        <w:spacing w:after="0" w:line="272"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76" w:lineRule="exact"/>
        <w:rPr>
          <w:rFonts w:ascii="Arial" w:cs="Arial" w:eastAsia="Arial" w:hAnsi="Arial"/>
          <w:sz w:val="17"/>
          <w:szCs w:val="17"/>
          <w:color w:val="auto"/>
        </w:rPr>
      </w:pPr>
    </w:p>
    <w:p>
      <w:pPr>
        <w:ind w:left="1000" w:hanging="283"/>
        <w:spacing w:after="0" w:line="272"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76" w:lineRule="exact"/>
        <w:rPr>
          <w:rFonts w:ascii="Arial" w:cs="Arial" w:eastAsia="Arial" w:hAnsi="Arial"/>
          <w:sz w:val="17"/>
          <w:szCs w:val="17"/>
          <w:color w:val="auto"/>
        </w:rPr>
      </w:pPr>
    </w:p>
    <w:p>
      <w:pPr>
        <w:ind w:left="1000" w:hanging="28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210" w:lineRule="exact"/>
        <w:rPr>
          <w:sz w:val="20"/>
          <w:szCs w:val="20"/>
          <w:color w:val="auto"/>
        </w:rPr>
      </w:pPr>
    </w:p>
    <w:p>
      <w:pPr>
        <w:ind w:left="620" w:right="360" w:firstLine="399"/>
        <w:spacing w:after="0" w:line="272" w:lineRule="auto"/>
        <w:rPr>
          <w:sz w:val="20"/>
          <w:szCs w:val="20"/>
          <w:color w:val="auto"/>
        </w:rPr>
      </w:pPr>
      <w:r>
        <w:rPr>
          <w:rFonts w:ascii="Arial" w:cs="Arial" w:eastAsia="Arial" w:hAnsi="Arial"/>
          <w:sz w:val="17"/>
          <w:szCs w:val="17"/>
          <w:color w:val="auto"/>
        </w:rPr>
        <w:t>For a discussion of these and other risks you should consider before making an investment in our Class A common stock, see the section entitled “Risk Factors.”</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Initial Public Offering</w:t>
      </w:r>
    </w:p>
    <w:p>
      <w:pPr>
        <w:spacing w:after="0" w:line="112" w:lineRule="exact"/>
        <w:rPr>
          <w:sz w:val="20"/>
          <w:szCs w:val="20"/>
          <w:color w:val="auto"/>
        </w:rPr>
      </w:pPr>
    </w:p>
    <w:p>
      <w:pPr>
        <w:ind w:left="620" w:right="60" w:firstLine="399"/>
        <w:spacing w:after="0" w:line="268" w:lineRule="auto"/>
        <w:rPr>
          <w:sz w:val="20"/>
          <w:szCs w:val="20"/>
          <w:color w:val="auto"/>
        </w:rPr>
      </w:pPr>
      <w:r>
        <w:rPr>
          <w:rFonts w:ascii="Arial" w:cs="Arial" w:eastAsia="Arial" w:hAnsi="Arial"/>
          <w:sz w:val="16"/>
          <w:szCs w:val="16"/>
          <w:color w:val="auto"/>
        </w:rPr>
        <w:t>On September 17, 2021, we completed our IPO, in which we sold 17,888,888 shares of our Class A common stock (including the exercise in full of the underwriters’ 30-day option to purchase an additional 2,333,333 shares of Class A common stock from us) at a price to the public of $27.00 per share and received net proceeds of approximately $452.8 million after deducting the underwriting discounts and offering expenses payable by us. We used the net proceeds from the IPO to (i) acquire 14,222,222 newly issued LLC Units from Definitive OpCo, (ii) acquire 1,169,378 LLC Units from certain Unitholders and (iii) repurchase 2,497,288 shares of Class A common stock received by certain of the Blocker Companies’ Former Owners (as defined herein) at a purchase price per share of Class A common stock and per LLC Unit, in each case, equal to the IPO price of our Class A common stock, less the underwriting discounts. We caused Definitive OpCo to use the proceeds from the issuance of the LLC Units to Definitive Healthcare Corp. to (i) pay fees and expenses of approximately $10.1 million in connection with the IPO and the Reorganization Transactions and to (ii) repay $195.4 million of the outstanding borrowings under our Senior Credit Facilities, with the remainder used for general corporate purposes.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00"/>
          </w:cols>
          <w:pgMar w:left="320" w:top="440" w:right="9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730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66535" cy="573024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ORGANIZATIONAL STRUCTURE</w:t>
      </w:r>
    </w:p>
    <w:p>
      <w:pPr>
        <w:spacing w:after="0" w:line="214" w:lineRule="exact"/>
        <w:rPr>
          <w:sz w:val="20"/>
          <w:szCs w:val="20"/>
          <w:color w:val="auto"/>
        </w:rPr>
      </w:pPr>
    </w:p>
    <w:p>
      <w:pPr>
        <w:ind w:left="620" w:right="360" w:firstLine="399"/>
        <w:spacing w:after="0" w:line="272" w:lineRule="auto"/>
        <w:rPr>
          <w:sz w:val="20"/>
          <w:szCs w:val="20"/>
          <w:color w:val="auto"/>
        </w:rPr>
      </w:pPr>
      <w:r>
        <w:rPr>
          <w:rFonts w:ascii="Arial" w:cs="Arial" w:eastAsia="Arial" w:hAnsi="Arial"/>
          <w:sz w:val="17"/>
          <w:szCs w:val="17"/>
          <w:color w:val="auto"/>
        </w:rPr>
        <w:t>Definitive Healthcare Corp. is a holding company and its sole material asset is an ownership interest in Definitive OpCo. We refer to the holders who hold their ownership in Definitive OpCo in the form of LLC Units as “Unitholders.”</w:t>
      </w:r>
    </w:p>
    <w:p>
      <w:pPr>
        <w:spacing w:after="0" w:line="76" w:lineRule="exact"/>
        <w:rPr>
          <w:sz w:val="20"/>
          <w:szCs w:val="20"/>
          <w:color w:val="auto"/>
        </w:rPr>
      </w:pPr>
    </w:p>
    <w:p>
      <w:pPr>
        <w:ind w:left="1000" w:hanging="283"/>
        <w:spacing w:after="0" w:line="268"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connection with our IPO, certain entities treated as corporations for U.S. tax purposes that held LLC Units (individually, a “Blocker Company” and together, the “Blocker Companies”) merged into Definitive Healthcare Corp. (the “Mergers”). The former owners of the Blocker Companies (“Blocker Companies’ Former Owners”) received a number of shares of Class A common stock in the Mergers and do not hold interests directly in Definitive OpCo. After the Mergers and the consummation of our IPO, the Blocker Companies’ Former Owners collectively held 70,374,445 shares of our Class A common stock. AIDH Management Holdings, LLC is a special purpose investment vehicle through which certain persons, primarily employees and certain legacy investors, indirectly hold interests in Definitive OpCo. Certain profits interests held through Definitive OpCo, which correspond on a one-for-one basis to Class B Units issued to AIDH Management Holdings, LLC by Definitive OpCo only have value to the extent there is appreciation of Definitive OpCo above a certain floor. Class B Units that were issued to AIDH Management Holdings, LLC by Definitive OpCo were converted and reclassified into LLC Units and subject to the vesting terms described in Executive and Director Compensation—Equity Compensation (the above series of transactions are collectively referred to herein as the “Reorganization Transactions”).</w:t>
      </w:r>
    </w:p>
    <w:p>
      <w:pPr>
        <w:spacing w:after="0" w:line="82" w:lineRule="exact"/>
        <w:rPr>
          <w:rFonts w:ascii="Arial" w:cs="Arial" w:eastAsia="Arial" w:hAnsi="Arial"/>
          <w:sz w:val="16"/>
          <w:szCs w:val="16"/>
          <w:color w:val="auto"/>
        </w:rPr>
      </w:pPr>
    </w:p>
    <w:p>
      <w:pPr>
        <w:ind w:left="1000" w:hanging="283"/>
        <w:spacing w:after="0" w:line="269"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connection with our IPO we entered into an amended LLC agreement (the “Amended LLC Agreement”), pursuant to which the Unitholders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81" w:lineRule="exact"/>
        <w:rPr>
          <w:rFonts w:ascii="Arial" w:cs="Arial" w:eastAsia="Arial" w:hAnsi="Arial"/>
          <w:sz w:val="16"/>
          <w:szCs w:val="16"/>
          <w:color w:val="auto"/>
        </w:rPr>
      </w:pPr>
    </w:p>
    <w:p>
      <w:pPr>
        <w:ind w:left="1000" w:right="20" w:hanging="283"/>
        <w:spacing w:after="0" w:line="252"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described below under “Certain Relationships and Related Party Transactions—Tax Receivable Agreement,” in connection with our IPO, we entered into a Tax Receivable Agreement that obligates us to make payments to the Unitholders, the Blocker Companies’ Former Owners, and any future party to the Tax Receivable Agreement (collectively, the “TRA Parties”) in the aggregate generally equal to 85% of the applicable cash savings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 We retain the benefit of the remaining 15% of these tax savings.</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connection with the offering, we will enter into the following transactions.</w:t>
      </w:r>
    </w:p>
    <w:p>
      <w:pPr>
        <w:spacing w:after="0" w:line="121" w:lineRule="exact"/>
        <w:rPr>
          <w:sz w:val="20"/>
          <w:szCs w:val="20"/>
          <w:color w:val="auto"/>
        </w:rPr>
      </w:pPr>
    </w:p>
    <w:p>
      <w:pPr>
        <w:ind w:left="1000" w:right="320" w:hanging="283"/>
        <w:spacing w:after="0" w:line="272"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will issue 11,000,000 shares of Class A common stock pursuant to this offering (or 12,650,000 shares of Class A common stock if the underwriters exercise their option to purchase additional shares of Class A common stock in full).</w:t>
      </w:r>
    </w:p>
    <w:p>
      <w:pPr>
        <w:spacing w:after="0" w:line="76" w:lineRule="exact"/>
        <w:rPr>
          <w:rFonts w:ascii="Arial" w:cs="Arial" w:eastAsia="Arial" w:hAnsi="Arial"/>
          <w:sz w:val="17"/>
          <w:szCs w:val="17"/>
          <w:color w:val="auto"/>
        </w:rPr>
      </w:pPr>
    </w:p>
    <w:p>
      <w:pPr>
        <w:ind w:left="1000" w:hanging="283"/>
        <w:spacing w:after="0" w:line="277"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intend to use the net proceeds from this offering (i) for acquisitions or investments and general corporate purposes, including purchasing 7,000,000 newly issued LLC Units from Definitive OpCo, and (ii) to repurchase an aggregate of 2,233,238 shares of Class A common stock and purchase 1,766,762 LLC Units in Definitive OpCo from existing holders, including our Sponsors, officers, directors and their affiliates, in a “synthetic secondary” transaction, at a price per share of Class A common stock and per LLC</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00"/>
          </w:cols>
          <w:pgMar w:left="320" w:top="440" w:right="9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6421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66535" cy="64217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20"/>
        <w:spacing w:after="0" w:line="287" w:lineRule="auto"/>
        <w:rPr>
          <w:sz w:val="20"/>
          <w:szCs w:val="20"/>
          <w:color w:val="auto"/>
        </w:rPr>
      </w:pPr>
      <w:r>
        <w:rPr>
          <w:rFonts w:ascii="Arial" w:cs="Arial" w:eastAsia="Arial" w:hAnsi="Arial"/>
          <w:sz w:val="15"/>
          <w:szCs w:val="15"/>
          <w:color w:val="auto"/>
        </w:rPr>
        <w:t>Unit in each case, equal to the public offering price of Class A common stock less the underwriting discounts. In the event the underwriters exercise their option to purchase additional shares, we will use the net proceeds to repurchase additional shares of Class A common stock and to purchase additional limited liability interests in Definitive OpCo from existing holders. After this offering, we intend to purchase</w:t>
      </w:r>
    </w:p>
    <w:p>
      <w:pPr>
        <w:spacing w:after="0" w:line="1" w:lineRule="exact"/>
        <w:rPr>
          <w:sz w:val="20"/>
          <w:szCs w:val="20"/>
          <w:color w:val="auto"/>
        </w:rPr>
      </w:pPr>
    </w:p>
    <w:p>
      <w:pPr>
        <w:ind w:left="1020" w:right="520"/>
        <w:spacing w:after="0" w:line="257" w:lineRule="auto"/>
        <w:rPr>
          <w:sz w:val="20"/>
          <w:szCs w:val="20"/>
          <w:color w:val="auto"/>
        </w:rPr>
      </w:pPr>
      <w:r>
        <w:rPr>
          <w:rFonts w:ascii="Arial" w:cs="Arial" w:eastAsia="Arial" w:hAnsi="Arial"/>
          <w:sz w:val="17"/>
          <w:szCs w:val="17"/>
          <w:color w:val="auto"/>
        </w:rPr>
        <w:t>7,000,000 newly issued limited liability interests of Definitive OpCo using either the net proceeds from this offering or other assets or investments acquired using such net proceeds.</w:t>
      </w:r>
    </w:p>
    <w:p>
      <w:pPr>
        <w:spacing w:after="0" w:line="177" w:lineRule="exact"/>
        <w:rPr>
          <w:sz w:val="20"/>
          <w:szCs w:val="20"/>
          <w:color w:val="auto"/>
        </w:rPr>
      </w:pPr>
    </w:p>
    <w:p>
      <w:pPr>
        <w:ind w:left="620" w:right="160" w:firstLine="399"/>
        <w:spacing w:after="0" w:line="254" w:lineRule="auto"/>
        <w:rPr>
          <w:sz w:val="20"/>
          <w:szCs w:val="20"/>
          <w:color w:val="auto"/>
        </w:rPr>
      </w:pPr>
      <w:r>
        <w:rPr>
          <w:rFonts w:ascii="Arial" w:cs="Arial" w:eastAsia="Arial" w:hAnsi="Arial"/>
          <w:sz w:val="17"/>
          <w:szCs w:val="17"/>
          <w:color w:val="auto"/>
        </w:rPr>
        <w:t>The following diagram depicts our organizational structure after giving effect to this offering, including the repurchase of an aggregate of 2,233,238 shares of Class A common stock and purchase of 1,766,762 LLC Units in Definitive OpCo from existing holders, including our Sponsors, officers, directors and their affiliates, in a “synthetic secondary” transaction, and the purchase of 7,000,000 newly issued LLC Units of Definitive OpCo by us. See “Use of Proceeds”.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hanging="392"/>
        <w:spacing w:after="0"/>
        <w:tabs>
          <w:tab w:leader="none" w:pos="10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LLC Units and Class B common stock held by Jason Krantz, our CEO.</w:t>
      </w:r>
    </w:p>
    <w:p>
      <w:pPr>
        <w:spacing w:after="0" w:line="1" w:lineRule="exact"/>
        <w:rPr>
          <w:rFonts w:ascii="Arial" w:cs="Arial" w:eastAsia="Arial" w:hAnsi="Arial"/>
          <w:sz w:val="13"/>
          <w:szCs w:val="13"/>
          <w:color w:val="auto"/>
        </w:rPr>
      </w:pPr>
    </w:p>
    <w:p>
      <w:pPr>
        <w:ind w:left="1020" w:hanging="392"/>
        <w:spacing w:after="0"/>
        <w:tabs>
          <w:tab w:leader="none" w:pos="10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Does not include Jason Krantz.</w:t>
      </w: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80"/>
          </w:cols>
          <w:pgMar w:left="320" w:top="440" w:right="99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714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66535" cy="571436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firstLine="399"/>
        <w:spacing w:after="0" w:line="290" w:lineRule="auto"/>
        <w:rPr>
          <w:sz w:val="20"/>
          <w:szCs w:val="20"/>
          <w:color w:val="auto"/>
        </w:rPr>
      </w:pPr>
      <w:r>
        <w:rPr>
          <w:rFonts w:ascii="Arial" w:cs="Arial" w:eastAsia="Arial" w:hAnsi="Arial"/>
          <w:sz w:val="15"/>
          <w:szCs w:val="15"/>
          <w:color w:val="auto"/>
        </w:rPr>
        <w:t>Our corporate structure is commonly referred to as an “Up-C” structure, which is commonly used by partnerships and limited liability companies when they undertake an initial public offering of their business. Our Up-C structure allows the Unitholders to continue to realize tax benefits associated with owning interests in an entity that is treated as a partnership, or “pass-through” entity, for U.S. federal and applicable state and local income tax purposes. One of these benefits is that taxable income of Definitive OpCo that is allocated to such owners will be taxed on a flow-through basis and, therefore, will generally not be subject to U.S. federal and applicable state and local income taxes at the entity level. Additionally, because the LLC Units that the Unitholders hold are exchangeable for newly issued shares of Class A common stock on a one-for-one basis in accordance with the terms of the Amended LLC Agreement, our “Up-C” structure also provides the Unitholders with potential liquidity that holders of nonpublicly traded limited liability companies are not typically afforded. See “Description of Capital Stock.”</w:t>
      </w:r>
    </w:p>
    <w:p>
      <w:pPr>
        <w:spacing w:after="0" w:line="156" w:lineRule="exact"/>
        <w:rPr>
          <w:sz w:val="20"/>
          <w:szCs w:val="20"/>
          <w:color w:val="auto"/>
        </w:rPr>
      </w:pPr>
    </w:p>
    <w:p>
      <w:pPr>
        <w:ind w:left="620" w:right="140" w:firstLine="399"/>
        <w:spacing w:after="0" w:line="270" w:lineRule="auto"/>
        <w:rPr>
          <w:sz w:val="20"/>
          <w:szCs w:val="20"/>
          <w:color w:val="auto"/>
        </w:rPr>
      </w:pPr>
      <w:r>
        <w:rPr>
          <w:rFonts w:ascii="Arial" w:cs="Arial" w:eastAsia="Arial" w:hAnsi="Arial"/>
          <w:sz w:val="16"/>
          <w:szCs w:val="16"/>
          <w:color w:val="auto"/>
        </w:rPr>
        <w:t>We hold LLC Units, and therefore receive the same benefits as the Unitholders with respect to our ownership in an entity treated as a partnership, or “pass-through” entity, for U.S. federal and applicable state and local income tax purposes which result in favorable tax attributes allocated to us. These tax attributes would not be available to us in the absence of those transactions and are expected to reduce the amount of tax that we would otherwise be required to pay in the future. We entered into a Tax Receivable Agreement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 We retain the benefit of the remaining 15% of these tax savings.</w:t>
      </w:r>
    </w:p>
    <w:p>
      <w:pPr>
        <w:spacing w:after="0" w:line="172" w:lineRule="exact"/>
        <w:rPr>
          <w:sz w:val="20"/>
          <w:szCs w:val="20"/>
          <w:color w:val="auto"/>
        </w:rPr>
      </w:pPr>
    </w:p>
    <w:p>
      <w:pPr>
        <w:ind w:left="620" w:firstLine="399"/>
        <w:spacing w:after="0" w:line="274" w:lineRule="auto"/>
        <w:rPr>
          <w:sz w:val="20"/>
          <w:szCs w:val="20"/>
          <w:color w:val="auto"/>
        </w:rPr>
      </w:pPr>
      <w:r>
        <w:rPr>
          <w:rFonts w:ascii="Arial" w:cs="Arial" w:eastAsia="Arial" w:hAnsi="Arial"/>
          <w:sz w:val="16"/>
          <w:szCs w:val="16"/>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6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Upon completion of the transactions described above, this offering and the application of our net proceeds from this offering:</w:t>
      </w:r>
    </w:p>
    <w:p>
      <w:pPr>
        <w:spacing w:after="0" w:line="121" w:lineRule="exact"/>
        <w:rPr>
          <w:sz w:val="20"/>
          <w:szCs w:val="20"/>
          <w:color w:val="auto"/>
        </w:rPr>
      </w:pPr>
    </w:p>
    <w:p>
      <w:pPr>
        <w:ind w:left="1000" w:right="340" w:hanging="283"/>
        <w:spacing w:after="0" w:line="25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Definitive Healthcare Corp. is the sole managing member of Definitive OpCo and after this offering will hold 97,030,095 LLC Units, constituting 62.5% of the outstanding economic interests in Definitive OpCo (or 97,758,883 units, constituting 63.0% of the outstanding economic interests in Definitive OpCo if the underwriters exercise their option to purchase additional shares of Class A common stock in full).</w:t>
      </w:r>
    </w:p>
    <w:p>
      <w:pPr>
        <w:spacing w:after="0" w:line="90" w:lineRule="exact"/>
        <w:rPr>
          <w:rFonts w:ascii="Arial" w:cs="Arial" w:eastAsia="Arial" w:hAnsi="Arial"/>
          <w:sz w:val="17"/>
          <w:szCs w:val="17"/>
          <w:color w:val="auto"/>
        </w:rPr>
      </w:pPr>
    </w:p>
    <w:p>
      <w:pPr>
        <w:ind w:left="1000" w:right="180" w:hanging="283"/>
        <w:spacing w:after="0" w:line="254"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will have 97,030,095 shares of Class A common stock issued and outstanding, representing 63.6% of the combined voting power of our common stock (or 97,758,883 shares and 64.1%, respectively, if the underwriters exercise their option to purchase additional shares of Class A common stock in full) and the holders of our Class A common stock, through our direct and indirect ownership of LLC Units, indirectly will hold approximately 62.5% of the economic interest in Definitive OpCo (or 63.0% if the underwriters exercise their option to purchase additional shares of Class A common stock in full).</w:t>
      </w:r>
    </w:p>
    <w:p>
      <w:pPr>
        <w:spacing w:after="0" w:line="92" w:lineRule="exact"/>
        <w:rPr>
          <w:rFonts w:ascii="Arial" w:cs="Arial" w:eastAsia="Arial" w:hAnsi="Arial"/>
          <w:sz w:val="17"/>
          <w:szCs w:val="17"/>
          <w:color w:val="auto"/>
        </w:rPr>
      </w:pPr>
    </w:p>
    <w:p>
      <w:pPr>
        <w:ind w:left="1000" w:right="160" w:hanging="283"/>
        <w:spacing w:after="0" w:line="254"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Unitholders will collectively hold 126,385,834 LLC Units, which together directly and indirectly represent approximately 81.4% of the economic interests in Definitive OpCo (or 80.3% if the underwriters exercise their option to purchase additional shares of Class A common stock in full) and (ii) through their collective ownership of 68,141,207 shares of Class A and 58,244,627 shares of Class B common stock, approximately 82.9% of the combined voting power of our common stock (or 81.8% if the underwriters exercise their option to purchase additional shares of Class A common stock in full).</w:t>
      </w:r>
    </w:p>
    <w:p>
      <w:pPr>
        <w:spacing w:after="0" w:line="181" w:lineRule="exact"/>
        <w:rPr>
          <w:sz w:val="20"/>
          <w:szCs w:val="20"/>
          <w:color w:val="auto"/>
        </w:rPr>
      </w:pPr>
    </w:p>
    <w:p>
      <w:pPr>
        <w:ind w:left="620" w:right="40" w:firstLine="399"/>
        <w:spacing w:after="0" w:line="272" w:lineRule="auto"/>
        <w:rPr>
          <w:sz w:val="20"/>
          <w:szCs w:val="20"/>
          <w:color w:val="auto"/>
        </w:rPr>
      </w:pPr>
      <w:r>
        <w:rPr>
          <w:rFonts w:ascii="Arial" w:cs="Arial" w:eastAsia="Arial" w:hAnsi="Arial"/>
          <w:sz w:val="17"/>
          <w:szCs w:val="17"/>
          <w:color w:val="auto"/>
        </w:rPr>
        <w:t>See “Certain Relationships and Related Party Transactions” and “Description of Capital Stock” for more information on the rights associated with our common stock and the LLC Units.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00"/>
          </w:cols>
          <w:pgMar w:left="320" w:top="440" w:right="9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130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66535" cy="41300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380" w:firstLine="399"/>
        <w:spacing w:after="0" w:line="272" w:lineRule="auto"/>
        <w:rPr>
          <w:sz w:val="20"/>
          <w:szCs w:val="20"/>
          <w:color w:val="auto"/>
        </w:rPr>
      </w:pPr>
      <w:r>
        <w:rPr>
          <w:rFonts w:ascii="Arial" w:cs="Arial" w:eastAsia="Arial" w:hAnsi="Arial"/>
          <w:sz w:val="17"/>
          <w:szCs w:val="17"/>
          <w:color w:val="auto"/>
        </w:rPr>
        <w:t>The following table presents the holdings of outstanding common stock and LLC Units, after giving effect to this offering and the use of proceeds therefrom:</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10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Common Stock</w:t>
            </w:r>
            <w:r>
              <w:rPr>
                <w:rFonts w:ascii="Arial" w:cs="Arial" w:eastAsia="Arial" w:hAnsi="Arial"/>
                <w:sz w:val="11"/>
                <w:szCs w:val="11"/>
                <w:b w:val="1"/>
                <w:bCs w:val="1"/>
                <w:color w:val="auto"/>
                <w:w w:val="93"/>
              </w:rPr>
              <w:t>(1)</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0"/>
              <w:spacing w:after="0"/>
              <w:rPr>
                <w:sz w:val="20"/>
                <w:szCs w:val="20"/>
                <w:color w:val="auto"/>
              </w:rPr>
            </w:pPr>
            <w:r>
              <w:rPr>
                <w:rFonts w:ascii="Arial" w:cs="Arial" w:eastAsia="Arial" w:hAnsi="Arial"/>
                <w:sz w:val="13"/>
                <w:szCs w:val="13"/>
                <w:b w:val="1"/>
                <w:bCs w:val="1"/>
                <w:color w:val="auto"/>
              </w:rPr>
              <w:t>Units</w:t>
            </w:r>
          </w:p>
        </w:tc>
        <w:tc>
          <w:tcPr>
            <w:tcW w:w="0" w:type="dxa"/>
            <w:vAlign w:val="bottom"/>
          </w:tcPr>
          <w:p>
            <w:pPr>
              <w:spacing w:after="0"/>
              <w:rPr>
                <w:sz w:val="1"/>
                <w:szCs w:val="1"/>
                <w:color w:val="auto"/>
              </w:rPr>
            </w:pPr>
          </w:p>
        </w:tc>
      </w:tr>
      <w:tr>
        <w:trPr>
          <w:trHeight w:val="132"/>
        </w:trPr>
        <w:tc>
          <w:tcPr>
            <w:tcW w:w="10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40" w:type="dxa"/>
            <w:vAlign w:val="bottom"/>
            <w:tcBorders>
              <w:top w:val="single" w:sz="8" w:color="auto"/>
            </w:tcBorders>
          </w:tcPr>
          <w:p>
            <w:pPr>
              <w:jc w:val="right"/>
              <w:ind w:right="217"/>
              <w:spacing w:after="0" w:line="132" w:lineRule="exact"/>
              <w:rPr>
                <w:sz w:val="20"/>
                <w:szCs w:val="20"/>
                <w:color w:val="auto"/>
              </w:rPr>
            </w:pPr>
            <w:r>
              <w:rPr>
                <w:rFonts w:ascii="Arial" w:cs="Arial" w:eastAsia="Arial" w:hAnsi="Arial"/>
                <w:sz w:val="13"/>
                <w:szCs w:val="13"/>
                <w:b w:val="1"/>
                <w:bCs w:val="1"/>
                <w:color w:val="auto"/>
              </w:rPr>
              <w:t>Class A</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87"/>
              </w:rPr>
              <w:t>Class B</w:t>
            </w:r>
          </w:p>
        </w:tc>
        <w:tc>
          <w:tcPr>
            <w:tcW w:w="1060" w:type="dxa"/>
            <w:vAlign w:val="bottom"/>
            <w:tcBorders>
              <w:top w:val="single" w:sz="8" w:color="auto"/>
            </w:tcBorders>
          </w:tcPr>
          <w:p>
            <w:pPr>
              <w:jc w:val="right"/>
              <w:ind w:right="297"/>
              <w:spacing w:after="0" w:line="132"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1100" w:type="dxa"/>
            <w:vAlign w:val="bottom"/>
            <w:tcBorders>
              <w:top w:val="single" w:sz="8" w:color="auto"/>
            </w:tcBorders>
          </w:tcPr>
          <w:p>
            <w:pPr>
              <w:jc w:val="right"/>
              <w:ind w:right="164"/>
              <w:spacing w:after="0" w:line="132" w:lineRule="exact"/>
              <w:rPr>
                <w:sz w:val="20"/>
                <w:szCs w:val="20"/>
                <w:color w:val="auto"/>
              </w:rPr>
            </w:pPr>
            <w:r>
              <w:rPr>
                <w:rFonts w:ascii="Arial" w:cs="Arial" w:eastAsia="Arial" w:hAnsi="Arial"/>
                <w:sz w:val="13"/>
                <w:szCs w:val="13"/>
                <w:b w:val="1"/>
                <w:bCs w:val="1"/>
                <w:color w:val="auto"/>
              </w:rPr>
              <w:t>LLC Units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360" w:type="dxa"/>
            <w:vAlign w:val="bottom"/>
            <w:tcBorders>
              <w:top w:val="single" w:sz="8" w:color="CCEEFF"/>
            </w:tcBorders>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rPr>
              <w:t>Public Stockholders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28,888,888</w:t>
            </w: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28,888,888</w:t>
            </w: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28,888,888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ind w:left="340"/>
              <w:spacing w:after="0"/>
              <w:rPr>
                <w:sz w:val="20"/>
                <w:szCs w:val="20"/>
                <w:color w:val="auto"/>
              </w:rPr>
            </w:pPr>
            <w:r>
              <w:rPr>
                <w:rFonts w:ascii="Arial" w:cs="Arial" w:eastAsia="Arial" w:hAnsi="Arial"/>
                <w:sz w:val="17"/>
                <w:szCs w:val="17"/>
                <w:color w:val="auto"/>
              </w:rPr>
              <w:t>Advent</w:t>
            </w:r>
          </w:p>
        </w:tc>
        <w:tc>
          <w:tcPr>
            <w:tcW w:w="1040" w:type="dxa"/>
            <w:vAlign w:val="bottom"/>
          </w:tcPr>
          <w:p>
            <w:pPr>
              <w:jc w:val="right"/>
              <w:spacing w:after="0"/>
              <w:rPr>
                <w:sz w:val="20"/>
                <w:szCs w:val="20"/>
                <w:color w:val="auto"/>
              </w:rPr>
            </w:pPr>
            <w:r>
              <w:rPr>
                <w:rFonts w:ascii="Arial" w:cs="Arial" w:eastAsia="Arial" w:hAnsi="Arial"/>
                <w:sz w:val="17"/>
                <w:szCs w:val="17"/>
                <w:color w:val="auto"/>
              </w:rPr>
              <w:t>62,493,676</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62,493,676</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62,493,676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Spectrum Equity</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2,791,929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26,808,886</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29,600,815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29,600,815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ind w:left="340"/>
              <w:spacing w:after="0"/>
              <w:rPr>
                <w:sz w:val="20"/>
                <w:szCs w:val="20"/>
                <w:color w:val="auto"/>
              </w:rPr>
            </w:pPr>
            <w:r>
              <w:rPr>
                <w:rFonts w:ascii="Arial" w:cs="Arial" w:eastAsia="Arial" w:hAnsi="Arial"/>
                <w:sz w:val="17"/>
                <w:szCs w:val="17"/>
                <w:color w:val="auto"/>
              </w:rPr>
              <w:t>22C Capital.</w:t>
            </w:r>
          </w:p>
        </w:tc>
        <w:tc>
          <w:tcPr>
            <w:tcW w:w="1040" w:type="dxa"/>
            <w:vAlign w:val="bottom"/>
          </w:tcPr>
          <w:p>
            <w:pPr>
              <w:jc w:val="right"/>
              <w:spacing w:after="0"/>
              <w:rPr>
                <w:sz w:val="20"/>
                <w:szCs w:val="20"/>
                <w:color w:val="auto"/>
              </w:rPr>
            </w:pPr>
            <w:r>
              <w:rPr>
                <w:rFonts w:ascii="Arial" w:cs="Arial" w:eastAsia="Arial" w:hAnsi="Arial"/>
                <w:sz w:val="17"/>
                <w:szCs w:val="17"/>
                <w:color w:val="auto"/>
              </w:rPr>
              <w:t>520,927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4,151,506</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4,672,433</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4,672,433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Jason Krantz</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21,299,157</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21,299,157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21,299,157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ind w:left="340"/>
              <w:spacing w:after="0"/>
              <w:rPr>
                <w:sz w:val="20"/>
                <w:szCs w:val="20"/>
                <w:color w:val="auto"/>
              </w:rPr>
            </w:pPr>
            <w:r>
              <w:rPr>
                <w:rFonts w:ascii="Arial" w:cs="Arial" w:eastAsia="Arial" w:hAnsi="Arial"/>
                <w:sz w:val="17"/>
                <w:szCs w:val="17"/>
                <w:color w:val="auto"/>
              </w:rPr>
              <w:t>Members of AIDH Management Holdings, LLC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2,334,675</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5,985,078</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8,319,753</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8,319,753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Total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97,030,095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58,244,627</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155,274,722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155,274,722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340"/>
              <w:spacing w:after="0"/>
              <w:rPr>
                <w:sz w:val="20"/>
                <w:szCs w:val="20"/>
                <w:color w:val="auto"/>
              </w:rPr>
            </w:pPr>
            <w:r>
              <w:rPr>
                <w:rFonts w:ascii="Arial" w:cs="Arial" w:eastAsia="Arial" w:hAnsi="Arial"/>
                <w:sz w:val="17"/>
                <w:szCs w:val="17"/>
                <w:color w:val="auto"/>
              </w:rPr>
              <w:t>Total, after giving effect to the exchange of LLC Units (other than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60" w:type="dxa"/>
            <w:vAlign w:val="bottom"/>
            <w:gridSpan w:val="2"/>
            <w:vMerge w:val="continue"/>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ind w:left="500"/>
              <w:spacing w:after="0"/>
              <w:rPr>
                <w:sz w:val="20"/>
                <w:szCs w:val="20"/>
                <w:color w:val="auto"/>
              </w:rPr>
            </w:pPr>
            <w:r>
              <w:rPr>
                <w:rFonts w:ascii="Arial" w:cs="Arial" w:eastAsia="Arial" w:hAnsi="Arial"/>
                <w:sz w:val="17"/>
                <w:szCs w:val="17"/>
                <w:color w:val="auto"/>
                <w:w w:val="98"/>
              </w:rPr>
              <w:t>unvested LLC Units) for newly issued shares of Class A Common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ind w:left="500"/>
              <w:spacing w:after="0"/>
              <w:rPr>
                <w:sz w:val="20"/>
                <w:szCs w:val="20"/>
                <w:color w:val="auto"/>
              </w:rPr>
            </w:pPr>
            <w:r>
              <w:rPr>
                <w:rFonts w:ascii="Arial" w:cs="Arial" w:eastAsia="Arial" w:hAnsi="Arial"/>
                <w:sz w:val="17"/>
                <w:szCs w:val="17"/>
                <w:color w:val="auto"/>
              </w:rPr>
              <w:t>Stock and the retirement of the corresponding shares of Class B</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60" w:type="dxa"/>
            <w:vAlign w:val="bottom"/>
            <w:gridSpan w:val="2"/>
          </w:tcPr>
          <w:p>
            <w:pPr>
              <w:ind w:left="500"/>
              <w:spacing w:after="0"/>
              <w:rPr>
                <w:sz w:val="20"/>
                <w:szCs w:val="20"/>
                <w:color w:val="auto"/>
              </w:rPr>
            </w:pPr>
            <w:r>
              <w:rPr>
                <w:rFonts w:ascii="Arial" w:cs="Arial" w:eastAsia="Arial" w:hAnsi="Arial"/>
                <w:sz w:val="17"/>
                <w:szCs w:val="17"/>
                <w:color w:val="auto"/>
              </w:rPr>
              <w:t>Common Stock on a one-for-one basis.</w:t>
            </w:r>
          </w:p>
        </w:tc>
        <w:tc>
          <w:tcPr>
            <w:tcW w:w="1040" w:type="dxa"/>
            <w:vAlign w:val="bottom"/>
          </w:tcPr>
          <w:p>
            <w:pPr>
              <w:jc w:val="right"/>
              <w:spacing w:after="0"/>
              <w:rPr>
                <w:sz w:val="20"/>
                <w:szCs w:val="20"/>
                <w:color w:val="auto"/>
              </w:rPr>
            </w:pPr>
            <w:r>
              <w:rPr>
                <w:rFonts w:ascii="Arial" w:cs="Arial" w:eastAsia="Arial" w:hAnsi="Arial"/>
                <w:sz w:val="17"/>
                <w:szCs w:val="17"/>
                <w:color w:val="auto"/>
              </w:rPr>
              <w:t>152,505,872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2,768,850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155,274,722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155,274,722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6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7"/>
                <w:szCs w:val="17"/>
                <w:color w:val="auto"/>
              </w:rPr>
              <w:t>Total, after giving further effect to the vesting of employee and</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executive leadership team equity grants under our 2021 Equity</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Incentive Plan</w:t>
            </w:r>
            <w:r>
              <w:rPr>
                <w:rFonts w:ascii="Arial" w:cs="Arial" w:eastAsia="Arial" w:hAnsi="Arial"/>
                <w:sz w:val="14"/>
                <w:szCs w:val="14"/>
                <w:color w:val="auto"/>
              </w:rPr>
              <w:t>(2)(3)</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157,393,484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157,393,484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157,393,484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08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20" w:right="20" w:hanging="392"/>
        <w:spacing w:after="0" w:line="252"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Reflects the number of shares of our Class A and Class B common stock, respectively, outstanding, after giving effect to the issuance and sale of shares of Class A common stock offered hereby. If the underwriters exercise in full their option to purchase additional shares of our Class A common stock, the number of shares of Class A common stock owned by public stockholders in the table above would be shares of Class A common stock.</w:t>
      </w:r>
    </w:p>
    <w:p>
      <w:pPr>
        <w:spacing w:after="0" w:line="1" w:lineRule="exact"/>
        <w:rPr>
          <w:rFonts w:ascii="Arial" w:cs="Arial" w:eastAsia="Arial" w:hAnsi="Arial"/>
          <w:sz w:val="17"/>
          <w:szCs w:val="17"/>
          <w:color w:val="auto"/>
        </w:rPr>
      </w:pPr>
    </w:p>
    <w:p>
      <w:pPr>
        <w:ind w:left="1020" w:hanging="39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the 2,768,850 LLC Units held by members of AIDH Management Holdings, LLC that are subject to time-based vesting.</w:t>
      </w:r>
    </w:p>
    <w:p>
      <w:pPr>
        <w:spacing w:after="0" w:line="7" w:lineRule="exact"/>
        <w:rPr>
          <w:rFonts w:ascii="Arial" w:cs="Arial" w:eastAsia="Arial" w:hAnsi="Arial"/>
          <w:sz w:val="17"/>
          <w:szCs w:val="17"/>
          <w:color w:val="auto"/>
        </w:rPr>
      </w:pPr>
    </w:p>
    <w:p>
      <w:pPr>
        <w:ind w:left="1020" w:right="100" w:hanging="392"/>
        <w:spacing w:after="0" w:line="250"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(i) restricted stock unit awards of 1,462,025 of shares of Class A common stock granted to our executive leadership team and other employees, (ii) restricted stock unit award 650,000 shares of Class A common stock granted to our President and member of the board, Robert Musslewhite, in connection with his appointment as President, subject to vesting and (iii) restricted stock unit award of 6,737 shares of Class A common stock granted to Kathleen Winters, our newly appointed member of the board, in connection with her appointment. See “Executive Compensation—2021 Plan Reserves.”</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20"/>
          </w:cols>
          <w:pgMar w:left="320" w:top="440" w:right="9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730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66535" cy="57302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140" w:firstLine="399"/>
        <w:spacing w:after="0" w:line="260" w:lineRule="auto"/>
        <w:rPr>
          <w:sz w:val="20"/>
          <w:szCs w:val="20"/>
          <w:color w:val="auto"/>
        </w:rPr>
      </w:pPr>
      <w:r>
        <w:rPr>
          <w:rFonts w:ascii="Arial" w:cs="Arial" w:eastAsia="Arial" w:hAnsi="Arial"/>
          <w:sz w:val="17"/>
          <w:szCs w:val="17"/>
          <w:color w:val="auto"/>
        </w:rPr>
        <w:t>The following table presents the economic interests and combined voting power in Definitive Healthcare Corp. held by the public stockholders, each of the Sponsors, Jason Krantz, members of AIDH Management Holdings, LLC, and other LLC Unitholders (after giving effect to this offering and the use of proceeds therefrom):</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10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8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w w:val="96"/>
              </w:rPr>
              <w:t>Common Stock Owned</w:t>
            </w:r>
            <w:r>
              <w:rPr>
                <w:rFonts w:ascii="Arial" w:cs="Arial" w:eastAsia="Arial" w:hAnsi="Arial"/>
                <w:sz w:val="11"/>
                <w:szCs w:val="11"/>
                <w:b w:val="1"/>
                <w:bCs w:val="1"/>
                <w:color w:val="auto"/>
                <w:w w:val="96"/>
              </w:rPr>
              <w:t>(1)</w:t>
            </w:r>
          </w:p>
        </w:tc>
        <w:tc>
          <w:tcPr>
            <w:tcW w:w="178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Voting Power</w:t>
            </w: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32"/>
        </w:trPr>
        <w:tc>
          <w:tcPr>
            <w:tcW w:w="10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900" w:type="dxa"/>
            <w:vAlign w:val="bottom"/>
            <w:tcBorders>
              <w:top w:val="single" w:sz="8" w:color="auto"/>
            </w:tcBorders>
          </w:tcPr>
          <w:p>
            <w:pPr>
              <w:jc w:val="right"/>
              <w:ind w:right="179"/>
              <w:spacing w:after="0" w:line="132" w:lineRule="exact"/>
              <w:rPr>
                <w:sz w:val="20"/>
                <w:szCs w:val="20"/>
                <w:color w:val="auto"/>
              </w:rPr>
            </w:pPr>
            <w:r>
              <w:rPr>
                <w:rFonts w:ascii="Arial" w:cs="Arial" w:eastAsia="Arial" w:hAnsi="Arial"/>
                <w:sz w:val="13"/>
                <w:szCs w:val="13"/>
                <w:b w:val="1"/>
                <w:bCs w:val="1"/>
                <w:color w:val="auto"/>
              </w:rPr>
              <w:t>Shares</w:t>
            </w:r>
          </w:p>
        </w:tc>
        <w:tc>
          <w:tcPr>
            <w:tcW w:w="660" w:type="dxa"/>
            <w:vAlign w:val="bottom"/>
            <w:tcBorders>
              <w:top w:val="single" w:sz="8" w:color="auto"/>
            </w:tcBorders>
            <w:gridSpan w:val="2"/>
          </w:tcPr>
          <w:p>
            <w:pPr>
              <w:jc w:val="right"/>
              <w:ind w:right="116"/>
              <w:spacing w:after="0" w:line="132"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1"/>
                <w:szCs w:val="11"/>
                <w:color w:val="auto"/>
              </w:rPr>
            </w:pPr>
          </w:p>
        </w:tc>
        <w:tc>
          <w:tcPr>
            <w:tcW w:w="900" w:type="dxa"/>
            <w:vAlign w:val="bottom"/>
            <w:tcBorders>
              <w:top w:val="single" w:sz="8" w:color="auto"/>
            </w:tcBorders>
          </w:tcPr>
          <w:p>
            <w:pPr>
              <w:jc w:val="right"/>
              <w:ind w:right="219"/>
              <w:spacing w:after="0" w:line="132" w:lineRule="exact"/>
              <w:rPr>
                <w:sz w:val="20"/>
                <w:szCs w:val="20"/>
                <w:color w:val="auto"/>
              </w:rPr>
            </w:pPr>
            <w:r>
              <w:rPr>
                <w:rFonts w:ascii="Arial" w:cs="Arial" w:eastAsia="Arial" w:hAnsi="Arial"/>
                <w:sz w:val="13"/>
                <w:szCs w:val="13"/>
                <w:b w:val="1"/>
                <w:bCs w:val="1"/>
                <w:color w:val="auto"/>
              </w:rPr>
              <w:t>Votes</w:t>
            </w:r>
          </w:p>
        </w:tc>
        <w:tc>
          <w:tcPr>
            <w:tcW w:w="660" w:type="dxa"/>
            <w:vAlign w:val="bottom"/>
            <w:tcBorders>
              <w:top w:val="single" w:sz="8" w:color="auto"/>
            </w:tcBorders>
            <w:gridSpan w:val="2"/>
          </w:tcPr>
          <w:p>
            <w:pPr>
              <w:jc w:val="right"/>
              <w:ind w:right="116"/>
              <w:spacing w:after="0" w:line="132"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340" w:type="dxa"/>
            <w:vAlign w:val="bottom"/>
            <w:tcBorders>
              <w:top w:val="single" w:sz="8" w:color="CCEEFF"/>
            </w:tcBorders>
            <w:gridSpan w:val="2"/>
            <w:shd w:val="clear" w:color="auto" w:fill="CCEEFF"/>
          </w:tcPr>
          <w:p>
            <w:pPr>
              <w:ind w:left="340"/>
              <w:spacing w:after="0" w:line="183" w:lineRule="exact"/>
              <w:rPr>
                <w:sz w:val="20"/>
                <w:szCs w:val="20"/>
                <w:color w:val="auto"/>
              </w:rPr>
            </w:pPr>
            <w:r>
              <w:rPr>
                <w:rFonts w:ascii="Arial" w:cs="Arial" w:eastAsia="Arial" w:hAnsi="Arial"/>
                <w:sz w:val="17"/>
                <w:szCs w:val="17"/>
                <w:color w:val="auto"/>
              </w:rPr>
              <w:t>Pre-Greenshoe</w:t>
            </w: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40" w:type="dxa"/>
            <w:vAlign w:val="bottom"/>
            <w:gridSpan w:val="2"/>
          </w:tcPr>
          <w:p>
            <w:pPr>
              <w:ind w:left="340"/>
              <w:spacing w:after="0"/>
              <w:rPr>
                <w:sz w:val="20"/>
                <w:szCs w:val="20"/>
                <w:color w:val="auto"/>
              </w:rPr>
            </w:pPr>
            <w:r>
              <w:rPr>
                <w:rFonts w:ascii="Arial" w:cs="Arial" w:eastAsia="Arial" w:hAnsi="Arial"/>
                <w:sz w:val="17"/>
                <w:szCs w:val="17"/>
                <w:color w:val="auto"/>
              </w:rPr>
              <w:t>Public Stockholders</w:t>
            </w:r>
          </w:p>
        </w:tc>
        <w:tc>
          <w:tcPr>
            <w:tcW w:w="900" w:type="dxa"/>
            <w:vAlign w:val="bottom"/>
          </w:tcPr>
          <w:p>
            <w:pPr>
              <w:jc w:val="right"/>
              <w:spacing w:after="0"/>
              <w:rPr>
                <w:sz w:val="20"/>
                <w:szCs w:val="20"/>
                <w:color w:val="auto"/>
              </w:rPr>
            </w:pPr>
            <w:r>
              <w:rPr>
                <w:rFonts w:ascii="Arial" w:cs="Arial" w:eastAsia="Arial" w:hAnsi="Arial"/>
                <w:sz w:val="17"/>
                <w:szCs w:val="17"/>
                <w:color w:val="auto"/>
              </w:rPr>
              <w:t>28,888,888</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18.61%</w:t>
            </w:r>
          </w:p>
        </w:tc>
        <w:tc>
          <w:tcPr>
            <w:tcW w:w="900" w:type="dxa"/>
            <w:vAlign w:val="bottom"/>
          </w:tcPr>
          <w:p>
            <w:pPr>
              <w:jc w:val="right"/>
              <w:spacing w:after="0"/>
              <w:rPr>
                <w:sz w:val="20"/>
                <w:szCs w:val="20"/>
                <w:color w:val="auto"/>
              </w:rPr>
            </w:pPr>
            <w:r>
              <w:rPr>
                <w:rFonts w:ascii="Arial" w:cs="Arial" w:eastAsia="Arial" w:hAnsi="Arial"/>
                <w:sz w:val="17"/>
                <w:szCs w:val="17"/>
                <w:color w:val="auto"/>
              </w:rPr>
              <w:t>28,888,888</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18.94%</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Advent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62,493,676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40.25%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62,493,676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40.98%</w:t>
            </w:r>
          </w:p>
        </w:tc>
        <w:tc>
          <w:tcPr>
            <w:tcW w:w="0" w:type="dxa"/>
            <w:vAlign w:val="bottom"/>
          </w:tcPr>
          <w:p>
            <w:pPr>
              <w:spacing w:after="0"/>
              <w:rPr>
                <w:sz w:val="1"/>
                <w:szCs w:val="1"/>
                <w:color w:val="auto"/>
              </w:rPr>
            </w:pPr>
          </w:p>
        </w:tc>
      </w:tr>
      <w:tr>
        <w:trPr>
          <w:trHeight w:val="203"/>
        </w:trPr>
        <w:tc>
          <w:tcPr>
            <w:tcW w:w="6340" w:type="dxa"/>
            <w:vAlign w:val="bottom"/>
            <w:gridSpan w:val="2"/>
          </w:tcPr>
          <w:p>
            <w:pPr>
              <w:ind w:left="340"/>
              <w:spacing w:after="0"/>
              <w:rPr>
                <w:sz w:val="20"/>
                <w:szCs w:val="20"/>
                <w:color w:val="auto"/>
              </w:rPr>
            </w:pPr>
            <w:r>
              <w:rPr>
                <w:rFonts w:ascii="Arial" w:cs="Arial" w:eastAsia="Arial" w:hAnsi="Arial"/>
                <w:sz w:val="17"/>
                <w:szCs w:val="17"/>
                <w:color w:val="auto"/>
              </w:rPr>
              <w:t>Spectrum Equity</w:t>
            </w:r>
          </w:p>
        </w:tc>
        <w:tc>
          <w:tcPr>
            <w:tcW w:w="900" w:type="dxa"/>
            <w:vAlign w:val="bottom"/>
          </w:tcPr>
          <w:p>
            <w:pPr>
              <w:jc w:val="right"/>
              <w:spacing w:after="0"/>
              <w:rPr>
                <w:sz w:val="20"/>
                <w:szCs w:val="20"/>
                <w:color w:val="auto"/>
              </w:rPr>
            </w:pPr>
            <w:r>
              <w:rPr>
                <w:rFonts w:ascii="Arial" w:cs="Arial" w:eastAsia="Arial" w:hAnsi="Arial"/>
                <w:sz w:val="17"/>
                <w:szCs w:val="17"/>
                <w:color w:val="auto"/>
              </w:rPr>
              <w:t>29,600,815</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19.06%</w:t>
            </w:r>
          </w:p>
        </w:tc>
        <w:tc>
          <w:tcPr>
            <w:tcW w:w="900" w:type="dxa"/>
            <w:vAlign w:val="bottom"/>
          </w:tcPr>
          <w:p>
            <w:pPr>
              <w:jc w:val="right"/>
              <w:spacing w:after="0"/>
              <w:rPr>
                <w:sz w:val="20"/>
                <w:szCs w:val="20"/>
                <w:color w:val="auto"/>
              </w:rPr>
            </w:pPr>
            <w:r>
              <w:rPr>
                <w:rFonts w:ascii="Arial" w:cs="Arial" w:eastAsia="Arial" w:hAnsi="Arial"/>
                <w:sz w:val="17"/>
                <w:szCs w:val="17"/>
                <w:color w:val="auto"/>
              </w:rPr>
              <w:t>29,600,815</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19.41%</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22C Capital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4,672,433</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3.01%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4,672,433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3"/>
        </w:trPr>
        <w:tc>
          <w:tcPr>
            <w:tcW w:w="6340" w:type="dxa"/>
            <w:vAlign w:val="bottom"/>
            <w:gridSpan w:val="2"/>
          </w:tcPr>
          <w:p>
            <w:pPr>
              <w:ind w:left="340"/>
              <w:spacing w:after="0"/>
              <w:rPr>
                <w:sz w:val="20"/>
                <w:szCs w:val="20"/>
                <w:color w:val="auto"/>
              </w:rPr>
            </w:pPr>
            <w:r>
              <w:rPr>
                <w:rFonts w:ascii="Arial" w:cs="Arial" w:eastAsia="Arial" w:hAnsi="Arial"/>
                <w:sz w:val="17"/>
                <w:szCs w:val="17"/>
                <w:color w:val="auto"/>
              </w:rPr>
              <w:t>Jason Krantz</w:t>
            </w:r>
          </w:p>
        </w:tc>
        <w:tc>
          <w:tcPr>
            <w:tcW w:w="900" w:type="dxa"/>
            <w:vAlign w:val="bottom"/>
          </w:tcPr>
          <w:p>
            <w:pPr>
              <w:jc w:val="right"/>
              <w:spacing w:after="0"/>
              <w:rPr>
                <w:sz w:val="20"/>
                <w:szCs w:val="20"/>
                <w:color w:val="auto"/>
              </w:rPr>
            </w:pPr>
            <w:r>
              <w:rPr>
                <w:rFonts w:ascii="Arial" w:cs="Arial" w:eastAsia="Arial" w:hAnsi="Arial"/>
                <w:sz w:val="17"/>
                <w:szCs w:val="17"/>
                <w:color w:val="auto"/>
              </w:rPr>
              <w:t>21,299,157</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13.72%</w:t>
            </w:r>
          </w:p>
        </w:tc>
        <w:tc>
          <w:tcPr>
            <w:tcW w:w="900" w:type="dxa"/>
            <w:vAlign w:val="bottom"/>
          </w:tcPr>
          <w:p>
            <w:pPr>
              <w:jc w:val="right"/>
              <w:spacing w:after="0"/>
              <w:rPr>
                <w:sz w:val="20"/>
                <w:szCs w:val="20"/>
                <w:color w:val="auto"/>
              </w:rPr>
            </w:pPr>
            <w:r>
              <w:rPr>
                <w:rFonts w:ascii="Arial" w:cs="Arial" w:eastAsia="Arial" w:hAnsi="Arial"/>
                <w:sz w:val="17"/>
                <w:szCs w:val="17"/>
                <w:color w:val="auto"/>
              </w:rPr>
              <w:t>20,657,840</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13.55%</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Members of AIDH Management Holdings, LLC</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8,319,753</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6,192,220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ind w:left="340"/>
              <w:spacing w:after="0"/>
              <w:rPr>
                <w:sz w:val="20"/>
                <w:szCs w:val="20"/>
                <w:color w:val="auto"/>
              </w:rPr>
            </w:pPr>
            <w:r>
              <w:rPr>
                <w:rFonts w:ascii="Arial" w:cs="Arial" w:eastAsia="Arial" w:hAnsi="Arial"/>
                <w:sz w:val="17"/>
                <w:szCs w:val="17"/>
                <w:b w:val="1"/>
                <w:bCs w:val="1"/>
                <w:color w:val="auto"/>
              </w:rPr>
              <w:t>Total</w:t>
            </w: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w w:val="93"/>
              </w:rPr>
              <w:t>155,274,722</w:t>
            </w:r>
          </w:p>
        </w:tc>
        <w:tc>
          <w:tcPr>
            <w:tcW w:w="140" w:type="dxa"/>
            <w:vAlign w:val="bottom"/>
            <w:vMerge w:val="continue"/>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98"/>
              </w:rPr>
              <w:t>100.00%</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w w:val="93"/>
              </w:rPr>
              <w:t>152,505,872</w:t>
            </w:r>
          </w:p>
        </w:tc>
        <w:tc>
          <w:tcPr>
            <w:tcW w:w="140" w:type="dxa"/>
            <w:vAlign w:val="bottom"/>
            <w:vMerge w:val="continue"/>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8"/>
              </w:rPr>
              <w:t>100.00%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080" w:type="dxa"/>
            <w:vAlign w:val="bottom"/>
            <w:tcBorders>
              <w:bottom w:val="single" w:sz="8" w:color="auto"/>
            </w:tcBorders>
          </w:tcPr>
          <w:p>
            <w:pPr>
              <w:spacing w:after="0"/>
              <w:rPr>
                <w:sz w:val="10"/>
                <w:szCs w:val="10"/>
                <w:color w:val="auto"/>
              </w:rPr>
            </w:pPr>
          </w:p>
        </w:tc>
        <w:tc>
          <w:tcPr>
            <w:tcW w:w="5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20" w:right="80" w:hanging="392"/>
        <w:spacing w:after="0" w:line="286" w:lineRule="auto"/>
        <w:tabs>
          <w:tab w:leader="none" w:pos="10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Reflects the sum of the shares of our Class A common stock and Class B common stock then outstanding, after giving effect to the issuance and sale of 11,000,000 shares of Class A common stock offered hereby. If the underwriters exercise in full their option to purchase additional shares of our Class A common stock, the number of shares of Class A common stock owned by, and the voting power held by public stockholders in the table above, would be 30,538,888 shares of Class A common stock or 20% of the voting power.</w:t>
      </w:r>
    </w:p>
    <w:p>
      <w:pPr>
        <w:ind w:left="1020" w:right="60" w:hanging="392"/>
        <w:spacing w:after="0" w:line="24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Reflects one vote per share of Class A common stock and one vote per share of Class B common stock outstanding other than shares of Class B Common Stock issued with respect to unvested LLC Units held by members of AIDH Management Holdings, LLC. See “Principal Stockholders” for additional information.</w:t>
      </w:r>
    </w:p>
    <w:p>
      <w:pPr>
        <w:spacing w:after="0" w:line="1" w:lineRule="exact"/>
        <w:rPr>
          <w:rFonts w:ascii="Arial" w:cs="Arial" w:eastAsia="Arial" w:hAnsi="Arial"/>
          <w:sz w:val="17"/>
          <w:szCs w:val="17"/>
          <w:color w:val="auto"/>
        </w:rPr>
      </w:pPr>
    </w:p>
    <w:p>
      <w:pPr>
        <w:ind w:left="1020" w:hanging="392"/>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the 2,768,850 LLC Units held by members of AIDH Management Holdings, LLC that are subject to time-based vesting.</w:t>
      </w:r>
    </w:p>
    <w:p>
      <w:pPr>
        <w:spacing w:after="0" w:line="7" w:lineRule="exact"/>
        <w:rPr>
          <w:rFonts w:ascii="Arial" w:cs="Arial" w:eastAsia="Arial" w:hAnsi="Arial"/>
          <w:sz w:val="17"/>
          <w:szCs w:val="17"/>
          <w:color w:val="auto"/>
        </w:rPr>
      </w:pPr>
    </w:p>
    <w:p>
      <w:pPr>
        <w:ind w:left="1020" w:right="80" w:hanging="392"/>
        <w:spacing w:after="0" w:line="250"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Does not include (i) restricted stock unit to awards of 1,462,025 of shares of Class A common stock granted to our executive leadership team and other employees, (ii) restricted stock unit award of 650,000 shares of Class A common stock granted to our President and member of the board, Robert Musslewhite, in connection with his appointment as President, subject to vesting and (iii) restricted stock unit award of 6,737 shares of Class A common stock granted to Kathleen Winters, our newly appointed member of the board, in connection with her appointment. See “Executive Compensation—2021 Plan Reserves.”</w:t>
      </w:r>
    </w:p>
    <w:p>
      <w:pPr>
        <w:spacing w:after="0" w:line="28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Holding Company Structure and the Tax Receivable Agreement</w:t>
      </w:r>
    </w:p>
    <w:p>
      <w:pPr>
        <w:spacing w:after="0" w:line="112" w:lineRule="exact"/>
        <w:rPr>
          <w:sz w:val="20"/>
          <w:szCs w:val="20"/>
          <w:color w:val="auto"/>
        </w:rPr>
      </w:pPr>
    </w:p>
    <w:p>
      <w:pPr>
        <w:ind w:left="620" w:right="180" w:firstLine="399"/>
        <w:spacing w:after="0" w:line="254" w:lineRule="auto"/>
        <w:rPr>
          <w:sz w:val="20"/>
          <w:szCs w:val="20"/>
          <w:color w:val="auto"/>
        </w:rPr>
      </w:pPr>
      <w:r>
        <w:rPr>
          <w:rFonts w:ascii="Arial" w:cs="Arial" w:eastAsia="Arial" w:hAnsi="Arial"/>
          <w:sz w:val="17"/>
          <w:szCs w:val="17"/>
          <w:color w:val="auto"/>
        </w:rPr>
        <w:t>We are a holding company, and our sole material asset is our ownership interest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other Unitholders at any given time will equal the sum of the outstanding shares of all classes of our common stock.</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Our Class B common stock is not listed on any stock exchange.</w:t>
      </w:r>
    </w:p>
    <w:p>
      <w:pPr>
        <w:spacing w:after="0" w:line="210" w:lineRule="exact"/>
        <w:rPr>
          <w:sz w:val="20"/>
          <w:szCs w:val="20"/>
          <w:color w:val="auto"/>
        </w:rPr>
      </w:pPr>
    </w:p>
    <w:p>
      <w:pPr>
        <w:ind w:left="620" w:right="280" w:firstLine="399"/>
        <w:spacing w:after="0" w:line="277" w:lineRule="auto"/>
        <w:rPr>
          <w:sz w:val="20"/>
          <w:szCs w:val="20"/>
          <w:color w:val="auto"/>
        </w:rPr>
      </w:pPr>
      <w:r>
        <w:rPr>
          <w:rFonts w:ascii="Arial" w:cs="Arial" w:eastAsia="Arial" w:hAnsi="Arial"/>
          <w:sz w:val="16"/>
          <w:szCs w:val="16"/>
          <w:color w:val="auto"/>
        </w:rPr>
        <w:t>We acquired certain favorable tax attributes from the Blocker Companies in the Reorganization Transactions and certain tax basis adjustments resulting from the acquisition of LLC Units from Unitholders in connection with the IPO. In addition, the acquisition of LLC Units from existing holders in connection with this offering and acquisitions by us of LLC Units from existing holders in connection with future exchanges by the same Unitholders of LLC Units for shares of our Class A common stock or other consideration are expected to</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20"/>
          </w:cols>
          <w:pgMar w:left="320" w:top="440" w:right="9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690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66535" cy="569023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260"/>
        <w:spacing w:after="0" w:line="272" w:lineRule="auto"/>
        <w:rPr>
          <w:sz w:val="20"/>
          <w:szCs w:val="20"/>
          <w:color w:val="auto"/>
        </w:rPr>
      </w:pPr>
      <w:r>
        <w:rPr>
          <w:rFonts w:ascii="Arial" w:cs="Arial" w:eastAsia="Arial" w:hAnsi="Arial"/>
          <w:sz w:val="17"/>
          <w:szCs w:val="17"/>
          <w:color w:val="auto"/>
        </w:rPr>
        <w:t>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65" w:lineRule="exact"/>
        <w:rPr>
          <w:sz w:val="20"/>
          <w:szCs w:val="20"/>
          <w:color w:val="auto"/>
        </w:rPr>
      </w:pPr>
    </w:p>
    <w:p>
      <w:pPr>
        <w:ind w:left="620" w:right="20" w:firstLine="399"/>
        <w:spacing w:after="0" w:line="253" w:lineRule="auto"/>
        <w:rPr>
          <w:sz w:val="20"/>
          <w:szCs w:val="20"/>
          <w:color w:val="auto"/>
        </w:rPr>
      </w:pPr>
      <w:r>
        <w:rPr>
          <w:rFonts w:ascii="Arial" w:cs="Arial" w:eastAsia="Arial" w:hAnsi="Arial"/>
          <w:sz w:val="17"/>
          <w:szCs w:val="17"/>
          <w:color w:val="auto"/>
        </w:rPr>
        <w:t>In connection with the IPO, we entered into a Tax Receivable Agreement with the TRA Parties. Under the Tax Receivable Agreement, we generally are required to pay to the TRA Parties, in the aggregate, 85% of the amount of cash savings, if any, in U.S. federal, state and local income tax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w:t>
      </w:r>
    </w:p>
    <w:p>
      <w:pPr>
        <w:spacing w:after="0" w:line="182" w:lineRule="exact"/>
        <w:rPr>
          <w:sz w:val="20"/>
          <w:szCs w:val="20"/>
          <w:color w:val="auto"/>
        </w:rPr>
      </w:pPr>
    </w:p>
    <w:p>
      <w:pPr>
        <w:ind w:left="620" w:firstLine="399"/>
        <w:spacing w:after="0" w:line="269" w:lineRule="auto"/>
        <w:rPr>
          <w:sz w:val="20"/>
          <w:szCs w:val="20"/>
          <w:color w:val="auto"/>
        </w:rPr>
      </w:pPr>
      <w:r>
        <w:rPr>
          <w:rFonts w:ascii="Arial" w:cs="Arial" w:eastAsia="Arial" w:hAnsi="Arial"/>
          <w:sz w:val="16"/>
          <w:szCs w:val="16"/>
          <w:color w:val="auto"/>
        </w:rPr>
        <w:t>Payments under the Tax Receivable Agreement are based on the tax reporting positions we determine, and the IRS or another taxing authority may challenge all or part of the deductions, tax basis increases, net operating losses or other tax attributes subject to the Tax Receivable Agreement, and a court could sustain such challenge. Further, the TRA Parties will not reimburse us for any payments previously made if such tax benefits are subsequently challenged by a taxing authority and are ultimately disallowed, except that any excess payments made to a TRA Party will be netted against future payments otherwise to be made to such TRA Party under the Tax Receivable Agreement, if any, after our determination of such excess. As a result, in such circumstances we could make future payments under the Tax Receivable Agreement that are greater than our actual cash tax savings and may not be able to recoup those payments, which could negatively impact our liquidity. See “Risk Factors—Risks Related to Our Organizational Structure—We will not be reimbursed for any payments made to the TRA Parties under the Tax Receivable Agreement in the event that any tax benefits are disallowed.”</w:t>
      </w:r>
    </w:p>
    <w:p>
      <w:pPr>
        <w:spacing w:after="0" w:line="170" w:lineRule="exact"/>
        <w:rPr>
          <w:sz w:val="20"/>
          <w:szCs w:val="20"/>
          <w:color w:val="auto"/>
        </w:rPr>
      </w:pPr>
    </w:p>
    <w:p>
      <w:pPr>
        <w:ind w:left="620" w:right="240" w:firstLine="399"/>
        <w:spacing w:after="0" w:line="272" w:lineRule="auto"/>
        <w:rPr>
          <w:sz w:val="20"/>
          <w:szCs w:val="20"/>
          <w:color w:val="auto"/>
        </w:rPr>
      </w:pPr>
      <w:r>
        <w:rPr>
          <w:rFonts w:ascii="Arial" w:cs="Arial" w:eastAsia="Arial" w:hAnsi="Arial"/>
          <w:sz w:val="17"/>
          <w:szCs w:val="17"/>
          <w:color w:val="auto"/>
        </w:rPr>
        <w:t>Our obligations under the Tax Receivable Agreement also apply with respect to any person who is issued LLC Units in the future and who becomes a party to the Tax Receivable Agreement.</w:t>
      </w:r>
    </w:p>
    <w:p>
      <w:pPr>
        <w:spacing w:after="0" w:line="165" w:lineRule="exact"/>
        <w:rPr>
          <w:sz w:val="20"/>
          <w:szCs w:val="20"/>
          <w:color w:val="auto"/>
        </w:rPr>
      </w:pPr>
    </w:p>
    <w:p>
      <w:pPr>
        <w:ind w:left="620" w:right="20" w:firstLine="399"/>
        <w:spacing w:after="0" w:line="270" w:lineRule="auto"/>
        <w:rPr>
          <w:sz w:val="20"/>
          <w:szCs w:val="20"/>
          <w:color w:val="auto"/>
        </w:rPr>
      </w:pPr>
      <w:r>
        <w:rPr>
          <w:rFonts w:ascii="Arial" w:cs="Arial" w:eastAsia="Arial" w:hAnsi="Arial"/>
          <w:sz w:val="16"/>
          <w:szCs w:val="16"/>
          <w:color w:val="auto"/>
        </w:rPr>
        <w:t>We are a holding company with no operations of our own and our ability to make payments under the Tax Receivable Agreement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 for any reason, such payments generally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26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Sponsors</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Advent</w:t>
      </w:r>
    </w:p>
    <w:p>
      <w:pPr>
        <w:spacing w:after="0" w:line="108" w:lineRule="exact"/>
        <w:rPr>
          <w:sz w:val="20"/>
          <w:szCs w:val="20"/>
          <w:color w:val="auto"/>
        </w:rPr>
      </w:pPr>
    </w:p>
    <w:p>
      <w:pPr>
        <w:ind w:left="620" w:right="20" w:firstLine="399"/>
        <w:spacing w:after="0" w:line="252" w:lineRule="auto"/>
        <w:rPr>
          <w:sz w:val="20"/>
          <w:szCs w:val="20"/>
          <w:color w:val="auto"/>
        </w:rPr>
      </w:pPr>
      <w:r>
        <w:rPr>
          <w:rFonts w:ascii="Arial" w:cs="Arial" w:eastAsia="Arial" w:hAnsi="Arial"/>
          <w:sz w:val="17"/>
          <w:szCs w:val="17"/>
          <w:color w:val="auto"/>
        </w:rPr>
        <w:t>Advent is one of the largest and most experienced global private equity investors. The firm has invested in over 380 private equity transactions in 42 countries, and as of June 30, 2021, had $80.6 billion in assets under management. With 15 offices in 12 countries, Advent has established a globally integrated team of 245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 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20"/>
          </w:cols>
          <w:pgMar w:left="320" w:top="440" w:right="9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561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66535" cy="55613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Spectrum Equity</w:t>
      </w:r>
    </w:p>
    <w:p>
      <w:pPr>
        <w:spacing w:after="0" w:line="108" w:lineRule="exact"/>
        <w:rPr>
          <w:sz w:val="20"/>
          <w:szCs w:val="20"/>
          <w:color w:val="auto"/>
        </w:rPr>
      </w:pPr>
    </w:p>
    <w:p>
      <w:pPr>
        <w:ind w:left="620" w:right="200" w:firstLine="399"/>
        <w:spacing w:after="0" w:line="260" w:lineRule="auto"/>
        <w:rPr>
          <w:sz w:val="20"/>
          <w:szCs w:val="20"/>
          <w:color w:val="auto"/>
        </w:rPr>
      </w:pPr>
      <w:r>
        <w:rPr>
          <w:rFonts w:ascii="Arial" w:cs="Arial" w:eastAsia="Arial" w:hAnsi="Arial"/>
          <w:sz w:val="17"/>
          <w:szCs w:val="17"/>
          <w:color w:val="auto"/>
        </w:rPr>
        <w:t>Founded in 1994 with offices in Boston and San Francisco, Spectrum Equity is a leading growth equity firm providing capital and strategic support to innovative Internet, software and information service companies. As of September 30, 2021, the firm has invested in over 165 companies and is currently investing its ninth fund with $1.5 billion in limited partner commitments.</w:t>
      </w:r>
    </w:p>
    <w:p>
      <w:pPr>
        <w:spacing w:after="0" w:line="175" w:lineRule="exact"/>
        <w:rPr>
          <w:sz w:val="20"/>
          <w:szCs w:val="20"/>
          <w:color w:val="auto"/>
        </w:rPr>
      </w:pPr>
    </w:p>
    <w:p>
      <w:pPr>
        <w:ind w:left="620" w:right="280" w:firstLine="399"/>
        <w:spacing w:after="0" w:line="260" w:lineRule="auto"/>
        <w:rPr>
          <w:sz w:val="20"/>
          <w:szCs w:val="20"/>
          <w:color w:val="auto"/>
        </w:rPr>
      </w:pPr>
      <w:r>
        <w:rPr>
          <w:rFonts w:ascii="Arial" w:cs="Arial" w:eastAsia="Arial" w:hAnsi="Arial"/>
          <w:sz w:val="17"/>
          <w:szCs w:val="17"/>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27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22C Capital</w:t>
      </w:r>
    </w:p>
    <w:p>
      <w:pPr>
        <w:spacing w:after="0" w:line="108" w:lineRule="exact"/>
        <w:rPr>
          <w:sz w:val="20"/>
          <w:szCs w:val="20"/>
          <w:color w:val="auto"/>
        </w:rPr>
      </w:pPr>
    </w:p>
    <w:p>
      <w:pPr>
        <w:ind w:left="620" w:right="200" w:firstLine="399"/>
        <w:spacing w:after="0" w:line="293" w:lineRule="auto"/>
        <w:rPr>
          <w:sz w:val="20"/>
          <w:szCs w:val="20"/>
          <w:color w:val="auto"/>
        </w:rPr>
      </w:pPr>
      <w:r>
        <w:rPr>
          <w:rFonts w:ascii="Arial" w:cs="Arial" w:eastAsia="Arial" w:hAnsi="Arial"/>
          <w:sz w:val="15"/>
          <w:szCs w:val="15"/>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Debt Refinancing</w:t>
      </w:r>
    </w:p>
    <w:p>
      <w:pPr>
        <w:spacing w:after="0" w:line="112" w:lineRule="exact"/>
        <w:rPr>
          <w:sz w:val="20"/>
          <w:szCs w:val="20"/>
          <w:color w:val="auto"/>
        </w:rPr>
      </w:pPr>
    </w:p>
    <w:p>
      <w:pPr>
        <w:ind w:left="620" w:right="140" w:firstLine="399"/>
        <w:spacing w:after="0" w:line="272" w:lineRule="auto"/>
        <w:rPr>
          <w:sz w:val="20"/>
          <w:szCs w:val="20"/>
          <w:color w:val="auto"/>
        </w:rPr>
      </w:pPr>
      <w:r>
        <w:rPr>
          <w:rFonts w:ascii="Arial" w:cs="Arial" w:eastAsia="Arial" w:hAnsi="Arial"/>
          <w:sz w:val="16"/>
          <w:szCs w:val="16"/>
          <w:color w:val="auto"/>
        </w:rPr>
        <w:t>On September 17, 2021, DH Holdings entered into a credit agreement (the “Credit Agreement”) with Bank of America, N.A., as administrative agent, the lenders party thereto and the other parties specified therein. The Credit Agreement provides for (i) a $275 million term loan A facility (the “Term Facility”) and (ii) a $75 million revolving credit facility (the “Revolving Credit Facility” and, together with the Term Facility, the “Senior Credit Facilities”), the proceeds of which were used to repay the remaining portion of the indebtedness outstanding under the credit agreement, dated as of July 16, 2019, by and among DH Holdings, the lenders party thereto and Owl Rock Capital Corporation, as administrative agent (the “2019 Credit Agreement”), and to pay related fees and expenses.</w:t>
      </w:r>
    </w:p>
    <w:p>
      <w:pPr>
        <w:spacing w:after="0" w:line="167" w:lineRule="exact"/>
        <w:rPr>
          <w:sz w:val="20"/>
          <w:szCs w:val="20"/>
          <w:color w:val="auto"/>
        </w:rPr>
      </w:pPr>
    </w:p>
    <w:p>
      <w:pPr>
        <w:ind w:left="620" w:firstLine="399"/>
        <w:spacing w:after="0" w:line="277" w:lineRule="auto"/>
        <w:rPr>
          <w:sz w:val="20"/>
          <w:szCs w:val="20"/>
          <w:color w:val="auto"/>
        </w:rPr>
      </w:pPr>
      <w:r>
        <w:rPr>
          <w:rFonts w:ascii="Arial" w:cs="Arial" w:eastAsia="Arial" w:hAnsi="Arial"/>
          <w:sz w:val="16"/>
          <w:szCs w:val="16"/>
          <w:color w:val="auto"/>
        </w:rPr>
        <w:t>The loans under the Senior Credit Facilities mature on September 17, 2026. The Senior Credit Facilities are guaranteed by all of DH Holdings’s wholly-owned domestic restricted subsidiaries and AIDH Buyer, LLC, a Delaware limited liability company (“Holdings”)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164" w:lineRule="exact"/>
        <w:rPr>
          <w:sz w:val="20"/>
          <w:szCs w:val="20"/>
          <w:color w:val="auto"/>
        </w:rPr>
      </w:pPr>
    </w:p>
    <w:p>
      <w:pPr>
        <w:ind w:left="620" w:right="240" w:firstLine="399"/>
        <w:spacing w:after="0" w:line="301" w:lineRule="auto"/>
        <w:rPr>
          <w:sz w:val="20"/>
          <w:szCs w:val="20"/>
          <w:color w:val="auto"/>
        </w:rPr>
      </w:pPr>
      <w:r>
        <w:rPr>
          <w:rFonts w:ascii="Arial" w:cs="Arial" w:eastAsia="Arial" w:hAnsi="Arial"/>
          <w:sz w:val="15"/>
          <w:szCs w:val="15"/>
          <w:color w:val="auto"/>
        </w:rPr>
        <w:t>See “Description of Material Indebtedness—Senior Credit Facilities” and “Management’s Discussion and Analysis of Financial Condition and Results of Operations—Interest Expense” and “Management’s Discussion and Analysis of Financial Condition and Results of Operations— Liquidity and Capital Resources—Debt Obligations.” No assurance can be given that we will be able to complete the debt refinancing on these terms or at all. For an additional description of our Senior Credit Facilities, please see “Description of Material Indebtedness.”</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Corporate Information</w:t>
      </w:r>
    </w:p>
    <w:p>
      <w:pPr>
        <w:spacing w:after="0" w:line="112" w:lineRule="exact"/>
        <w:rPr>
          <w:sz w:val="20"/>
          <w:szCs w:val="20"/>
          <w:color w:val="auto"/>
        </w:rPr>
      </w:pPr>
    </w:p>
    <w:p>
      <w:pPr>
        <w:ind w:left="620" w:right="80" w:firstLine="399"/>
        <w:spacing w:after="0" w:line="272" w:lineRule="auto"/>
        <w:rPr>
          <w:sz w:val="20"/>
          <w:szCs w:val="20"/>
          <w:color w:val="auto"/>
        </w:rPr>
      </w:pPr>
      <w:r>
        <w:rPr>
          <w:rFonts w:ascii="Arial" w:cs="Arial" w:eastAsia="Arial" w:hAnsi="Arial"/>
          <w:sz w:val="17"/>
          <w:szCs w:val="17"/>
          <w:color w:val="auto"/>
        </w:rPr>
        <w:t>Definitive Healthcare Corp. was incorporated in Delaware on May 5, 2021. Our principal executive offices are located at 550 Cochituate Rd, Framingham, Massachusetts 01701, and our telephone number is (508) 720-</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20"/>
          </w:cols>
          <w:pgMar w:left="320" w:top="440" w:right="9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488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66535" cy="54889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20"/>
        <w:spacing w:after="0" w:line="260" w:lineRule="auto"/>
        <w:rPr>
          <w:sz w:val="20"/>
          <w:szCs w:val="20"/>
          <w:color w:val="auto"/>
        </w:rPr>
      </w:pPr>
      <w:r>
        <w:rPr>
          <w:rFonts w:ascii="Arial" w:cs="Arial" w:eastAsia="Arial" w:hAnsi="Arial"/>
          <w:sz w:val="17"/>
          <w:szCs w:val="17"/>
          <w:color w:val="auto"/>
        </w:rPr>
        <w:t>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27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12" w:lineRule="exact"/>
        <w:rPr>
          <w:sz w:val="20"/>
          <w:szCs w:val="20"/>
          <w:color w:val="auto"/>
        </w:rPr>
      </w:pPr>
    </w:p>
    <w:p>
      <w:pPr>
        <w:ind w:left="620" w:right="320" w:firstLine="399"/>
        <w:spacing w:after="0" w:line="256" w:lineRule="auto"/>
        <w:rPr>
          <w:sz w:val="20"/>
          <w:szCs w:val="20"/>
          <w:color w:val="auto"/>
        </w:rPr>
      </w:pPr>
      <w:r>
        <w:rPr>
          <w:rFonts w:ascii="Arial" w:cs="Arial" w:eastAsia="Arial" w:hAnsi="Arial"/>
          <w:sz w:val="17"/>
          <w:szCs w:val="17"/>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0" w:lineRule="exact"/>
        <w:rPr>
          <w:sz w:val="20"/>
          <w:szCs w:val="20"/>
          <w:color w:val="auto"/>
        </w:rPr>
      </w:pPr>
    </w:p>
    <w:p>
      <w:pPr>
        <w:ind w:left="1000" w:hanging="28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requirement to present only two years of audited financial statements and only two years of related</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w:t>
      </w:r>
    </w:p>
    <w:p>
      <w:pPr>
        <w:spacing w:after="0" w:line="121" w:lineRule="exact"/>
        <w:rPr>
          <w:rFonts w:ascii="Arial" w:cs="Arial" w:eastAsia="Arial" w:hAnsi="Arial"/>
          <w:sz w:val="17"/>
          <w:szCs w:val="17"/>
          <w:color w:val="auto"/>
        </w:rPr>
      </w:pPr>
    </w:p>
    <w:p>
      <w:pPr>
        <w:ind w:left="1000" w:right="80" w:hanging="283"/>
        <w:spacing w:after="0" w:line="272"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system of internal control over financial reporting pursuant to the Sarbanes-Oxley Act of 2002, as amended (the “Sarbanes-Oxley Act”);</w:t>
      </w:r>
    </w:p>
    <w:p>
      <w:pPr>
        <w:spacing w:after="0" w:line="76" w:lineRule="exact"/>
        <w:rPr>
          <w:rFonts w:ascii="Arial" w:cs="Arial" w:eastAsia="Arial" w:hAnsi="Arial"/>
          <w:sz w:val="17"/>
          <w:szCs w:val="17"/>
          <w:color w:val="auto"/>
        </w:rPr>
      </w:pPr>
    </w:p>
    <w:p>
      <w:pPr>
        <w:ind w:left="1000" w:hanging="28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exemption from the adoption of new or revised financial accounting standards until they would apply to private companies;</w:t>
      </w:r>
    </w:p>
    <w:p>
      <w:pPr>
        <w:spacing w:after="0" w:line="121" w:lineRule="exact"/>
        <w:rPr>
          <w:rFonts w:ascii="Arial" w:cs="Arial" w:eastAsia="Arial" w:hAnsi="Arial"/>
          <w:sz w:val="17"/>
          <w:szCs w:val="17"/>
          <w:color w:val="auto"/>
        </w:rPr>
      </w:pPr>
    </w:p>
    <w:p>
      <w:pPr>
        <w:ind w:left="1000" w:right="80" w:hanging="283"/>
        <w:spacing w:after="0" w:line="260"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6" w:lineRule="exact"/>
        <w:rPr>
          <w:rFonts w:ascii="Arial" w:cs="Arial" w:eastAsia="Arial" w:hAnsi="Arial"/>
          <w:sz w:val="17"/>
          <w:szCs w:val="17"/>
          <w:color w:val="auto"/>
        </w:rPr>
      </w:pPr>
    </w:p>
    <w:p>
      <w:pPr>
        <w:ind w:left="1000" w:hanging="283"/>
        <w:spacing w:after="0"/>
        <w:tabs>
          <w:tab w:leader="none" w:pos="10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exemption from the requirement to seek non-binding advisory votes on executive compensation and golden parachute arrangements; and</w:t>
      </w:r>
    </w:p>
    <w:p>
      <w:pPr>
        <w:spacing w:after="0" w:line="144" w:lineRule="exact"/>
        <w:rPr>
          <w:rFonts w:ascii="Arial" w:cs="Arial" w:eastAsia="Arial" w:hAnsi="Arial"/>
          <w:sz w:val="15"/>
          <w:szCs w:val="15"/>
          <w:color w:val="auto"/>
        </w:rPr>
      </w:pPr>
    </w:p>
    <w:p>
      <w:pPr>
        <w:ind w:left="1000" w:hanging="28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reduced disclosure about executive compensation arrangements.</w:t>
      </w:r>
    </w:p>
    <w:p>
      <w:pPr>
        <w:spacing w:after="0" w:line="210" w:lineRule="exact"/>
        <w:rPr>
          <w:sz w:val="20"/>
          <w:szCs w:val="20"/>
          <w:color w:val="auto"/>
        </w:rPr>
      </w:pPr>
    </w:p>
    <w:p>
      <w:pPr>
        <w:ind w:left="620" w:firstLine="399"/>
        <w:spacing w:after="0" w:line="290" w:lineRule="auto"/>
        <w:rPr>
          <w:sz w:val="20"/>
          <w:szCs w:val="20"/>
          <w:color w:val="auto"/>
        </w:rPr>
      </w:pPr>
      <w:r>
        <w:rPr>
          <w:rFonts w:ascii="Arial" w:cs="Arial" w:eastAsia="Arial" w:hAnsi="Arial"/>
          <w:sz w:val="15"/>
          <w:szCs w:val="15"/>
          <w:color w:val="auto"/>
        </w:rPr>
        <w:t>We will remain an emerging growth company until the last day of the fiscal year following the fifth anniversary of the completion of our IPO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56" w:lineRule="exact"/>
        <w:rPr>
          <w:sz w:val="20"/>
          <w:szCs w:val="20"/>
          <w:color w:val="auto"/>
        </w:rPr>
      </w:pPr>
    </w:p>
    <w:p>
      <w:pPr>
        <w:ind w:left="620" w:right="20" w:firstLine="399"/>
        <w:spacing w:after="0" w:line="252"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 apply to private companies. An emerging growth company can also choose to “opt out” of that extended transition period and comply with new and revised accounting standards on the relevant dates on which adoption of those standards is required for non-emerging growth companies. Section 107 of the JOBS Act provides that a decision to opt out of the extended transition period for complying with new or revised accounting standards is irrevocable.</w:t>
      </w:r>
    </w:p>
    <w:p>
      <w:pPr>
        <w:spacing w:after="0" w:line="28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60"/>
          </w:cols>
          <w:pgMar w:left="320" w:top="440" w:right="101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736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66535" cy="7366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firstLine="399"/>
        <w:spacing w:after="0" w:line="256" w:lineRule="auto"/>
        <w:rPr>
          <w:sz w:val="20"/>
          <w:szCs w:val="20"/>
          <w:color w:val="auto"/>
        </w:rPr>
      </w:pPr>
      <w:r>
        <w:rPr>
          <w:rFonts w:ascii="Arial" w:cs="Arial" w:eastAsia="Arial" w:hAnsi="Arial"/>
          <w:sz w:val="17"/>
          <w:szCs w:val="17"/>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60"/>
          </w:cols>
          <w:pgMar w:left="320" w:top="440" w:right="101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470" w:type="dxa"/>
        <w:tblCellMar>
          <w:top w:w="0" w:type="dxa"/>
          <w:left w:w="0" w:type="dxa"/>
          <w:bottom w:w="0" w:type="dxa"/>
          <w:right w:w="0" w:type="dxa"/>
        </w:tblCellMar>
      </w:tblPr>
      <w:tr>
        <w:trPr>
          <w:trHeight w:val="383"/>
        </w:trPr>
        <w:tc>
          <w:tcPr>
            <w:tcW w:w="4240" w:type="dxa"/>
            <w:vAlign w:val="bottom"/>
            <w:tcBorders>
              <w:top w:val="single" w:sz="8" w:color="auto"/>
              <w:left w:val="single" w:sz="8" w:color="auto"/>
            </w:tcBorders>
          </w:tcPr>
          <w:p>
            <w:pPr>
              <w:spacing w:after="0"/>
              <w:rPr>
                <w:sz w:val="24"/>
                <w:szCs w:val="24"/>
                <w:color w:val="auto"/>
              </w:rPr>
            </w:pPr>
          </w:p>
        </w:tc>
        <w:tc>
          <w:tcPr>
            <w:tcW w:w="61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THE OFFERING</w:t>
            </w:r>
          </w:p>
        </w:tc>
      </w:tr>
      <w:tr>
        <w:trPr>
          <w:trHeight w:val="431"/>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Definitive Healthcare Corp.</w:t>
            </w:r>
          </w:p>
        </w:tc>
      </w:tr>
      <w:tr>
        <w:trPr>
          <w:trHeight w:val="431"/>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Class A common stock offered by us</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11,000,000 shares of Class A common stock (12,650,000 shares if the underwriters</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exercise their option to purchase additional shares in full).</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4"/>
              </w:rPr>
              <w:t>Option to purchase additional shares of Class A common</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The underwriters have an option to purchase an additional 1,650,000 shares of</w:t>
            </w:r>
          </w:p>
        </w:tc>
      </w:tr>
      <w:tr>
        <w:trPr>
          <w:trHeight w:val="203"/>
        </w:trPr>
        <w:tc>
          <w:tcPr>
            <w:tcW w:w="424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stock</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2"/>
              </w:rPr>
              <w:t>Class A common stock from us. The underwriters can exercise this option at any time</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within 30 days from the date of this prospectus.</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1"/>
              </w:rPr>
              <w:t>Class A common stock to be outstanding after this offering</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11,000,000 shares of Class A common stock (12,650,000 shares if the underwriters</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exercise their option to purchase additional shares in full) or 155,274,722 shares of</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Class A common stock (155,274,722 shares if the underwriters exercise their option</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to purchase additional shares of Class A common stock in full) if all outstanding LLC</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Units held by the Unitholders and AIDH Management Holdings, LLC were</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redeemed or exchanged for a corresponding number of newly issued shares of</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Class A common stock.</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1"/>
              </w:rPr>
              <w:t>Class B common stock to be outstanding after this offering</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58,244,627 shares of Class B common stock (57,515,839 shares if the underwriters</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exercise their option to purchase additional shares in full). We would have no shares</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of Class B common stock outstanding if all outstanding LLC Units held by the</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9"/>
              </w:rPr>
              <w:t>Unitholders were redeemed or exchanged for a corresponding number of newly</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issued shares of Class A common stock.</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LLC Units to be held by us after this offering</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6"/>
              </w:rPr>
              <w:t>97,030,095 LLC Units, representing a 62.5% economic interest in Definitive OpCo</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(or 97,758,883 LLC Units, representing a 63.0% economic interest in Definitive</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OpCo, if the underwriters exercise their option to purchase additional shares of</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7"/>
              </w:rPr>
              <w:t>Class A common stock in full). The LLC Units are not entitled to voting interests in</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Definitive OpCo.</w:t>
            </w:r>
          </w:p>
        </w:tc>
      </w:tr>
      <w:tr>
        <w:trPr>
          <w:trHeight w:val="533"/>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Total LLC Units to be outstanding after this offering</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155,274,722 LLC Units (or 155,274,722 LLC Units if the underwriters exercise their</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option to purchase additional shares of Class A common stock in full).</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We estimate that the net proceeds from the sale of our Class A common stock in this</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offering, after deducting the underwriting discounts and estimated offering expenses</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payable by us, will be</w:t>
            </w:r>
          </w:p>
        </w:tc>
      </w:tr>
      <w:tr>
        <w:trPr>
          <w:trHeight w:val="149"/>
        </w:trPr>
        <w:tc>
          <w:tcPr>
            <w:tcW w:w="4240" w:type="dxa"/>
            <w:vAlign w:val="bottom"/>
            <w:tcBorders>
              <w:left w:val="single" w:sz="8" w:color="auto"/>
              <w:bottom w:val="single" w:sz="8" w:color="auto"/>
            </w:tcBorders>
          </w:tcPr>
          <w:p>
            <w:pPr>
              <w:spacing w:after="0"/>
              <w:rPr>
                <w:sz w:val="12"/>
                <w:szCs w:val="12"/>
                <w:color w:val="auto"/>
              </w:rPr>
            </w:pPr>
          </w:p>
        </w:tc>
        <w:tc>
          <w:tcPr>
            <w:tcW w:w="6100" w:type="dxa"/>
            <w:vAlign w:val="bottom"/>
            <w:tcBorders>
              <w:bottom w:val="single" w:sz="8" w:color="auto"/>
              <w:right w:val="single" w:sz="8" w:color="auto"/>
            </w:tcBorders>
          </w:tcPr>
          <w:p>
            <w:pPr>
              <w:spacing w:after="0"/>
              <w:rPr>
                <w:sz w:val="12"/>
                <w:szCs w:val="12"/>
                <w:color w:val="auto"/>
              </w:rPr>
            </w:pPr>
          </w:p>
        </w:tc>
      </w:tr>
      <w:tr>
        <w:trPr>
          <w:trHeight w:val="338"/>
        </w:trPr>
        <w:tc>
          <w:tcPr>
            <w:tcW w:w="4240" w:type="dxa"/>
            <w:vAlign w:val="bottom"/>
          </w:tcPr>
          <w:p>
            <w:pPr>
              <w:spacing w:after="0"/>
              <w:rPr>
                <w:sz w:val="24"/>
                <w:szCs w:val="24"/>
                <w:color w:val="auto"/>
              </w:rPr>
            </w:pPr>
          </w:p>
        </w:tc>
        <w:tc>
          <w:tcPr>
            <w:tcW w:w="6100" w:type="dxa"/>
            <w:vAlign w:val="bottom"/>
          </w:tcPr>
          <w:p>
            <w:pPr>
              <w:ind w:left="840"/>
              <w:spacing w:after="0"/>
              <w:rPr>
                <w:sz w:val="20"/>
                <w:szCs w:val="20"/>
                <w:color w:val="auto"/>
              </w:rPr>
            </w:pPr>
            <w:r>
              <w:rPr>
                <w:rFonts w:ascii="Arial" w:cs="Arial" w:eastAsia="Arial" w:hAnsi="Arial"/>
                <w:sz w:val="17"/>
                <w:szCs w:val="17"/>
                <w:color w:val="auto"/>
              </w:rPr>
              <w:t>17</w:t>
            </w:r>
          </w:p>
        </w:tc>
      </w:tr>
    </w:tbl>
    <w:p>
      <w:pPr>
        <w:sectPr>
          <w:pgSz w:w="11900" w:h="16838" w:orient="portrait"/>
          <w:cols w:equalWidth="0" w:num="1">
            <w:col w:w="10800"/>
          </w:cols>
          <w:pgMar w:left="320" w:top="440" w:right="7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470" w:type="dxa"/>
        <w:tblCellMar>
          <w:top w:w="0" w:type="dxa"/>
          <w:left w:w="0" w:type="dxa"/>
          <w:bottom w:w="0" w:type="dxa"/>
          <w:right w:w="0" w:type="dxa"/>
        </w:tblCellMar>
      </w:tblPr>
      <w:tr>
        <w:trPr>
          <w:trHeight w:val="371"/>
        </w:trPr>
        <w:tc>
          <w:tcPr>
            <w:tcW w:w="3180" w:type="dxa"/>
            <w:vAlign w:val="bottom"/>
            <w:tcBorders>
              <w:top w:val="single" w:sz="8" w:color="auto"/>
              <w:left w:val="single" w:sz="8" w:color="auto"/>
            </w:tcBorders>
          </w:tcPr>
          <w:p>
            <w:pPr>
              <w:spacing w:after="0"/>
              <w:rPr>
                <w:sz w:val="24"/>
                <w:szCs w:val="24"/>
                <w:color w:val="auto"/>
              </w:rPr>
            </w:pPr>
          </w:p>
        </w:tc>
        <w:tc>
          <w:tcPr>
            <w:tcW w:w="716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7"/>
                <w:szCs w:val="17"/>
                <w:color w:val="auto"/>
                <w:w w:val="95"/>
              </w:rPr>
              <w:t>approximately $380,140,000 ($437,461,000 if the underwriters exercise their option</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to purchase additional shares in full) based on a public offering price of $36.00 per</w:t>
            </w:r>
          </w:p>
        </w:tc>
      </w:tr>
      <w:tr>
        <w:trPr>
          <w:trHeight w:val="214"/>
        </w:trPr>
        <w:tc>
          <w:tcPr>
            <w:tcW w:w="318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share.</w:t>
            </w:r>
          </w:p>
        </w:tc>
      </w:tr>
      <w:tr>
        <w:trPr>
          <w:trHeight w:val="431"/>
        </w:trPr>
        <w:tc>
          <w:tcPr>
            <w:tcW w:w="318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We intend to use the net proceeds from this offering (i) for acquisitions or</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4"/>
              </w:rPr>
              <w:t>investments and general corporate purposes, including purchasing 7,000,000 newly</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issued LLC Units from Definitive OpCo, and (ii) to repurchase an aggregate of</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7"/>
              </w:rPr>
              <w:t>2,233,238 shares of Class A common stock and purchase 1,766,762 LLC Units in</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9"/>
              </w:rPr>
              <w:t>Definitive OpCo from existing holders, including our Sponsors, officers, directors</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9"/>
              </w:rPr>
              <w:t>and their affiliates, in a “synthetic secondary” transaction, at a price per share of</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Class A common stock and per LLC Unit in each case, equal to the public offering</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5"/>
              </w:rPr>
              <w:t>price of Class A common stock less the underwriting discounts. Definitive OpCo will</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not receive any proceeds from the repurchase of shares of Class A common stock</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5"/>
              </w:rPr>
              <w:t>from existing holders by us or from the purchase of LLC Units from existing holders</w:t>
            </w:r>
          </w:p>
        </w:tc>
      </w:tr>
      <w:tr>
        <w:trPr>
          <w:trHeight w:val="214"/>
        </w:trPr>
        <w:tc>
          <w:tcPr>
            <w:tcW w:w="318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by us.</w:t>
            </w:r>
          </w:p>
        </w:tc>
      </w:tr>
      <w:tr>
        <w:trPr>
          <w:trHeight w:val="419"/>
        </w:trPr>
        <w:tc>
          <w:tcPr>
            <w:tcW w:w="318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9"/>
              </w:rPr>
              <w:t>If the underwriters exercise their option to purchase additional shares of Class A</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common stock in full, we estimate that our additional net proceeds will be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5"/>
              </w:rPr>
              <w:t>approximately $57,321,000 based on an public offering price of $36.00. We will use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4"/>
              </w:rPr>
              <w:t>the additional net proceeds we receive pursuant to any exercise of the underwriters’</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7"/>
              </w:rPr>
              <w:t>option to repurchase additional shares of Class A common stock and to purchase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additional LLC Units from existing holders. As a result, Definitive OpCo will not</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9"/>
              </w:rPr>
              <w:t>receive any additional proceeds from any exercise of the underwriters’ option to</w:t>
            </w:r>
          </w:p>
        </w:tc>
      </w:tr>
      <w:tr>
        <w:trPr>
          <w:trHeight w:val="214"/>
        </w:trPr>
        <w:tc>
          <w:tcPr>
            <w:tcW w:w="318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purchase additional shares of Class A common stock.</w:t>
            </w:r>
          </w:p>
        </w:tc>
      </w:tr>
      <w:tr>
        <w:trPr>
          <w:trHeight w:val="431"/>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Definitive Healthcare Corp.</w:t>
            </w:r>
          </w:p>
        </w:tc>
      </w:tr>
      <w:tr>
        <w:trPr>
          <w:trHeight w:val="431"/>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Tax Receivable Agreement</w:t>
            </w: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8"/>
              </w:rPr>
              <w:t>We are party to the Tax Receivable Agreement with the TRA Parties (as defined</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2"/>
              </w:rPr>
              <w:t>herein). Under the Tax Receivable Agreement, we generally are required to pay to the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8"/>
              </w:rPr>
              <w:t>TRA Parties 85% of the amount of cash savings, if any, in U.S. federal, state and</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local income tax that we actually realize (or in some circumstances are deemed to</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7"/>
              </w:rPr>
              <w:t>realize) as a result of (i) certain favorable tax attributes acquired from the Blocker</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7"/>
              </w:rPr>
              <w:t>Companies; (ii) tax basis adjustments resulting from (a) acquisitions by us of LLC</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Units from existing holders, including in connection with this offering and (b) future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exchanges of LLC Units by Unitholders for Class A common stock or other</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4"/>
              </w:rPr>
              <w:t>consideration and (iii) certain payments made under the Tax Receivable Agreement.</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We retain the benefit of the remaining 15% of these tax savings. See “—</w:t>
            </w:r>
          </w:p>
        </w:tc>
      </w:tr>
      <w:tr>
        <w:trPr>
          <w:trHeight w:val="214"/>
        </w:trPr>
        <w:tc>
          <w:tcPr>
            <w:tcW w:w="318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Organizational Structure.”</w:t>
            </w:r>
          </w:p>
        </w:tc>
      </w:tr>
      <w:tr>
        <w:trPr>
          <w:trHeight w:val="149"/>
        </w:trPr>
        <w:tc>
          <w:tcPr>
            <w:tcW w:w="3180" w:type="dxa"/>
            <w:vAlign w:val="bottom"/>
            <w:tcBorders>
              <w:left w:val="single" w:sz="8" w:color="auto"/>
              <w:bottom w:val="single" w:sz="8" w:color="auto"/>
            </w:tcBorders>
          </w:tcPr>
          <w:p>
            <w:pPr>
              <w:spacing w:after="0"/>
              <w:rPr>
                <w:sz w:val="12"/>
                <w:szCs w:val="12"/>
                <w:color w:val="auto"/>
              </w:rPr>
            </w:pPr>
          </w:p>
        </w:tc>
        <w:tc>
          <w:tcPr>
            <w:tcW w:w="7160" w:type="dxa"/>
            <w:vAlign w:val="bottom"/>
            <w:tcBorders>
              <w:bottom w:val="single" w:sz="8" w:color="auto"/>
              <w:right w:val="single" w:sz="8" w:color="auto"/>
            </w:tcBorders>
          </w:tcPr>
          <w:p>
            <w:pPr>
              <w:spacing w:after="0"/>
              <w:rPr>
                <w:sz w:val="12"/>
                <w:szCs w:val="12"/>
                <w:color w:val="auto"/>
              </w:rPr>
            </w:pPr>
          </w:p>
        </w:tc>
      </w:tr>
      <w:tr>
        <w:trPr>
          <w:trHeight w:val="338"/>
        </w:trPr>
        <w:tc>
          <w:tcPr>
            <w:tcW w:w="3180" w:type="dxa"/>
            <w:vAlign w:val="bottom"/>
          </w:tcPr>
          <w:p>
            <w:pPr>
              <w:spacing w:after="0"/>
              <w:rPr>
                <w:sz w:val="24"/>
                <w:szCs w:val="24"/>
                <w:color w:val="auto"/>
              </w:rPr>
            </w:pPr>
          </w:p>
        </w:tc>
        <w:tc>
          <w:tcPr>
            <w:tcW w:w="7160" w:type="dxa"/>
            <w:vAlign w:val="bottom"/>
          </w:tcPr>
          <w:p>
            <w:pPr>
              <w:ind w:left="1900"/>
              <w:spacing w:after="0"/>
              <w:rPr>
                <w:sz w:val="20"/>
                <w:szCs w:val="20"/>
                <w:color w:val="auto"/>
              </w:rPr>
            </w:pPr>
            <w:r>
              <w:rPr>
                <w:rFonts w:ascii="Arial" w:cs="Arial" w:eastAsia="Arial" w:hAnsi="Arial"/>
                <w:sz w:val="17"/>
                <w:szCs w:val="17"/>
                <w:color w:val="auto"/>
              </w:rPr>
              <w:t>18</w:t>
            </w:r>
          </w:p>
        </w:tc>
      </w:tr>
    </w:tbl>
    <w:p>
      <w:pPr>
        <w:sectPr>
          <w:pgSz w:w="11900" w:h="16838" w:orient="portrait"/>
          <w:cols w:equalWidth="0" w:num="1">
            <w:col w:w="10800"/>
          </w:cols>
          <w:pgMar w:left="320" w:top="440" w:right="7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210820</wp:posOffset>
            </wp:positionV>
            <wp:extent cx="6566535" cy="5835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66535" cy="5835015"/>
                    </a:xfrm>
                    <a:prstGeom prst="rect">
                      <a:avLst/>
                    </a:prstGeom>
                    <a:noFill/>
                  </pic:spPr>
                </pic:pic>
              </a:graphicData>
            </a:graphic>
          </wp:anchor>
        </w:drawing>
      </w:r>
    </w:p>
    <w:p>
      <w:pPr>
        <w:sectPr>
          <w:pgSz w:w="11900" w:h="16838" w:orient="portrait"/>
          <w:cols w:equalWidth="0" w:num="1">
            <w:col w:w="10600"/>
          </w:cols>
          <w:pgMar w:left="320" w:top="440" w:right="97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both"/>
        <w:ind w:right="100"/>
        <w:spacing w:after="0" w:line="260" w:lineRule="auto"/>
        <w:rPr>
          <w:sz w:val="20"/>
          <w:szCs w:val="20"/>
          <w:color w:val="auto"/>
        </w:rPr>
      </w:pPr>
      <w:r>
        <w:rPr>
          <w:rFonts w:ascii="Arial" w:cs="Arial" w:eastAsia="Arial" w:hAnsi="Arial"/>
          <w:sz w:val="17"/>
          <w:szCs w:val="17"/>
          <w:color w:val="auto"/>
        </w:rPr>
        <w:t>We do not anticipate paying any dividends on our Class A common stock or Class B common stock for the foreseeable future; however, we may change this policy in the future. See “Dividend Policy.”</w:t>
      </w:r>
    </w:p>
    <w:p>
      <w:pPr>
        <w:spacing w:after="0" w:line="200" w:lineRule="exact"/>
        <w:rPr>
          <w:sz w:val="20"/>
          <w:szCs w:val="20"/>
          <w:color w:val="auto"/>
        </w:rPr>
      </w:pPr>
    </w:p>
    <w:p>
      <w:pPr>
        <w:sectPr>
          <w:pgSz w:w="11900" w:h="16838" w:orient="portrait"/>
          <w:cols w:equalWidth="0" w:num="2">
            <w:col w:w="4080" w:space="720"/>
            <w:col w:w="5800"/>
          </w:cols>
          <w:pgMar w:left="320" w:top="440" w:right="979" w:bottom="1440" w:gutter="0" w:footer="0" w:header="0"/>
          <w:type w:val="continuous"/>
        </w:sectPr>
      </w:pPr>
    </w:p>
    <w:p>
      <w:pPr>
        <w:spacing w:after="0" w:line="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Voting Rights</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7"/>
          <w:szCs w:val="17"/>
          <w:color w:val="auto"/>
        </w:rPr>
        <w:t>Each share of our Class A common stock entitles its holder to one vote for each share of Class A common stock held of record on all matters to be voted on by stockholders generally.</w:t>
      </w:r>
    </w:p>
    <w:p>
      <w:pPr>
        <w:spacing w:after="0" w:line="200" w:lineRule="exact"/>
        <w:rPr>
          <w:sz w:val="20"/>
          <w:szCs w:val="20"/>
          <w:color w:val="auto"/>
        </w:rPr>
      </w:pPr>
    </w:p>
    <w:p>
      <w:pPr>
        <w:sectPr>
          <w:pgSz w:w="11900" w:h="16838" w:orient="portrait"/>
          <w:cols w:equalWidth="0" w:num="2">
            <w:col w:w="4080" w:space="720"/>
            <w:col w:w="5800"/>
          </w:cols>
          <w:pgMar w:left="320" w:top="440" w:right="979" w:bottom="1440" w:gutter="0" w:footer="0" w:header="0"/>
          <w:type w:val="continuous"/>
        </w:sectPr>
      </w:pPr>
    </w:p>
    <w:p>
      <w:pPr>
        <w:spacing w:after="0" w:line="1" w:lineRule="exact"/>
        <w:rPr>
          <w:sz w:val="20"/>
          <w:szCs w:val="20"/>
          <w:color w:val="auto"/>
        </w:rPr>
      </w:pPr>
    </w:p>
    <w:p>
      <w:pPr>
        <w:ind w:left="4800" w:right="20"/>
        <w:spacing w:after="0" w:line="253" w:lineRule="auto"/>
        <w:rPr>
          <w:sz w:val="20"/>
          <w:szCs w:val="20"/>
          <w:color w:val="auto"/>
        </w:rPr>
      </w:pPr>
      <w:r>
        <w:rPr>
          <w:rFonts w:ascii="Arial" w:cs="Arial" w:eastAsia="Arial" w:hAnsi="Arial"/>
          <w:sz w:val="17"/>
          <w:szCs w:val="17"/>
          <w:color w:val="auto"/>
        </w:rPr>
        <w:t>Each share of our Class B common stock entitles its holder to one vote for each share of Class B common stock held of record on all matters on which stockholders of Definitive Healthcare Corp. are entitled to vote generally. The shares of Class B common stock representing the voting interests of 2,768,850 LLC Units subject to time-based vesting will not entitle the holder thereof to vote such shares until the underlying LLC Units vest.</w:t>
      </w:r>
    </w:p>
    <w:p>
      <w:pPr>
        <w:spacing w:after="0" w:line="207" w:lineRule="exact"/>
        <w:rPr>
          <w:sz w:val="20"/>
          <w:szCs w:val="20"/>
          <w:color w:val="auto"/>
        </w:rPr>
      </w:pPr>
    </w:p>
    <w:p>
      <w:pPr>
        <w:ind w:left="4800" w:right="140"/>
        <w:spacing w:after="0" w:line="256" w:lineRule="auto"/>
        <w:rPr>
          <w:sz w:val="20"/>
          <w:szCs w:val="20"/>
          <w:color w:val="auto"/>
        </w:rPr>
      </w:pPr>
      <w:r>
        <w:rPr>
          <w:rFonts w:ascii="Arial" w:cs="Arial" w:eastAsia="Arial" w:hAnsi="Arial"/>
          <w:sz w:val="17"/>
          <w:szCs w:val="17"/>
          <w:color w:val="auto"/>
        </w:rPr>
        <w:t>Holders of outstanding shares of our Class A common stock and Class B common stock vote as a single class on all matters on which stockholders are entitled to vote generally, except as otherwise required by law. See “Description of Capital Stock— Common Stock.”</w:t>
      </w:r>
    </w:p>
    <w:p>
      <w:pPr>
        <w:sectPr>
          <w:pgSz w:w="11900" w:h="16838" w:orient="portrait"/>
          <w:cols w:equalWidth="0" w:num="1">
            <w:col w:w="10600"/>
          </w:cols>
          <w:pgMar w:left="320" w:top="440" w:right="979" w:bottom="1440" w:gutter="0" w:footer="0" w:header="0"/>
          <w:type w:val="continuous"/>
        </w:sectPr>
      </w:pPr>
    </w:p>
    <w:p>
      <w:pPr>
        <w:spacing w:after="0" w:line="20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5"/>
          <w:szCs w:val="15"/>
          <w:color w:val="auto"/>
        </w:rPr>
        <w:t>Investing in our Class A common stock involves a high degree of risk. See the “Risk Factors” section of this prospectus beginning on page 28 for a discussion of factors you should carefully consider before investing in our Class A common stock.</w:t>
      </w:r>
    </w:p>
    <w:p>
      <w:pPr>
        <w:spacing w:after="0" w:line="200" w:lineRule="exact"/>
        <w:rPr>
          <w:sz w:val="20"/>
          <w:szCs w:val="20"/>
          <w:color w:val="auto"/>
        </w:rPr>
      </w:pPr>
    </w:p>
    <w:p>
      <w:pPr>
        <w:sectPr>
          <w:pgSz w:w="11900" w:h="16838" w:orient="portrait"/>
          <w:cols w:equalWidth="0" w:num="2">
            <w:col w:w="4080" w:space="720"/>
            <w:col w:w="5800"/>
          </w:cols>
          <w:pgMar w:left="320" w:top="440" w:right="979" w:bottom="1440" w:gutter="0" w:footer="0" w:header="0"/>
          <w:type w:val="continuous"/>
        </w:sectPr>
      </w:pPr>
    </w:p>
    <w:p>
      <w:pPr>
        <w:spacing w:after="0" w:line="7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Listing</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Our Class A common stock is listed on Nasdaq under the symbol “DH.”</w:t>
      </w:r>
    </w:p>
    <w:p>
      <w:pPr>
        <w:spacing w:after="0" w:line="200" w:lineRule="exact"/>
        <w:rPr>
          <w:sz w:val="20"/>
          <w:szCs w:val="20"/>
          <w:color w:val="auto"/>
        </w:rPr>
      </w:pPr>
    </w:p>
    <w:p>
      <w:pPr>
        <w:sectPr>
          <w:pgSz w:w="11900" w:h="16838" w:orient="portrait"/>
          <w:cols w:equalWidth="0" w:num="2">
            <w:col w:w="4080" w:space="720"/>
            <w:col w:w="5800"/>
          </w:cols>
          <w:pgMar w:left="320" w:top="440" w:right="979" w:bottom="1440" w:gutter="0" w:footer="0" w:header="0"/>
          <w:type w:val="continuous"/>
        </w:sectPr>
      </w:pPr>
    </w:p>
    <w:p>
      <w:pPr>
        <w:spacing w:after="0" w:line="4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Except as otherwise indicated, the number of shares of our Class A common stock outstanding after this offering:</w:t>
      </w:r>
    </w:p>
    <w:p>
      <w:pPr>
        <w:spacing w:after="0" w:line="121" w:lineRule="exact"/>
        <w:rPr>
          <w:sz w:val="20"/>
          <w:szCs w:val="20"/>
          <w:color w:val="auto"/>
        </w:rPr>
      </w:pPr>
    </w:p>
    <w:p>
      <w:pPr>
        <w:ind w:left="1400" w:right="120" w:hanging="379"/>
        <w:spacing w:after="0" w:line="272" w:lineRule="auto"/>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excludes 58,244,627 shares of Class A common stock reserved for issuance upon exchange of LLC Units held by the Unitholders on a one-for-one basis;</w:t>
      </w:r>
    </w:p>
    <w:p>
      <w:pPr>
        <w:spacing w:after="0" w:line="76" w:lineRule="exact"/>
        <w:rPr>
          <w:rFonts w:ascii="Arial" w:cs="Arial" w:eastAsia="Arial" w:hAnsi="Arial"/>
          <w:sz w:val="17"/>
          <w:szCs w:val="17"/>
          <w:color w:val="auto"/>
        </w:rPr>
      </w:pPr>
    </w:p>
    <w:p>
      <w:pPr>
        <w:ind w:left="1400" w:right="40" w:hanging="379"/>
        <w:spacing w:after="0" w:line="272" w:lineRule="auto"/>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excludes an aggregate of 1,498,173 shares of our Class A common stock available for issuance under our employee stock purchase plan Definitive Healthcare Corp. 2021 Employee Stock Purchase Plan (the “ESPP”);</w:t>
      </w:r>
    </w:p>
    <w:p>
      <w:pPr>
        <w:spacing w:after="0" w:line="76" w:lineRule="exact"/>
        <w:rPr>
          <w:rFonts w:ascii="Arial" w:cs="Arial" w:eastAsia="Arial" w:hAnsi="Arial"/>
          <w:sz w:val="17"/>
          <w:szCs w:val="17"/>
          <w:color w:val="auto"/>
        </w:rPr>
      </w:pPr>
    </w:p>
    <w:p>
      <w:pPr>
        <w:ind w:left="1400" w:right="560" w:hanging="379"/>
        <w:spacing w:after="0" w:line="272" w:lineRule="auto"/>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excludes an aggregate of 8,989,039 shares of our Class A common stock available for future equity awards under our Definitive Healthcare Corp. 2021 Equity Incentive Plan (the “2021 Plan”); and</w:t>
      </w:r>
    </w:p>
    <w:p>
      <w:pPr>
        <w:spacing w:after="0" w:line="76" w:lineRule="exact"/>
        <w:rPr>
          <w:rFonts w:ascii="Arial" w:cs="Arial" w:eastAsia="Arial" w:hAnsi="Arial"/>
          <w:sz w:val="17"/>
          <w:szCs w:val="17"/>
          <w:color w:val="auto"/>
        </w:rPr>
      </w:pPr>
    </w:p>
    <w:p>
      <w:pPr>
        <w:ind w:left="1400" w:hanging="379"/>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assumes no exercise of the underwriters’ option to purchase additional shares of Class A common stock.</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21" w:lineRule="exact"/>
        <w:rPr>
          <w:sz w:val="20"/>
          <w:szCs w:val="20"/>
          <w:color w:val="auto"/>
        </w:rPr>
      </w:pPr>
    </w:p>
    <w:p>
      <w:pPr>
        <w:ind w:left="1400" w:right="320" w:hanging="379"/>
        <w:spacing w:after="0" w:line="272" w:lineRule="auto"/>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gives effect to this offering (which includes our acquisition of LLC Units from existing holders and repurchase of shares of Class A common stock from certain stockholders); and</w:t>
      </w:r>
    </w:p>
    <w:p>
      <w:pPr>
        <w:spacing w:after="0" w:line="76" w:lineRule="exact"/>
        <w:rPr>
          <w:rFonts w:ascii="Arial" w:cs="Arial" w:eastAsia="Arial" w:hAnsi="Arial"/>
          <w:sz w:val="17"/>
          <w:szCs w:val="17"/>
          <w:color w:val="auto"/>
        </w:rPr>
      </w:pPr>
    </w:p>
    <w:p>
      <w:pPr>
        <w:ind w:left="1400" w:hanging="379"/>
        <w:spacing w:after="0"/>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assumes the underwriters’ option to purchase additional shares of Class A common stock has not been exercised.</w:t>
      </w: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00"/>
          </w:cols>
          <w:pgMar w:left="320" w:top="440" w:right="979" w:bottom="1440" w:gutter="0" w:footer="0" w:header="0"/>
          <w:type w:val="continuous"/>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787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66535" cy="4787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firstLine="399"/>
        <w:spacing w:after="0" w:line="303" w:lineRule="auto"/>
        <w:rPr>
          <w:sz w:val="20"/>
          <w:szCs w:val="20"/>
          <w:color w:val="auto"/>
        </w:rPr>
      </w:pPr>
      <w:r>
        <w:rPr>
          <w:rFonts w:ascii="Arial" w:cs="Arial" w:eastAsia="Arial" w:hAnsi="Arial"/>
          <w:sz w:val="16"/>
          <w:szCs w:val="16"/>
          <w:color w:val="auto"/>
        </w:rPr>
        <w:t>Unless otherwise indicated or the context otherwise requires, references in this prospectus to the exercise of the underwriters’ option to purchase additional shares of Class A common stock gives effect to the use of the net proceeds therefrom.</w:t>
      </w: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140"/>
          </w:cols>
          <w:pgMar w:left="320" w:top="440" w:right="14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596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66535" cy="459613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auto"/>
        </w:rPr>
        <w:t>SUMMARY HISTORICAL AND PRO FORMA CONSOLIDATED FINANCIAL AND OTHER DATA</w:t>
      </w:r>
    </w:p>
    <w:p>
      <w:pPr>
        <w:spacing w:after="0" w:line="214" w:lineRule="exact"/>
        <w:rPr>
          <w:sz w:val="20"/>
          <w:szCs w:val="20"/>
          <w:color w:val="auto"/>
        </w:rPr>
      </w:pPr>
    </w:p>
    <w:p>
      <w:pPr>
        <w:ind w:left="620" w:right="260" w:firstLine="399"/>
        <w:spacing w:after="0" w:line="272" w:lineRule="auto"/>
        <w:rPr>
          <w:sz w:val="20"/>
          <w:szCs w:val="20"/>
          <w:color w:val="auto"/>
        </w:rPr>
      </w:pPr>
      <w:r>
        <w:rPr>
          <w:rFonts w:ascii="Arial" w:cs="Arial" w:eastAsia="Arial" w:hAnsi="Arial"/>
          <w:sz w:val="17"/>
          <w:szCs w:val="17"/>
          <w:color w:val="auto"/>
        </w:rPr>
        <w:t>The following tables set forth the summary historical consolidated financial and other data for Definitive OpCo and its subsidiaries for the periods and as of the dates presented.</w:t>
      </w:r>
    </w:p>
    <w:p>
      <w:pPr>
        <w:spacing w:after="0" w:line="165" w:lineRule="exact"/>
        <w:rPr>
          <w:sz w:val="20"/>
          <w:szCs w:val="20"/>
          <w:color w:val="auto"/>
        </w:rPr>
      </w:pPr>
    </w:p>
    <w:p>
      <w:pPr>
        <w:ind w:left="620" w:right="20" w:firstLine="399"/>
        <w:spacing w:after="0" w:line="287" w:lineRule="auto"/>
        <w:rPr>
          <w:sz w:val="20"/>
          <w:szCs w:val="20"/>
          <w:color w:val="auto"/>
        </w:rPr>
      </w:pPr>
      <w:r>
        <w:rPr>
          <w:rFonts w:ascii="Arial" w:cs="Arial" w:eastAsia="Arial" w:hAnsi="Arial"/>
          <w:sz w:val="15"/>
          <w:szCs w:val="15"/>
          <w:color w:val="auto"/>
        </w:rPr>
        <w:t>The statements of operations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63" w:lineRule="exact"/>
        <w:rPr>
          <w:sz w:val="20"/>
          <w:szCs w:val="20"/>
          <w:color w:val="auto"/>
        </w:rPr>
      </w:pPr>
    </w:p>
    <w:p>
      <w:pPr>
        <w:jc w:val="both"/>
        <w:ind w:left="620" w:right="340" w:firstLine="399"/>
        <w:spacing w:after="0" w:line="260" w:lineRule="auto"/>
        <w:rPr>
          <w:sz w:val="20"/>
          <w:szCs w:val="20"/>
          <w:color w:val="auto"/>
        </w:rPr>
      </w:pPr>
      <w:r>
        <w:rPr>
          <w:rFonts w:ascii="Arial" w:cs="Arial" w:eastAsia="Arial" w:hAnsi="Arial"/>
          <w:sz w:val="17"/>
          <w:szCs w:val="17"/>
          <w:color w:val="auto"/>
        </w:rPr>
        <w:t>Definitive Healthcare Corp. is a holding company, and its sole material asset is controlling equity interest in Definitive OpCo. Definitive Healthcare Corp., through Definitive OpCo, operates and conducts our business. Definitive OpCo is considered our predecessor for accounting purposes and its consolidated financial statements will be our historical financial statements.</w:t>
      </w:r>
    </w:p>
    <w:p>
      <w:pPr>
        <w:spacing w:after="0" w:line="175" w:lineRule="exact"/>
        <w:rPr>
          <w:sz w:val="20"/>
          <w:szCs w:val="20"/>
          <w:color w:val="auto"/>
        </w:rPr>
      </w:pPr>
    </w:p>
    <w:p>
      <w:pPr>
        <w:ind w:left="620" w:firstLine="399"/>
        <w:spacing w:after="0" w:line="269" w:lineRule="auto"/>
        <w:rPr>
          <w:sz w:val="20"/>
          <w:szCs w:val="20"/>
          <w:color w:val="auto"/>
        </w:rPr>
      </w:pPr>
      <w:r>
        <w:rPr>
          <w:rFonts w:ascii="Arial" w:cs="Arial" w:eastAsia="Arial" w:hAnsi="Arial"/>
          <w:sz w:val="16"/>
          <w:szCs w:val="16"/>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and the nine months ended September 30, 2021 give effect to (i) the Reorganization Transactions and (ii) this offering, each as if they had occurred on January 1, 2020.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Consolidated Financial Information” and “Prospectus Summary—Organizational Structure.”</w:t>
      </w:r>
    </w:p>
    <w:p>
      <w:pPr>
        <w:spacing w:after="0" w:line="174" w:lineRule="exact"/>
        <w:rPr>
          <w:sz w:val="20"/>
          <w:szCs w:val="20"/>
          <w:color w:val="auto"/>
        </w:rPr>
      </w:pPr>
    </w:p>
    <w:p>
      <w:pPr>
        <w:ind w:left="620" w:right="120" w:firstLine="399"/>
        <w:spacing w:after="0" w:line="256" w:lineRule="auto"/>
        <w:rPr>
          <w:sz w:val="20"/>
          <w:szCs w:val="20"/>
          <w:color w:val="auto"/>
        </w:rPr>
      </w:pPr>
      <w:r>
        <w:rPr>
          <w:rFonts w:ascii="Arial" w:cs="Arial" w:eastAsia="Arial" w:hAnsi="Arial"/>
          <w:sz w:val="17"/>
          <w:szCs w:val="17"/>
          <w:color w:val="auto"/>
        </w:rPr>
        <w:t>Our historical results are not necessarily indicative of future operating results. You should read the information set forth below together with “Prospectus Summary—Organizational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20"/>
          </w:cols>
          <w:pgMar w:left="320" w:top="440" w:right="9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716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66535" cy="471678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Results of Operations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6"/>
              </w:rPr>
              <w:t>Definitive OpCo,</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80" w:type="dxa"/>
            <w:vAlign w:val="bottom"/>
            <w:tcBorders>
              <w:right w:val="single" w:sz="8" w:color="auto"/>
            </w:tcBorders>
            <w:gridSpan w:val="14"/>
            <w:vMerge w:val="restart"/>
          </w:tcPr>
          <w:p>
            <w:pPr>
              <w:jc w:val="center"/>
              <w:ind w:right="400"/>
              <w:spacing w:after="0"/>
              <w:rPr>
                <w:sz w:val="20"/>
                <w:szCs w:val="20"/>
                <w:color w:val="auto"/>
              </w:rPr>
            </w:pPr>
            <w:r>
              <w:rPr>
                <w:rFonts w:ascii="Arial" w:cs="Arial" w:eastAsia="Arial" w:hAnsi="Arial"/>
                <w:sz w:val="13"/>
                <w:szCs w:val="13"/>
                <w:b w:val="1"/>
                <w:bCs w:val="1"/>
                <w:color w:val="auto"/>
                <w:w w:val="99"/>
              </w:rPr>
              <w:t>Definitive OpCo (AIDH TopCo, 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80" w:type="dxa"/>
            <w:vAlign w:val="bottom"/>
            <w:tcBorders>
              <w:right w:val="single" w:sz="8" w:color="auto"/>
            </w:tcBorders>
            <w:gridSpan w:val="14"/>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Predecessor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vMerge w:val="restart"/>
          </w:tcPr>
          <w:p>
            <w:pPr>
              <w:jc w:val="center"/>
              <w:ind w:right="33"/>
              <w:spacing w:after="0"/>
              <w:rPr>
                <w:sz w:val="20"/>
                <w:szCs w:val="20"/>
                <w:color w:val="auto"/>
              </w:rPr>
            </w:pPr>
            <w:r>
              <w:rPr>
                <w:rFonts w:ascii="Arial" w:cs="Arial" w:eastAsia="Arial" w:hAnsi="Arial"/>
                <w:sz w:val="13"/>
                <w:szCs w:val="13"/>
                <w:b w:val="1"/>
                <w:bCs w:val="1"/>
                <w:color w:val="auto"/>
                <w:w w:val="96"/>
              </w:rPr>
              <w:t>Definitive Healthcare Corp.</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3"/>
                <w:szCs w:val="13"/>
                <w:b w:val="1"/>
                <w:bCs w:val="1"/>
                <w:color w:val="auto"/>
                <w:w w:val="90"/>
              </w:rPr>
              <w:t>Successor Company</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4"/>
              </w:rPr>
              <w:t>Company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0"/>
              </w:rPr>
              <w:t>Fiscal Year</w:t>
            </w:r>
          </w:p>
        </w:tc>
        <w:tc>
          <w:tcPr>
            <w:tcW w:w="100" w:type="dxa"/>
            <w:vAlign w:val="bottom"/>
          </w:tcPr>
          <w:p>
            <w:pPr>
              <w:spacing w:after="0"/>
              <w:rPr>
                <w:sz w:val="11"/>
                <w:szCs w:val="11"/>
                <w:color w:val="auto"/>
              </w:rPr>
            </w:pPr>
          </w:p>
        </w:tc>
        <w:tc>
          <w:tcPr>
            <w:tcW w:w="1120" w:type="dxa"/>
            <w:vAlign w:val="bottom"/>
            <w:tcBorders>
              <w:right w:val="single" w:sz="8" w:color="auto"/>
            </w:tcBorders>
            <w:gridSpan w:val="3"/>
            <w:vMerge w:val="restart"/>
          </w:tcPr>
          <w:p>
            <w:pPr>
              <w:jc w:val="center"/>
              <w:ind w:right="340"/>
              <w:spacing w:after="0"/>
              <w:rPr>
                <w:sz w:val="20"/>
                <w:szCs w:val="20"/>
                <w:color w:val="auto"/>
              </w:rPr>
            </w:pPr>
            <w:r>
              <w:rPr>
                <w:rFonts w:ascii="Arial" w:cs="Arial" w:eastAsia="Arial" w:hAnsi="Arial"/>
                <w:sz w:val="13"/>
                <w:szCs w:val="13"/>
                <w:b w:val="1"/>
                <w:bCs w:val="1"/>
                <w:color w:val="auto"/>
                <w:w w:val="95"/>
              </w:rPr>
              <w:t>Period from</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jc w:val="center"/>
              <w:ind w:left="433"/>
              <w:spacing w:after="0" w:line="132" w:lineRule="exact"/>
              <w:rPr>
                <w:sz w:val="20"/>
                <w:szCs w:val="20"/>
                <w:color w:val="auto"/>
              </w:rPr>
            </w:pPr>
            <w:r>
              <w:rPr>
                <w:rFonts w:ascii="Arial" w:cs="Arial" w:eastAsia="Arial" w:hAnsi="Arial"/>
                <w:sz w:val="13"/>
                <w:szCs w:val="13"/>
                <w:b w:val="1"/>
                <w:bCs w:val="1"/>
                <w:color w:val="auto"/>
                <w:w w:val="98"/>
              </w:rPr>
              <w:t>Pro Forma</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gridSpan w:val="6"/>
            <w:vMerge w:val="restart"/>
          </w:tcPr>
          <w:p>
            <w:pPr>
              <w:jc w:val="right"/>
              <w:ind w:right="500"/>
              <w:spacing w:after="0"/>
              <w:rPr>
                <w:sz w:val="20"/>
                <w:szCs w:val="20"/>
                <w:color w:val="auto"/>
              </w:rPr>
            </w:pPr>
            <w:r>
              <w:rPr>
                <w:rFonts w:ascii="Arial" w:cs="Arial" w:eastAsia="Arial" w:hAnsi="Arial"/>
                <w:sz w:val="13"/>
                <w:szCs w:val="13"/>
                <w:b w:val="1"/>
                <w:bCs w:val="1"/>
                <w:color w:val="auto"/>
              </w:rPr>
              <w:t>Nine Months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right w:val="single" w:sz="8" w:color="auto"/>
            </w:tcBorders>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w w:val="97"/>
              </w:rPr>
              <w:t>Year Ended</w:t>
            </w:r>
          </w:p>
        </w:tc>
        <w:tc>
          <w:tcPr>
            <w:tcW w:w="100" w:type="dxa"/>
            <w:vAlign w:val="bottom"/>
          </w:tcPr>
          <w:p>
            <w:pPr>
              <w:spacing w:after="0"/>
              <w:rPr>
                <w:sz w:val="9"/>
                <w:szCs w:val="9"/>
                <w:color w:val="auto"/>
              </w:rPr>
            </w:pPr>
          </w:p>
        </w:tc>
        <w:tc>
          <w:tcPr>
            <w:tcW w:w="820" w:type="dxa"/>
            <w:vAlign w:val="bottom"/>
            <w:gridSpan w:val="2"/>
          </w:tcPr>
          <w:p>
            <w:pPr>
              <w:jc w:val="center"/>
              <w:spacing w:after="0" w:line="112" w:lineRule="exact"/>
              <w:rPr>
                <w:sz w:val="20"/>
                <w:szCs w:val="20"/>
                <w:color w:val="auto"/>
              </w:rPr>
            </w:pPr>
            <w:r>
              <w:rPr>
                <w:rFonts w:ascii="Arial" w:cs="Arial" w:eastAsia="Arial" w:hAnsi="Arial"/>
                <w:sz w:val="12"/>
                <w:szCs w:val="12"/>
                <w:b w:val="1"/>
                <w:bCs w:val="1"/>
                <w:color w:val="auto"/>
              </w:rPr>
              <w:t>Nine Months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5"/>
              </w:rPr>
              <w:t>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4"/>
              </w:rPr>
              <w:t>July 16,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4"/>
              </w:rPr>
              <w:t>January 1, to</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60"/>
        </w:trPr>
        <w:tc>
          <w:tcPr>
            <w:tcW w:w="276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95"/>
              </w:rPr>
              <w:t>Ended September 30,</w:t>
            </w:r>
          </w:p>
        </w:tc>
        <w:tc>
          <w:tcPr>
            <w:tcW w:w="10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3"/>
                <w:szCs w:val="13"/>
                <w:color w:val="auto"/>
              </w:rPr>
            </w:pPr>
          </w:p>
        </w:tc>
        <w:tc>
          <w:tcPr>
            <w:tcW w:w="112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July 15,</w:t>
            </w:r>
          </w:p>
        </w:tc>
        <w:tc>
          <w:tcPr>
            <w:tcW w:w="1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9"/>
        </w:trPr>
        <w:tc>
          <w:tcPr>
            <w:tcW w:w="2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2021</w:t>
            </w:r>
            <w:r>
              <w:rPr>
                <w:rFonts w:ascii="Arial" w:cs="Arial" w:eastAsia="Arial" w:hAnsi="Arial"/>
                <w:sz w:val="11"/>
                <w:szCs w:val="11"/>
                <w:b w:val="1"/>
                <w:bCs w:val="1"/>
                <w:color w:val="auto"/>
              </w:rPr>
              <w:t>(1)</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w w:val="96"/>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w w:val="89"/>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w w:val="96"/>
              </w:rPr>
              <w:t>2019</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w w:val="89"/>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19"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153"/>
              <w:spacing w:after="0" w:line="119" w:lineRule="exact"/>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3"/>
                <w:szCs w:val="13"/>
                <w:color w:val="auto"/>
              </w:rPr>
              <w:t>Revenue</w:t>
            </w:r>
          </w:p>
        </w:tc>
        <w:tc>
          <w:tcPr>
            <w:tcW w:w="20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119,841</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84,659</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118,317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40,045</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45,458</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118,317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119,841</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tcPr>
          <w:p>
            <w:pPr>
              <w:spacing w:after="0" w:line="139" w:lineRule="exact"/>
              <w:rPr>
                <w:sz w:val="20"/>
                <w:szCs w:val="20"/>
                <w:color w:val="auto"/>
              </w:rPr>
            </w:pPr>
            <w:r>
              <w:rPr>
                <w:rFonts w:ascii="Arial" w:cs="Arial" w:eastAsia="Arial" w:hAnsi="Arial"/>
                <w:sz w:val="13"/>
                <w:szCs w:val="13"/>
                <w:color w:val="auto"/>
              </w:rPr>
              <w:t>Cost of revenue: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Cost of revenue exclusive of amortization</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shown below</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4,668</w:t>
            </w:r>
          </w:p>
        </w:tc>
        <w:tc>
          <w:tcPr>
            <w:tcW w:w="32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Amortization</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15,896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14,278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8,614</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15,896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240"/>
              <w:spacing w:after="0" w:line="139" w:lineRule="exact"/>
              <w:rPr>
                <w:sz w:val="20"/>
                <w:szCs w:val="20"/>
                <w:color w:val="auto"/>
              </w:rPr>
            </w:pPr>
            <w:r>
              <w:rPr>
                <w:rFonts w:ascii="Arial" w:cs="Arial" w:eastAsia="Arial" w:hAnsi="Arial"/>
                <w:sz w:val="13"/>
                <w:szCs w:val="13"/>
                <w:b w:val="1"/>
                <w:bCs w:val="1"/>
                <w:color w:val="auto"/>
              </w:rPr>
              <w:t>Total cost of revenue</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29,791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22,154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13,282</w:t>
            </w: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5,328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29,791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380"/>
              <w:spacing w:after="0" w:line="145" w:lineRule="exact"/>
              <w:rPr>
                <w:sz w:val="20"/>
                <w:szCs w:val="20"/>
                <w:color w:val="auto"/>
              </w:rPr>
            </w:pPr>
            <w:r>
              <w:rPr>
                <w:rFonts w:ascii="Arial" w:cs="Arial" w:eastAsia="Arial" w:hAnsi="Arial"/>
                <w:sz w:val="13"/>
                <w:szCs w:val="13"/>
                <w:b w:val="1"/>
                <w:bCs w:val="1"/>
                <w:color w:val="auto"/>
              </w:rPr>
              <w:t>Gross profit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auto"/>
              </w:rPr>
              <w:t>90,050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3"/>
                <w:szCs w:val="13"/>
                <w:color w:val="auto"/>
              </w:rPr>
              <w:t>62,505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26,763</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40,130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auto"/>
              </w:rPr>
              <w:t>90,050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Operating expenses: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Sales and marketing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39,003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rPr>
              <w:t>23,542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10,814</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16,039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39,003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rPr>
              <w:t>Product development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12,817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7,566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3,484</w:t>
            </w: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3,961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12,817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18,891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rPr>
              <w:t>8,105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6,365</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3,979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18,891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28,814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30,037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22,459</w:t>
            </w: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1,967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28,814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Transaction expenses</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3,776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14,703</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17,124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12,791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240"/>
              <w:spacing w:after="0" w:line="139" w:lineRule="exact"/>
              <w:rPr>
                <w:sz w:val="20"/>
                <w:szCs w:val="20"/>
                <w:color w:val="auto"/>
              </w:rPr>
            </w:pPr>
            <w:r>
              <w:rPr>
                <w:rFonts w:ascii="Arial" w:cs="Arial" w:eastAsia="Arial" w:hAnsi="Arial"/>
                <w:sz w:val="13"/>
                <w:szCs w:val="13"/>
                <w:b w:val="1"/>
                <w:bCs w:val="1"/>
                <w:color w:val="auto"/>
              </w:rPr>
              <w:t>Total operating expenses</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102,857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69,998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102,294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57,825</w:t>
            </w: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27,097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115,642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112,316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240"/>
              <w:spacing w:after="0" w:line="145" w:lineRule="exact"/>
              <w:rPr>
                <w:sz w:val="20"/>
                <w:szCs w:val="20"/>
                <w:color w:val="auto"/>
              </w:rPr>
            </w:pPr>
            <w:r>
              <w:rPr>
                <w:rFonts w:ascii="Arial" w:cs="Arial" w:eastAsia="Arial" w:hAnsi="Arial"/>
                <w:sz w:val="13"/>
                <w:szCs w:val="13"/>
                <w:color w:val="auto"/>
              </w:rPr>
              <w:t>(Loss) income from operations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auto"/>
              </w:rPr>
              <w:t>(12,807)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3"/>
                <w:szCs w:val="13"/>
                <w:color w:val="auto"/>
              </w:rPr>
              <w:t>(7,493)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(14,445)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(31,062)</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13,033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(27,793)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auto"/>
              </w:rPr>
              <w:t>(22,266)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Other expense, net: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Foreign currency transaction gain (loss)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143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rPr>
              <w:t>Interest expense, net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(23,956)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w w:val="94"/>
              </w:rPr>
              <w:t>(27,802)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(36,490)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(18,204)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(7,393)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(5,454)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40" w:type="dxa"/>
            <w:vAlign w:val="bottom"/>
            <w:gridSpan w:val="2"/>
          </w:tcPr>
          <w:p>
            <w:pPr>
              <w:ind w:left="100"/>
              <w:spacing w:after="0"/>
              <w:rPr>
                <w:sz w:val="20"/>
                <w:szCs w:val="20"/>
                <w:color w:val="auto"/>
              </w:rPr>
            </w:pPr>
            <w:r>
              <w:rPr>
                <w:rFonts w:ascii="Arial" w:cs="Arial" w:eastAsia="Arial" w:hAnsi="Arial"/>
                <w:sz w:val="13"/>
                <w:szCs w:val="13"/>
                <w:color w:val="auto"/>
              </w:rPr>
              <w:t>Loss on extinguishment of debt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(9,873)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(9,873)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240"/>
              <w:spacing w:after="0" w:line="139" w:lineRule="exact"/>
              <w:rPr>
                <w:sz w:val="20"/>
                <w:szCs w:val="20"/>
                <w:color w:val="auto"/>
              </w:rPr>
            </w:pPr>
            <w:r>
              <w:rPr>
                <w:rFonts w:ascii="Arial" w:cs="Arial" w:eastAsia="Arial" w:hAnsi="Arial"/>
                <w:sz w:val="13"/>
                <w:szCs w:val="13"/>
                <w:b w:val="1"/>
                <w:bCs w:val="1"/>
                <w:color w:val="auto"/>
              </w:rPr>
              <w:t>Total other expense, net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(33,686)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w w:val="94"/>
              </w:rPr>
              <w:t>(27,802)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(36,712)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(18,204)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(17,488)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(5,311)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240"/>
              <w:spacing w:after="0" w:line="145" w:lineRule="exact"/>
              <w:rPr>
                <w:sz w:val="20"/>
                <w:szCs w:val="20"/>
                <w:color w:val="auto"/>
              </w:rPr>
            </w:pPr>
            <w:r>
              <w:rPr>
                <w:rFonts w:ascii="Arial" w:cs="Arial" w:eastAsia="Arial" w:hAnsi="Arial"/>
                <w:sz w:val="13"/>
                <w:szCs w:val="13"/>
                <w:b w:val="1"/>
                <w:bCs w:val="1"/>
                <w:color w:val="auto"/>
              </w:rPr>
              <w:t>(Loss) income before income taxes</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(46,493)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86"/>
              </w:rPr>
              <w:t>(35,295)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(51,157)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(49,266)</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12,868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(45,281)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(27,577)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Income tax expense</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380"/>
              <w:spacing w:after="0" w:line="145" w:lineRule="exact"/>
              <w:rPr>
                <w:sz w:val="20"/>
                <w:szCs w:val="20"/>
                <w:color w:val="auto"/>
              </w:rPr>
            </w:pPr>
            <w:r>
              <w:rPr>
                <w:rFonts w:ascii="Arial" w:cs="Arial" w:eastAsia="Arial" w:hAnsi="Arial"/>
                <w:sz w:val="13"/>
                <w:szCs w:val="13"/>
                <w:b w:val="1"/>
                <w:bCs w:val="1"/>
                <w:color w:val="auto"/>
              </w:rPr>
              <w:t>Net (loss) income</w:t>
            </w:r>
          </w:p>
        </w:tc>
        <w:tc>
          <w:tcPr>
            <w:tcW w:w="1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(46,493)</w:t>
            </w:r>
          </w:p>
        </w:tc>
        <w:tc>
          <w:tcPr>
            <w:tcW w:w="2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w w:val="94"/>
              </w:rPr>
              <w:t>(35,295)</w:t>
            </w:r>
          </w:p>
        </w:tc>
        <w:tc>
          <w:tcPr>
            <w:tcW w:w="180" w:type="dxa"/>
            <w:vAlign w:val="bottom"/>
            <w:gridSpan w:val="2"/>
          </w:tcPr>
          <w:p>
            <w:pPr>
              <w:jc w:val="center"/>
              <w:ind w:left="13"/>
              <w:spacing w:after="0" w:line="145"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(51,157)</w:t>
            </w:r>
          </w:p>
        </w:tc>
        <w:tc>
          <w:tcPr>
            <w:tcW w:w="1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gridSpan w:val="2"/>
          </w:tcPr>
          <w:p>
            <w:pPr>
              <w:jc w:val="right"/>
              <w:ind w:right="280"/>
              <w:spacing w:after="0" w:line="145" w:lineRule="exact"/>
              <w:rPr>
                <w:sz w:val="20"/>
                <w:szCs w:val="20"/>
                <w:color w:val="auto"/>
              </w:rPr>
            </w:pPr>
            <w:r>
              <w:rPr>
                <w:rFonts w:ascii="Arial" w:cs="Arial" w:eastAsia="Arial" w:hAnsi="Arial"/>
                <w:sz w:val="13"/>
                <w:szCs w:val="13"/>
                <w:color w:val="auto"/>
              </w:rPr>
              <w:t>(49,266)</w:t>
            </w:r>
          </w:p>
        </w:tc>
        <w:tc>
          <w:tcPr>
            <w:tcW w:w="2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12,868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(45,281)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5"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(27,577)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shd w:val="clear" w:color="auto" w:fill="CCEEFF"/>
          </w:tcPr>
          <w:p>
            <w:pPr>
              <w:spacing w:after="0" w:line="130" w:lineRule="exact"/>
              <w:rPr>
                <w:sz w:val="20"/>
                <w:szCs w:val="20"/>
                <w:color w:val="auto"/>
              </w:rPr>
            </w:pPr>
            <w:r>
              <w:rPr>
                <w:rFonts w:ascii="Arial" w:cs="Arial" w:eastAsia="Arial" w:hAnsi="Arial"/>
                <w:sz w:val="13"/>
                <w:szCs w:val="13"/>
                <w:color w:val="auto"/>
              </w:rPr>
              <w:t>Net loss attributable to noncontrolling interests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(5,172)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tcBorders>
              <w:right w:val="single" w:sz="8" w:color="auto"/>
            </w:tcBorders>
            <w:gridSpan w:val="2"/>
            <w:shd w:val="clear" w:color="auto" w:fill="CCEEFF"/>
          </w:tcPr>
          <w:p>
            <w:pPr>
              <w:jc w:val="right"/>
              <w:ind w:right="400"/>
              <w:spacing w:after="0" w:line="13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(16,471)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3"/>
                <w:szCs w:val="13"/>
                <w:color w:val="auto"/>
              </w:rPr>
              <w:t>(10,032)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ind w:left="240"/>
              <w:spacing w:after="0" w:line="126" w:lineRule="exact"/>
              <w:rPr>
                <w:sz w:val="20"/>
                <w:szCs w:val="20"/>
                <w:color w:val="auto"/>
              </w:rPr>
            </w:pPr>
            <w:r>
              <w:rPr>
                <w:rFonts w:ascii="Arial" w:cs="Arial" w:eastAsia="Arial" w:hAnsi="Arial"/>
                <w:sz w:val="13"/>
                <w:szCs w:val="13"/>
                <w:color w:val="auto"/>
                <w:w w:val="98"/>
              </w:rPr>
              <w:t>Net loss attributable to Definitive Healthcare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2"/>
          </w:tcPr>
          <w:p>
            <w:pPr>
              <w:ind w:left="380"/>
              <w:spacing w:after="0"/>
              <w:rPr>
                <w:sz w:val="20"/>
                <w:szCs w:val="20"/>
                <w:color w:val="auto"/>
              </w:rPr>
            </w:pPr>
            <w:r>
              <w:rPr>
                <w:rFonts w:ascii="Arial" w:cs="Arial" w:eastAsia="Arial" w:hAnsi="Arial"/>
                <w:sz w:val="13"/>
                <w:szCs w:val="13"/>
                <w:color w:val="auto"/>
              </w:rPr>
              <w:t>Corp.</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(7,978)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(28,810)</w:t>
            </w:r>
          </w:p>
        </w:tc>
        <w:tc>
          <w:tcPr>
            <w:tcW w:w="140" w:type="dxa"/>
            <w:vAlign w:val="bottom"/>
          </w:tcPr>
          <w:p>
            <w:pPr>
              <w:spacing w:after="0"/>
              <w:rPr>
                <w:sz w:val="13"/>
                <w:szCs w:val="13"/>
                <w:color w:val="auto"/>
              </w:rPr>
            </w:pPr>
          </w:p>
        </w:tc>
        <w:tc>
          <w:tcPr>
            <w:tcW w:w="3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(17,545)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Basic and diluted net loss per share</w:t>
            </w:r>
            <w:r>
              <w:rPr>
                <w:rFonts w:ascii="Arial" w:cs="Arial" w:eastAsia="Arial" w:hAnsi="Arial"/>
                <w:sz w:val="11"/>
                <w:szCs w:val="11"/>
                <w:color w:val="auto"/>
              </w:rPr>
              <w:t>(2)</w:t>
            </w:r>
          </w:p>
        </w:tc>
        <w:tc>
          <w:tcPr>
            <w:tcW w:w="1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(0.09)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(0.30)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(0.18)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gridSpan w:val="2"/>
          </w:tcPr>
          <w:p>
            <w:pPr>
              <w:spacing w:after="0" w:line="121" w:lineRule="exact"/>
              <w:rPr>
                <w:sz w:val="20"/>
                <w:szCs w:val="20"/>
                <w:color w:val="auto"/>
              </w:rPr>
            </w:pPr>
            <w:r>
              <w:rPr>
                <w:rFonts w:ascii="Arial" w:cs="Arial" w:eastAsia="Arial" w:hAnsi="Arial"/>
                <w:sz w:val="13"/>
                <w:szCs w:val="13"/>
                <w:color w:val="auto"/>
              </w:rPr>
              <w:t>Shares used in basic and diluted per share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2"/>
          </w:tcPr>
          <w:p>
            <w:pPr>
              <w:ind w:left="100"/>
              <w:spacing w:after="0"/>
              <w:rPr>
                <w:sz w:val="20"/>
                <w:szCs w:val="20"/>
                <w:color w:val="auto"/>
              </w:rPr>
            </w:pPr>
            <w:r>
              <w:rPr>
                <w:rFonts w:ascii="Arial" w:cs="Arial" w:eastAsia="Arial" w:hAnsi="Arial"/>
                <w:sz w:val="13"/>
                <w:szCs w:val="13"/>
                <w:color w:val="auto"/>
              </w:rPr>
              <w:t>calculation</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88,263,333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97,030,095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97,030,095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020" w:right="80" w:hanging="392"/>
        <w:spacing w:after="0" w:line="233" w:lineRule="auto"/>
        <w:tabs>
          <w:tab w:leader="none" w:pos="10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Amounts for the period from January 1, 2020 through September 15, 2021 herein represent the historical operations of Definitive OpCo. The amounts as of September 30, 2021 and for the period from September 16, 2021 reflect the consolidated operations of Definitive Healthcare Corp. and its consolidated subsidiaries.</w:t>
      </w:r>
    </w:p>
    <w:p>
      <w:pPr>
        <w:ind w:left="1020" w:right="440" w:hanging="392"/>
        <w:spacing w:after="0"/>
        <w:tabs>
          <w:tab w:leader="none" w:pos="10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Basic and diluted net loss per share of Class A common stock is applicable only for the period from September 15, 2021 through September 30, 2021, which is the period following the IPO and related Reorganization Transactions.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20"/>
          </w:cols>
          <w:pgMar w:left="320" w:top="440" w:right="9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6437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66535" cy="64376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5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spacing w:after="0"/>
              <w:rPr>
                <w:sz w:val="20"/>
                <w:szCs w:val="20"/>
                <w:color w:val="auto"/>
              </w:rPr>
            </w:pPr>
            <w:r>
              <w:rPr>
                <w:rFonts w:ascii="Arial" w:cs="Arial" w:eastAsia="Arial" w:hAnsi="Arial"/>
                <w:sz w:val="13"/>
                <w:szCs w:val="13"/>
                <w:b w:val="1"/>
                <w:bCs w:val="1"/>
                <w:color w:val="auto"/>
              </w:rPr>
              <w:t>Definitive Healthcare Corp.</w:t>
            </w:r>
          </w:p>
        </w:tc>
        <w:tc>
          <w:tcPr>
            <w:tcW w:w="0" w:type="dxa"/>
            <w:vAlign w:val="bottom"/>
          </w:tcPr>
          <w:p>
            <w:pPr>
              <w:spacing w:after="0"/>
              <w:rPr>
                <w:sz w:val="1"/>
                <w:szCs w:val="1"/>
                <w:color w:val="auto"/>
              </w:rPr>
            </w:pPr>
          </w:p>
        </w:tc>
      </w:tr>
      <w:tr>
        <w:trPr>
          <w:trHeight w:val="132"/>
        </w:trPr>
        <w:tc>
          <w:tcPr>
            <w:tcW w:w="57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80" w:type="dxa"/>
            <w:vAlign w:val="bottom"/>
            <w:tcBorders>
              <w:top w:val="single" w:sz="8" w:color="auto"/>
              <w:bottom w:val="single" w:sz="8" w:color="auto"/>
            </w:tcBorders>
            <w:gridSpan w:val="4"/>
          </w:tcPr>
          <w:p>
            <w:pPr>
              <w:jc w:val="right"/>
              <w:ind w:right="66"/>
              <w:spacing w:after="0" w:line="132" w:lineRule="exact"/>
              <w:rPr>
                <w:sz w:val="20"/>
                <w:szCs w:val="20"/>
                <w:color w:val="auto"/>
              </w:rPr>
            </w:pPr>
            <w:r>
              <w:rPr>
                <w:rFonts w:ascii="Arial" w:cs="Arial" w:eastAsia="Arial" w:hAnsi="Arial"/>
                <w:sz w:val="13"/>
                <w:szCs w:val="13"/>
                <w:b w:val="1"/>
                <w:bCs w:val="1"/>
                <w:color w:val="auto"/>
                <w:w w:val="96"/>
              </w:rPr>
              <w:t>As of September 30, 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7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ind w:right="107"/>
              <w:spacing w:after="0"/>
              <w:rPr>
                <w:sz w:val="20"/>
                <w:szCs w:val="20"/>
                <w:color w:val="auto"/>
              </w:rPr>
            </w:pPr>
            <w:r>
              <w:rPr>
                <w:rFonts w:ascii="Arial" w:cs="Arial" w:eastAsia="Arial" w:hAnsi="Arial"/>
                <w:sz w:val="13"/>
                <w:szCs w:val="13"/>
                <w:b w:val="1"/>
                <w:bCs w:val="1"/>
                <w:color w:val="auto"/>
              </w:rPr>
              <w:t>Actual</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246"/>
              <w:spacing w:after="0" w:line="112" w:lineRule="exact"/>
              <w:rPr>
                <w:sz w:val="20"/>
                <w:szCs w:val="20"/>
                <w:color w:val="auto"/>
              </w:rPr>
            </w:pPr>
            <w:r>
              <w:rPr>
                <w:rFonts w:ascii="Arial" w:cs="Arial" w:eastAsia="Arial" w:hAnsi="Arial"/>
                <w:sz w:val="12"/>
                <w:szCs w:val="12"/>
                <w:b w:val="1"/>
                <w:bCs w:val="1"/>
                <w:color w:val="auto"/>
              </w:rPr>
              <w:t>As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20"/>
                <w:szCs w:val="20"/>
                <w:color w:val="auto"/>
              </w:rPr>
            </w:pPr>
            <w:r>
              <w:rPr>
                <w:rFonts w:ascii="Arial" w:cs="Arial" w:eastAsia="Arial" w:hAnsi="Arial"/>
                <w:sz w:val="13"/>
                <w:szCs w:val="13"/>
                <w:color w:val="auto"/>
              </w:rPr>
              <w:t>(in thousands)</w:t>
            </w: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83"/>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 (at end of period)</w:t>
            </w:r>
          </w:p>
        </w:tc>
        <w:tc>
          <w:tcPr>
            <w:tcW w:w="2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2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189,752</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432,932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1,869,799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2,112,979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Term loan, net of current portion</w:t>
            </w: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265,388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265,388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218,290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230,259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40" w:type="dxa"/>
            <w:vAlign w:val="bottom"/>
          </w:tcPr>
          <w:p>
            <w:pPr>
              <w:spacing w:after="0"/>
              <w:rPr>
                <w:sz w:val="20"/>
                <w:szCs w:val="20"/>
                <w:color w:val="auto"/>
              </w:rPr>
            </w:pPr>
            <w:r>
              <w:rPr>
                <w:rFonts w:ascii="Arial" w:cs="Arial" w:eastAsia="Arial" w:hAnsi="Arial"/>
                <w:sz w:val="15"/>
                <w:szCs w:val="15"/>
                <w:color w:val="auto"/>
              </w:rPr>
              <w:t>Total liabilities and members’ capital</w:t>
            </w:r>
          </w:p>
        </w:tc>
        <w:tc>
          <w:tcPr>
            <w:tcW w:w="2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1,869,799</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2,112,979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020" w:hanging="392"/>
        <w:spacing w:after="0"/>
        <w:tabs>
          <w:tab w:leader="none" w:pos="10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the cash and cash equivalents after giving effect to the use of proceeds as described in “Use of Proceeds.”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gridSpan w:val="6"/>
            <w:vMerge w:val="restart"/>
          </w:tcPr>
          <w:p>
            <w:pPr>
              <w:jc w:val="center"/>
              <w:ind w:right="160"/>
              <w:spacing w:after="0"/>
              <w:rPr>
                <w:sz w:val="20"/>
                <w:szCs w:val="20"/>
                <w:color w:val="auto"/>
              </w:rPr>
            </w:pPr>
            <w:r>
              <w:rPr>
                <w:rFonts w:ascii="Arial" w:cs="Arial" w:eastAsia="Arial" w:hAnsi="Arial"/>
                <w:sz w:val="13"/>
                <w:szCs w:val="13"/>
                <w:b w:val="1"/>
                <w:bCs w:val="1"/>
                <w:color w:val="auto"/>
                <w:w w:val="96"/>
              </w:rPr>
              <w:t>Definitive OpCo</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6"/>
          </w:tcPr>
          <w:p>
            <w:pPr>
              <w:jc w:val="center"/>
              <w:ind w:right="160"/>
              <w:spacing w:after="0" w:line="139" w:lineRule="exact"/>
              <w:rPr>
                <w:sz w:val="20"/>
                <w:szCs w:val="20"/>
                <w:color w:val="auto"/>
              </w:rPr>
            </w:pPr>
            <w:r>
              <w:rPr>
                <w:rFonts w:ascii="Arial" w:cs="Arial" w:eastAsia="Arial" w:hAnsi="Arial"/>
                <w:sz w:val="13"/>
                <w:szCs w:val="13"/>
                <w:b w:val="1"/>
                <w:bCs w:val="1"/>
                <w:color w:val="auto"/>
              </w:rPr>
              <w:t>(AIDH TopCo, LLC)</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1"/>
              </w:rPr>
              <w:t>(Successor Company)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gridSpan w:val="5"/>
            <w:vMerge w:val="restart"/>
          </w:tcPr>
          <w:p>
            <w:pPr>
              <w:jc w:val="right"/>
              <w:ind w:right="520"/>
              <w:spacing w:after="0"/>
              <w:rPr>
                <w:sz w:val="20"/>
                <w:szCs w:val="20"/>
                <w:color w:val="auto"/>
              </w:rPr>
            </w:pPr>
            <w:r>
              <w:rPr>
                <w:rFonts w:ascii="Arial" w:cs="Arial" w:eastAsia="Arial" w:hAnsi="Arial"/>
                <w:sz w:val="13"/>
                <w:szCs w:val="13"/>
                <w:b w:val="1"/>
                <w:bCs w:val="1"/>
                <w:color w:val="auto"/>
              </w:rPr>
              <w:t>Nine Months Ended</w:t>
            </w: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220"/>
              <w:spacing w:after="0" w:line="112" w:lineRule="exact"/>
              <w:rPr>
                <w:sz w:val="20"/>
                <w:szCs w:val="20"/>
                <w:color w:val="auto"/>
              </w:rPr>
            </w:pPr>
            <w:r>
              <w:rPr>
                <w:rFonts w:ascii="Arial" w:cs="Arial" w:eastAsia="Arial" w:hAnsi="Arial"/>
                <w:sz w:val="12"/>
                <w:szCs w:val="12"/>
                <w:b w:val="1"/>
                <w:bCs w:val="1"/>
                <w:color w:val="auto"/>
              </w:rPr>
              <w:t>Fiscal Year</w:t>
            </w: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27"/>
              <w:spacing w:after="0" w:line="112"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5"/>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4"/>
              </w:rPr>
              <w:t>July 16,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4"/>
              </w:rPr>
              <w:t>January 1, to</w:t>
            </w:r>
          </w:p>
        </w:tc>
        <w:tc>
          <w:tcPr>
            <w:tcW w:w="0" w:type="dxa"/>
            <w:vAlign w:val="bottom"/>
          </w:tcPr>
          <w:p>
            <w:pPr>
              <w:spacing w:after="0"/>
              <w:rPr>
                <w:sz w:val="1"/>
                <w:szCs w:val="1"/>
                <w:color w:val="auto"/>
              </w:rPr>
            </w:pPr>
          </w:p>
        </w:tc>
      </w:tr>
      <w:tr>
        <w:trPr>
          <w:trHeight w:val="160"/>
        </w:trPr>
        <w:tc>
          <w:tcPr>
            <w:tcW w:w="3600" w:type="dxa"/>
            <w:vAlign w:val="bottom"/>
            <w:gridSpan w:val="3"/>
            <w:vMerge w:val="restart"/>
          </w:tcPr>
          <w:p>
            <w:pPr>
              <w:spacing w:after="0"/>
              <w:rPr>
                <w:sz w:val="20"/>
                <w:szCs w:val="20"/>
                <w:color w:val="auto"/>
              </w:rPr>
            </w:pPr>
            <w:r>
              <w:rPr>
                <w:rFonts w:ascii="Arial" w:cs="Arial" w:eastAsia="Arial" w:hAnsi="Arial"/>
                <w:sz w:val="13"/>
                <w:szCs w:val="13"/>
                <w:color w:val="auto"/>
              </w:rPr>
              <w:t>($ in thousands)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3"/>
                <w:szCs w:val="13"/>
                <w:color w:val="auto"/>
              </w:rPr>
            </w:pPr>
          </w:p>
        </w:tc>
        <w:tc>
          <w:tcPr>
            <w:tcW w:w="10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92"/>
              </w:rPr>
              <w:t>December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July 15,</w:t>
            </w:r>
          </w:p>
        </w:tc>
        <w:tc>
          <w:tcPr>
            <w:tcW w:w="0" w:type="dxa"/>
            <w:vAlign w:val="bottom"/>
          </w:tcPr>
          <w:p>
            <w:pPr>
              <w:spacing w:after="0"/>
              <w:rPr>
                <w:sz w:val="1"/>
                <w:szCs w:val="1"/>
                <w:color w:val="auto"/>
              </w:rPr>
            </w:pPr>
          </w:p>
        </w:tc>
      </w:tr>
      <w:tr>
        <w:trPr>
          <w:trHeight w:val="132"/>
        </w:trPr>
        <w:tc>
          <w:tcPr>
            <w:tcW w:w="360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23"/>
              <w:spacing w:after="0" w:line="132"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73"/>
              <w:spacing w:after="0" w:line="132"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61"/>
              <w:spacing w:after="0" w:line="132" w:lineRule="exact"/>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1"/>
              <w:spacing w:after="0" w:line="132" w:lineRule="exact"/>
              <w:rPr>
                <w:sz w:val="20"/>
                <w:szCs w:val="20"/>
                <w:color w:val="auto"/>
              </w:rPr>
            </w:pPr>
            <w:r>
              <w:rPr>
                <w:rFonts w:ascii="Arial" w:cs="Arial" w:eastAsia="Arial" w:hAnsi="Arial"/>
                <w:sz w:val="13"/>
                <w:szCs w:val="13"/>
                <w:b w:val="1"/>
                <w:bCs w:val="1"/>
                <w:color w:val="auto"/>
                <w:w w:val="89"/>
              </w:rPr>
              <w:t>2019</w:t>
            </w:r>
          </w:p>
        </w:tc>
        <w:tc>
          <w:tcPr>
            <w:tcW w:w="2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47"/>
              <w:spacing w:after="0" w:line="132" w:lineRule="exact"/>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Cash provided by (used in):</w:t>
            </w: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Operating activities</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20,993</w:t>
            </w: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$14,544</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23,217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(7,133)</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Investing activities</w:t>
            </w:r>
            <w:r>
              <w:rPr>
                <w:rFonts w:ascii="Arial" w:cs="Arial" w:eastAsia="Arial" w:hAnsi="Arial"/>
                <w:sz w:val="14"/>
                <w:szCs w:val="14"/>
                <w:color w:val="auto"/>
              </w:rPr>
              <w:t>(1)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(5,662)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(7,996)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(1,109,368)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Financing activities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149,695</w:t>
            </w:r>
          </w:p>
        </w:tc>
        <w:tc>
          <w:tcPr>
            <w:tcW w:w="26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19,516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16,655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1,125,119</w:t>
            </w: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w w:val="97"/>
              </w:rPr>
              <w:t>Change in cash and cash equivalents (excluding</w:t>
            </w:r>
          </w:p>
        </w:tc>
        <w:tc>
          <w:tcPr>
            <w:tcW w:w="3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exchange rate changes)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165,026</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26,064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20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20" w:right="160" w:hanging="492"/>
        <w:spacing w:after="0" w:line="311" w:lineRule="auto"/>
        <w:tabs>
          <w:tab w:leader="none" w:pos="11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Cash flows used in investing activities includes purchases of property, equipment, and other assets of $5.7 million and $1.1 million for the nine months ended September 30, 2021 and 2020, respectively, and $1.4 million, $1.2 million, and $0.7 million, in the periods ended December 31, 2020, July 16, 2019 to December 31, 2019 (Successor), and January 1, 2019 to July 15, 2019 (Predecessor), respectively.</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60" w:type="dxa"/>
            <w:vAlign w:val="bottom"/>
            <w:gridSpan w:val="4"/>
            <w:vMerge w:val="restart"/>
          </w:tcPr>
          <w:p>
            <w:pPr>
              <w:jc w:val="center"/>
              <w:ind w:right="520"/>
              <w:spacing w:after="0"/>
              <w:rPr>
                <w:sz w:val="20"/>
                <w:szCs w:val="20"/>
                <w:color w:val="auto"/>
              </w:rPr>
            </w:pPr>
            <w:r>
              <w:rPr>
                <w:rFonts w:ascii="Arial" w:cs="Arial" w:eastAsia="Arial" w:hAnsi="Arial"/>
                <w:sz w:val="13"/>
                <w:szCs w:val="13"/>
                <w:b w:val="1"/>
                <w:bCs w:val="1"/>
                <w:color w:val="auto"/>
                <w:w w:val="96"/>
              </w:rPr>
              <w:t>Definitive OpCo</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tcPr>
          <w:p>
            <w:pPr>
              <w:jc w:val="center"/>
              <w:ind w:left="13"/>
              <w:spacing w:after="0" w:line="139" w:lineRule="exact"/>
              <w:rPr>
                <w:sz w:val="20"/>
                <w:szCs w:val="20"/>
                <w:color w:val="auto"/>
              </w:rPr>
            </w:pPr>
            <w:r>
              <w:rPr>
                <w:rFonts w:ascii="Arial" w:cs="Arial" w:eastAsia="Arial" w:hAnsi="Arial"/>
                <w:sz w:val="13"/>
                <w:szCs w:val="13"/>
                <w:b w:val="1"/>
                <w:bCs w:val="1"/>
                <w:color w:val="auto"/>
              </w:rPr>
              <w:t>(AIDH TopCo, LLC)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5"/>
          </w:tcPr>
          <w:p>
            <w:pPr>
              <w:jc w:val="center"/>
              <w:ind w:left="13"/>
              <w:spacing w:after="0"/>
              <w:rPr>
                <w:sz w:val="20"/>
                <w:szCs w:val="20"/>
                <w:color w:val="auto"/>
              </w:rPr>
            </w:pPr>
            <w:r>
              <w:rPr>
                <w:rFonts w:ascii="Arial" w:cs="Arial" w:eastAsia="Arial" w:hAnsi="Arial"/>
                <w:sz w:val="13"/>
                <w:szCs w:val="13"/>
                <w:b w:val="1"/>
                <w:bCs w:val="1"/>
                <w:color w:val="auto"/>
                <w:w w:val="90"/>
              </w:rPr>
              <w:t>Successor Company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0"/>
              </w:rPr>
              <w:t>Predecessor Company</w:t>
            </w: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Borders>
              <w:top w:val="single" w:sz="8" w:color="auto"/>
            </w:tcBorders>
            <w:gridSpan w:val="5"/>
          </w:tcPr>
          <w:p>
            <w:pPr>
              <w:jc w:val="right"/>
              <w:ind w:right="613"/>
              <w:spacing w:after="0" w:line="119" w:lineRule="exact"/>
              <w:rPr>
                <w:sz w:val="20"/>
                <w:szCs w:val="20"/>
                <w:color w:val="auto"/>
              </w:rPr>
            </w:pPr>
            <w:r>
              <w:rPr>
                <w:rFonts w:ascii="Arial" w:cs="Arial" w:eastAsia="Arial" w:hAnsi="Arial"/>
                <w:sz w:val="13"/>
                <w:szCs w:val="13"/>
                <w:b w:val="1"/>
                <w:bCs w:val="1"/>
                <w:color w:val="auto"/>
              </w:rPr>
              <w:t>Nine Months Ended</w:t>
            </w: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Year Ended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w w:val="95"/>
              </w:rPr>
              <w:t>Period from</w:t>
            </w: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5"/>
          </w:tcPr>
          <w:p>
            <w:pPr>
              <w:jc w:val="right"/>
              <w:ind w:right="773"/>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right w:val="single" w:sz="8" w:color="auto"/>
            </w:tcBorders>
            <w:gridSpan w:val="2"/>
          </w:tcPr>
          <w:p>
            <w:pPr>
              <w:jc w:val="center"/>
              <w:ind w:right="720"/>
              <w:spacing w:after="0"/>
              <w:rPr>
                <w:sz w:val="20"/>
                <w:szCs w:val="20"/>
                <w:color w:val="auto"/>
              </w:rPr>
            </w:pPr>
            <w:r>
              <w:rPr>
                <w:rFonts w:ascii="Arial" w:cs="Arial" w:eastAsia="Arial" w:hAnsi="Arial"/>
                <w:sz w:val="13"/>
                <w:szCs w:val="13"/>
                <w:b w:val="1"/>
                <w:bCs w:val="1"/>
                <w:color w:val="auto"/>
                <w:w w:val="93"/>
              </w:rPr>
              <w:t>July 16, 2019 to</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32"/>
        </w:trPr>
        <w:tc>
          <w:tcPr>
            <w:tcW w:w="2660" w:type="dxa"/>
            <w:vAlign w:val="bottom"/>
          </w:tcPr>
          <w:p>
            <w:pPr>
              <w:spacing w:after="0" w:line="132" w:lineRule="exact"/>
              <w:rPr>
                <w:sz w:val="20"/>
                <w:szCs w:val="20"/>
                <w:color w:val="auto"/>
              </w:rPr>
            </w:pPr>
            <w:r>
              <w:rPr>
                <w:rFonts w:ascii="Arial" w:cs="Arial" w:eastAsia="Arial" w:hAnsi="Arial"/>
                <w:sz w:val="13"/>
                <w:szCs w:val="13"/>
                <w:color w:val="auto"/>
              </w:rPr>
              <w:t>($ in thousands)</w:t>
            </w:r>
          </w:p>
        </w:tc>
        <w:tc>
          <w:tcPr>
            <w:tcW w:w="240" w:type="dxa"/>
            <w:vAlign w:val="bottom"/>
          </w:tcPr>
          <w:p>
            <w:pPr>
              <w:spacing w:after="0"/>
              <w:rPr>
                <w:sz w:val="11"/>
                <w:szCs w:val="11"/>
                <w:color w:val="auto"/>
              </w:rPr>
            </w:pPr>
          </w:p>
        </w:tc>
        <w:tc>
          <w:tcPr>
            <w:tcW w:w="640" w:type="dxa"/>
            <w:vAlign w:val="bottom"/>
            <w:tcBorders>
              <w:top w:val="single" w:sz="8" w:color="auto"/>
            </w:tcBorders>
          </w:tcPr>
          <w:p>
            <w:pPr>
              <w:jc w:val="right"/>
              <w:ind w:right="113"/>
              <w:spacing w:after="0" w:line="132" w:lineRule="exact"/>
              <w:rPr>
                <w:sz w:val="20"/>
                <w:szCs w:val="20"/>
                <w:color w:val="auto"/>
              </w:rPr>
            </w:pPr>
            <w:r>
              <w:rPr>
                <w:rFonts w:ascii="Arial" w:cs="Arial" w:eastAsia="Arial" w:hAnsi="Arial"/>
                <w:sz w:val="13"/>
                <w:szCs w:val="13"/>
                <w:b w:val="1"/>
                <w:bCs w:val="1"/>
                <w:color w:val="auto"/>
              </w:rPr>
              <w:t>2021</w:t>
            </w: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13"/>
              <w:spacing w:after="0" w:line="132" w:lineRule="exact"/>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1"/>
                <w:szCs w:val="11"/>
                <w:color w:val="auto"/>
              </w:rPr>
            </w:pPr>
          </w:p>
        </w:tc>
        <w:tc>
          <w:tcPr>
            <w:tcW w:w="940" w:type="dxa"/>
            <w:vAlign w:val="bottom"/>
            <w:gridSpan w:val="2"/>
          </w:tcPr>
          <w:p>
            <w:pPr>
              <w:jc w:val="center"/>
              <w:ind w:left="77"/>
              <w:spacing w:after="0" w:line="132" w:lineRule="exact"/>
              <w:rPr>
                <w:sz w:val="20"/>
                <w:szCs w:val="20"/>
                <w:color w:val="auto"/>
              </w:rPr>
            </w:pPr>
            <w:r>
              <w:rPr>
                <w:rFonts w:ascii="Arial" w:cs="Arial" w:eastAsia="Arial" w:hAnsi="Arial"/>
                <w:sz w:val="13"/>
                <w:szCs w:val="13"/>
                <w:b w:val="1"/>
                <w:bCs w:val="1"/>
                <w:color w:val="auto"/>
                <w:w w:val="89"/>
              </w:rPr>
              <w:t>2020</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Borders>
              <w:right w:val="single" w:sz="8" w:color="auto"/>
            </w:tcBorders>
            <w:gridSpan w:val="3"/>
          </w:tcPr>
          <w:p>
            <w:pPr>
              <w:jc w:val="center"/>
              <w:ind w:right="620"/>
              <w:spacing w:after="0" w:line="132" w:lineRule="exact"/>
              <w:rPr>
                <w:sz w:val="20"/>
                <w:szCs w:val="20"/>
                <w:color w:val="auto"/>
              </w:rPr>
            </w:pPr>
            <w:r>
              <w:rPr>
                <w:rFonts w:ascii="Arial" w:cs="Arial" w:eastAsia="Arial" w:hAnsi="Arial"/>
                <w:sz w:val="13"/>
                <w:szCs w:val="13"/>
                <w:b w:val="1"/>
                <w:bCs w:val="1"/>
                <w:color w:val="auto"/>
                <w:w w:val="93"/>
              </w:rPr>
              <w:t>December 31, 2019</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00"/>
              <w:spacing w:after="0" w:line="132" w:lineRule="exact"/>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83"/>
        </w:trPr>
        <w:tc>
          <w:tcPr>
            <w:tcW w:w="2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Other Financial Data</w:t>
            </w:r>
            <w:r>
              <w:rPr>
                <w:rFonts w:ascii="Arial" w:cs="Arial" w:eastAsia="Arial" w:hAnsi="Arial"/>
                <w:sz w:val="14"/>
                <w:szCs w:val="14"/>
                <w:b w:val="1"/>
                <w:bCs w:val="1"/>
                <w:color w:val="auto"/>
              </w:rPr>
              <w:t>(1)</w:t>
            </w: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right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rPr>
                <w:sz w:val="20"/>
                <w:szCs w:val="20"/>
                <w:color w:val="auto"/>
              </w:rPr>
            </w:pPr>
            <w:r>
              <w:rPr>
                <w:rFonts w:ascii="Arial" w:cs="Arial" w:eastAsia="Arial" w:hAnsi="Arial"/>
                <w:sz w:val="17"/>
                <w:szCs w:val="17"/>
                <w:color w:val="auto"/>
              </w:rPr>
              <w:t>Net (Loss) Income</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 (46,493)</w:t>
            </w:r>
          </w:p>
        </w:tc>
        <w:tc>
          <w:tcPr>
            <w:tcW w:w="1140" w:type="dxa"/>
            <w:vAlign w:val="bottom"/>
            <w:gridSpan w:val="3"/>
          </w:tcPr>
          <w:p>
            <w:pPr>
              <w:jc w:val="right"/>
              <w:ind w:right="233"/>
              <w:spacing w:after="0"/>
              <w:rPr>
                <w:sz w:val="20"/>
                <w:szCs w:val="20"/>
                <w:color w:val="auto"/>
              </w:rPr>
            </w:pPr>
            <w:r>
              <w:rPr>
                <w:rFonts w:ascii="Arial" w:cs="Arial" w:eastAsia="Arial" w:hAnsi="Arial"/>
                <w:sz w:val="17"/>
                <w:szCs w:val="17"/>
                <w:color w:val="auto"/>
              </w:rPr>
              <w:t>$(35,295)</w:t>
            </w:r>
          </w:p>
        </w:tc>
        <w:tc>
          <w:tcPr>
            <w:tcW w:w="1300" w:type="dxa"/>
            <w:vAlign w:val="bottom"/>
            <w:gridSpan w:val="3"/>
          </w:tcPr>
          <w:p>
            <w:pPr>
              <w:jc w:val="right"/>
              <w:ind w:right="300"/>
              <w:spacing w:after="0"/>
              <w:rPr>
                <w:sz w:val="20"/>
                <w:szCs w:val="20"/>
                <w:color w:val="auto"/>
              </w:rPr>
            </w:pPr>
            <w:r>
              <w:rPr>
                <w:rFonts w:ascii="Arial" w:cs="Arial" w:eastAsia="Arial" w:hAnsi="Arial"/>
                <w:sz w:val="17"/>
                <w:szCs w:val="17"/>
                <w:color w:val="auto"/>
              </w:rPr>
              <w:t>$  (51,157)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(49,266)</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Reported gross profit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90,050</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62,505</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87,849</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26,763</w:t>
            </w:r>
          </w:p>
        </w:tc>
        <w:tc>
          <w:tcPr>
            <w:tcW w:w="6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rPr>
                <w:sz w:val="20"/>
                <w:szCs w:val="20"/>
                <w:color w:val="auto"/>
              </w:rPr>
            </w:pPr>
            <w:r>
              <w:rPr>
                <w:rFonts w:ascii="Arial" w:cs="Arial" w:eastAsia="Arial" w:hAnsi="Arial"/>
                <w:sz w:val="17"/>
                <w:szCs w:val="17"/>
                <w:color w:val="auto"/>
                <w:w w:val="99"/>
              </w:rPr>
              <w:t>(Loss) Income from operations</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(12,807)</w:t>
            </w:r>
          </w:p>
        </w:tc>
        <w:tc>
          <w:tcPr>
            <w:tcW w:w="1140" w:type="dxa"/>
            <w:vAlign w:val="bottom"/>
            <w:gridSpan w:val="3"/>
          </w:tcPr>
          <w:p>
            <w:pPr>
              <w:jc w:val="right"/>
              <w:ind w:right="233"/>
              <w:spacing w:after="0"/>
              <w:rPr>
                <w:sz w:val="20"/>
                <w:szCs w:val="20"/>
                <w:color w:val="auto"/>
              </w:rPr>
            </w:pPr>
            <w:r>
              <w:rPr>
                <w:rFonts w:ascii="Arial" w:cs="Arial" w:eastAsia="Arial" w:hAnsi="Arial"/>
                <w:sz w:val="17"/>
                <w:szCs w:val="17"/>
                <w:color w:val="auto"/>
              </w:rPr>
              <w:t>(7,493)</w:t>
            </w:r>
          </w:p>
        </w:tc>
        <w:tc>
          <w:tcPr>
            <w:tcW w:w="1300" w:type="dxa"/>
            <w:vAlign w:val="bottom"/>
            <w:gridSpan w:val="3"/>
          </w:tcPr>
          <w:p>
            <w:pPr>
              <w:jc w:val="right"/>
              <w:ind w:right="300"/>
              <w:spacing w:after="0"/>
              <w:rPr>
                <w:sz w:val="20"/>
                <w:szCs w:val="20"/>
                <w:color w:val="auto"/>
              </w:rPr>
            </w:pPr>
            <w:r>
              <w:rPr>
                <w:rFonts w:ascii="Arial" w:cs="Arial" w:eastAsia="Arial" w:hAnsi="Arial"/>
                <w:sz w:val="17"/>
                <w:szCs w:val="17"/>
                <w:color w:val="auto"/>
              </w:rPr>
              <w:t>(14,445)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(31,062)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Revenue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119,841</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84,659</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6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(2)</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42,886</w:t>
            </w:r>
          </w:p>
        </w:tc>
        <w:tc>
          <w:tcPr>
            <w:tcW w:w="3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40,704</w:t>
            </w:r>
          </w:p>
        </w:tc>
        <w:tc>
          <w:tcPr>
            <w:tcW w:w="3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53,505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18,651</w:t>
            </w:r>
          </w:p>
        </w:tc>
        <w:tc>
          <w:tcPr>
            <w:tcW w:w="6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23,656</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Adjusted Gross Profit</w:t>
            </w:r>
            <w:r>
              <w:rPr>
                <w:rFonts w:ascii="Arial" w:cs="Arial" w:eastAsia="Arial" w:hAnsi="Arial"/>
                <w:sz w:val="14"/>
                <w:szCs w:val="14"/>
                <w:color w:val="auto"/>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105,254</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76,726</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107,080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35,393</w:t>
            </w:r>
          </w:p>
        </w:tc>
        <w:tc>
          <w:tcPr>
            <w:tcW w:w="6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rPr>
                <w:sz w:val="20"/>
                <w:szCs w:val="20"/>
                <w:color w:val="auto"/>
              </w:rPr>
            </w:pPr>
            <w:r>
              <w:rPr>
                <w:rFonts w:ascii="Arial" w:cs="Arial" w:eastAsia="Arial" w:hAnsi="Arial"/>
                <w:sz w:val="17"/>
                <w:szCs w:val="17"/>
                <w:color w:val="auto"/>
              </w:rPr>
              <w:t>Net (Loss) Income Margin</w:t>
            </w:r>
            <w:r>
              <w:rPr>
                <w:rFonts w:ascii="Arial" w:cs="Arial" w:eastAsia="Arial" w:hAnsi="Arial"/>
                <w:sz w:val="14"/>
                <w:szCs w:val="14"/>
                <w:color w:val="auto"/>
              </w:rPr>
              <w:t>(4)</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(39)%</w:t>
            </w:r>
          </w:p>
        </w:tc>
        <w:tc>
          <w:tcPr>
            <w:tcW w:w="1140" w:type="dxa"/>
            <w:vAlign w:val="bottom"/>
            <w:gridSpan w:val="3"/>
          </w:tcPr>
          <w:p>
            <w:pPr>
              <w:jc w:val="right"/>
              <w:ind w:right="93"/>
              <w:spacing w:after="0"/>
              <w:rPr>
                <w:sz w:val="20"/>
                <w:szCs w:val="20"/>
                <w:color w:val="auto"/>
              </w:rPr>
            </w:pPr>
            <w:r>
              <w:rPr>
                <w:rFonts w:ascii="Arial" w:cs="Arial" w:eastAsia="Arial" w:hAnsi="Arial"/>
                <w:sz w:val="17"/>
                <w:szCs w:val="17"/>
                <w:color w:val="auto"/>
              </w:rPr>
              <w:t>(42)%</w:t>
            </w:r>
          </w:p>
        </w:tc>
        <w:tc>
          <w:tcPr>
            <w:tcW w:w="1300" w:type="dxa"/>
            <w:vAlign w:val="bottom"/>
            <w:gridSpan w:val="3"/>
          </w:tcPr>
          <w:p>
            <w:pPr>
              <w:jc w:val="right"/>
              <w:ind w:right="160"/>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(123)%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Margin</w:t>
            </w:r>
            <w:r>
              <w:rPr>
                <w:rFonts w:ascii="Arial" w:cs="Arial" w:eastAsia="Arial" w:hAnsi="Arial"/>
                <w:sz w:val="14"/>
                <w:szCs w:val="14"/>
                <w:color w:val="auto"/>
              </w:rPr>
              <w:t>(5)</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75%</w:t>
            </w:r>
          </w:p>
        </w:tc>
        <w:tc>
          <w:tcPr>
            <w:tcW w:w="1140" w:type="dxa"/>
            <w:vAlign w:val="bottom"/>
            <w:gridSpan w:val="3"/>
            <w:shd w:val="clear" w:color="auto" w:fill="CCEEFF"/>
          </w:tcPr>
          <w:p>
            <w:pPr>
              <w:jc w:val="right"/>
              <w:ind w:right="153"/>
              <w:spacing w:after="0"/>
              <w:rPr>
                <w:sz w:val="20"/>
                <w:szCs w:val="20"/>
                <w:color w:val="auto"/>
              </w:rPr>
            </w:pPr>
            <w:r>
              <w:rPr>
                <w:rFonts w:ascii="Arial" w:cs="Arial" w:eastAsia="Arial" w:hAnsi="Arial"/>
                <w:sz w:val="17"/>
                <w:szCs w:val="17"/>
                <w:color w:val="auto"/>
              </w:rPr>
              <w:t>74%</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rPr>
                <w:sz w:val="20"/>
                <w:szCs w:val="20"/>
                <w:color w:val="auto"/>
              </w:rPr>
            </w:pPr>
            <w:r>
              <w:rPr>
                <w:rFonts w:ascii="Arial" w:cs="Arial" w:eastAsia="Arial" w:hAnsi="Arial"/>
                <w:sz w:val="17"/>
                <w:szCs w:val="17"/>
                <w:color w:val="auto"/>
              </w:rPr>
              <w:t>Adjusted Gross Margin</w:t>
            </w:r>
            <w:r>
              <w:rPr>
                <w:rFonts w:ascii="Arial" w:cs="Arial" w:eastAsia="Arial" w:hAnsi="Arial"/>
                <w:sz w:val="14"/>
                <w:szCs w:val="14"/>
                <w:color w:val="auto"/>
              </w:rPr>
              <w:t>(6)</w:t>
            </w:r>
          </w:p>
        </w:tc>
        <w:tc>
          <w:tcPr>
            <w:tcW w:w="1240" w:type="dxa"/>
            <w:vAlign w:val="bottom"/>
            <w:gridSpan w:val="3"/>
          </w:tcPr>
          <w:p>
            <w:pPr>
              <w:jc w:val="right"/>
              <w:ind w:right="220"/>
              <w:spacing w:after="0"/>
              <w:rPr>
                <w:sz w:val="20"/>
                <w:szCs w:val="20"/>
                <w:color w:val="auto"/>
              </w:rPr>
            </w:pPr>
            <w:r>
              <w:rPr>
                <w:rFonts w:ascii="Arial" w:cs="Arial" w:eastAsia="Arial" w:hAnsi="Arial"/>
                <w:sz w:val="17"/>
                <w:szCs w:val="17"/>
                <w:color w:val="auto"/>
              </w:rPr>
              <w:t>88%</w:t>
            </w:r>
          </w:p>
        </w:tc>
        <w:tc>
          <w:tcPr>
            <w:tcW w:w="1140" w:type="dxa"/>
            <w:vAlign w:val="bottom"/>
            <w:gridSpan w:val="3"/>
          </w:tcPr>
          <w:p>
            <w:pPr>
              <w:jc w:val="right"/>
              <w:ind w:right="153"/>
              <w:spacing w:after="0"/>
              <w:rPr>
                <w:sz w:val="20"/>
                <w:szCs w:val="20"/>
                <w:color w:val="auto"/>
              </w:rPr>
            </w:pPr>
            <w:r>
              <w:rPr>
                <w:rFonts w:ascii="Arial" w:cs="Arial" w:eastAsia="Arial" w:hAnsi="Arial"/>
                <w:sz w:val="17"/>
                <w:szCs w:val="17"/>
                <w:color w:val="auto"/>
              </w:rPr>
              <w:t>91%</w:t>
            </w:r>
          </w:p>
        </w:tc>
        <w:tc>
          <w:tcPr>
            <w:tcW w:w="1300" w:type="dxa"/>
            <w:vAlign w:val="bottom"/>
            <w:gridSpan w:val="3"/>
          </w:tcPr>
          <w:p>
            <w:pPr>
              <w:jc w:val="right"/>
              <w:ind w:right="220"/>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7"/>
                <w:szCs w:val="17"/>
                <w:color w:val="auto"/>
              </w:rPr>
              <w:t>88%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Adjusted Operating Income</w:t>
            </w:r>
            <w:r>
              <w:rPr>
                <w:rFonts w:ascii="Arial" w:cs="Arial" w:eastAsia="Arial" w:hAnsi="Arial"/>
                <w:sz w:val="14"/>
                <w:szCs w:val="14"/>
                <w:color w:val="auto"/>
              </w:rPr>
              <w:t>(7)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40,922</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39,784</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52,139</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18,183</w:t>
            </w:r>
          </w:p>
        </w:tc>
        <w:tc>
          <w:tcPr>
            <w:tcW w:w="6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23,233</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rPr>
                <w:sz w:val="20"/>
                <w:szCs w:val="20"/>
                <w:color w:val="auto"/>
              </w:rPr>
            </w:pPr>
            <w:r>
              <w:rPr>
                <w:rFonts w:ascii="Arial" w:cs="Arial" w:eastAsia="Arial" w:hAnsi="Arial"/>
                <w:sz w:val="17"/>
                <w:szCs w:val="17"/>
                <w:color w:val="auto"/>
              </w:rPr>
              <w:t>Adjusted EBITDA Margin</w:t>
            </w:r>
            <w:r>
              <w:rPr>
                <w:rFonts w:ascii="Arial" w:cs="Arial" w:eastAsia="Arial" w:hAnsi="Arial"/>
                <w:sz w:val="14"/>
                <w:szCs w:val="14"/>
                <w:color w:val="auto"/>
              </w:rPr>
              <w:t>(8)</w:t>
            </w:r>
          </w:p>
        </w:tc>
        <w:tc>
          <w:tcPr>
            <w:tcW w:w="1240" w:type="dxa"/>
            <w:vAlign w:val="bottom"/>
            <w:gridSpan w:val="3"/>
          </w:tcPr>
          <w:p>
            <w:pPr>
              <w:jc w:val="right"/>
              <w:ind w:right="220"/>
              <w:spacing w:after="0"/>
              <w:rPr>
                <w:sz w:val="20"/>
                <w:szCs w:val="20"/>
                <w:color w:val="auto"/>
              </w:rPr>
            </w:pPr>
            <w:r>
              <w:rPr>
                <w:rFonts w:ascii="Arial" w:cs="Arial" w:eastAsia="Arial" w:hAnsi="Arial"/>
                <w:sz w:val="17"/>
                <w:szCs w:val="17"/>
                <w:color w:val="auto"/>
              </w:rPr>
              <w:t>36%</w:t>
            </w:r>
          </w:p>
        </w:tc>
        <w:tc>
          <w:tcPr>
            <w:tcW w:w="1140" w:type="dxa"/>
            <w:vAlign w:val="bottom"/>
            <w:gridSpan w:val="3"/>
          </w:tcPr>
          <w:p>
            <w:pPr>
              <w:jc w:val="right"/>
              <w:ind w:right="153"/>
              <w:spacing w:after="0"/>
              <w:rPr>
                <w:sz w:val="20"/>
                <w:szCs w:val="20"/>
                <w:color w:val="auto"/>
              </w:rPr>
            </w:pPr>
            <w:r>
              <w:rPr>
                <w:rFonts w:ascii="Arial" w:cs="Arial" w:eastAsia="Arial" w:hAnsi="Arial"/>
                <w:sz w:val="17"/>
                <w:szCs w:val="17"/>
                <w:color w:val="auto"/>
              </w:rPr>
              <w:t>48%</w:t>
            </w:r>
          </w:p>
        </w:tc>
        <w:tc>
          <w:tcPr>
            <w:tcW w:w="1300" w:type="dxa"/>
            <w:vAlign w:val="bottom"/>
            <w:gridSpan w:val="3"/>
          </w:tcPr>
          <w:p>
            <w:pPr>
              <w:jc w:val="right"/>
              <w:ind w:right="220"/>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7"/>
                <w:szCs w:val="17"/>
                <w:color w:val="auto"/>
              </w:rPr>
              <w:t>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Adjusted Net Income (Loss)</w:t>
            </w:r>
            <w:r>
              <w:rPr>
                <w:rFonts w:ascii="Arial" w:cs="Arial" w:eastAsia="Arial" w:hAnsi="Arial"/>
                <w:sz w:val="14"/>
                <w:szCs w:val="14"/>
                <w:color w:val="auto"/>
              </w:rPr>
              <w:t>(9)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6,805</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11,982</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15,427</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23,068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120" w:right="300" w:hanging="492"/>
        <w:spacing w:after="0" w:line="272" w:lineRule="auto"/>
        <w:tabs>
          <w:tab w:leader="none" w:pos="1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Adjusted EBITDA, Adjusted Gross Profit, Adjusted Gross Margin, Adjusted Operating Income and Adjusted Net Income (Loss) are not defined under GAAP. Our use of the terms EBITDA and Adjusted</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20"/>
          </w:cols>
          <w:pgMar w:left="320" w:top="440" w:right="9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2795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66535" cy="279527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120" w:right="100"/>
        <w:spacing w:after="0" w:line="283" w:lineRule="auto"/>
        <w:rPr>
          <w:sz w:val="20"/>
          <w:szCs w:val="20"/>
          <w:color w:val="auto"/>
        </w:rPr>
      </w:pPr>
      <w:r>
        <w:rPr>
          <w:rFonts w:ascii="Arial" w:cs="Arial" w:eastAsia="Arial" w:hAnsi="Arial"/>
          <w:sz w:val="15"/>
          <w:szCs w:val="15"/>
          <w:color w:val="auto"/>
        </w:rPr>
        <w:t>EBITDA may not be comparable to similarly titled measures of other companies in our industry and are not measures of performance calculated in accordance with GAAP. Our presentation of Adjusted EBITDA, Adjusted Gross Profit, Adjusted Gross Margin, Adjusted (Loss) Operating Income and Adjusted Net Income (Loss)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our (loss) income from operations to Adjusted Operating Income and our (loss) income to Adjusted Net Income (Loss).</w:t>
      </w:r>
    </w:p>
    <w:p>
      <w:pPr>
        <w:spacing w:after="0" w:line="6" w:lineRule="exact"/>
        <w:rPr>
          <w:sz w:val="20"/>
          <w:szCs w:val="20"/>
          <w:color w:val="auto"/>
        </w:rPr>
      </w:pPr>
    </w:p>
    <w:p>
      <w:pPr>
        <w:ind w:left="1120" w:right="80" w:hanging="492"/>
        <w:spacing w:after="0" w:line="281"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Adjusted EBITDA is defined as earnings before (i) debt-related costs, including interest expense and (ii) interest income, (iii) provision for taxes and (iv) depreciation and amortization. Management further adjusts EBITDA in its presentation of Adjusted EBITDA to exclude</w:t>
      </w:r>
    </w:p>
    <w:p>
      <w:pPr>
        <w:spacing w:after="0" w:line="1"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6"/>
          <w:szCs w:val="16"/>
          <w:color w:val="auto"/>
        </w:rPr>
        <w:t>(i) other (income) expense, (ii) stock-based compensation, (iii) acquisition-related expenses and (iv) other non-recurring expenses.</w:t>
      </w:r>
    </w:p>
    <w:p>
      <w:pPr>
        <w:spacing w:after="0" w:line="18" w:lineRule="exact"/>
        <w:rPr>
          <w:rFonts w:ascii="Arial" w:cs="Arial" w:eastAsia="Arial" w:hAnsi="Arial"/>
          <w:sz w:val="15"/>
          <w:szCs w:val="15"/>
          <w:color w:val="auto"/>
        </w:rPr>
      </w:pPr>
    </w:p>
    <w:p>
      <w:pPr>
        <w:ind w:left="1120" w:hanging="492"/>
        <w:spacing w:after="0"/>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Adjusted Gross Profit is defined as revenue less cost of revenue (excluding acquisition-related amortization and equity compensation costs).</w:t>
      </w:r>
    </w:p>
    <w:p>
      <w:pPr>
        <w:spacing w:after="0" w:line="30" w:lineRule="exact"/>
        <w:rPr>
          <w:rFonts w:ascii="Arial" w:cs="Arial" w:eastAsia="Arial" w:hAnsi="Arial"/>
          <w:sz w:val="15"/>
          <w:szCs w:val="15"/>
          <w:color w:val="auto"/>
        </w:rPr>
      </w:pPr>
    </w:p>
    <w:p>
      <w:pPr>
        <w:ind w:left="1120" w:hanging="492"/>
        <w:spacing w:after="0"/>
        <w:tabs>
          <w:tab w:leader="none" w:pos="11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7" w:lineRule="exact"/>
        <w:rPr>
          <w:rFonts w:ascii="Arial" w:cs="Arial" w:eastAsia="Arial" w:hAnsi="Arial"/>
          <w:sz w:val="17"/>
          <w:szCs w:val="17"/>
          <w:color w:val="auto"/>
        </w:rPr>
      </w:pPr>
    </w:p>
    <w:p>
      <w:pPr>
        <w:ind w:left="1120" w:hanging="492"/>
        <w:spacing w:after="0"/>
        <w:tabs>
          <w:tab w:leader="none" w:pos="11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Gross Margin is defined as reported gross profit as a percentage of revenue for the applicable period.</w:t>
      </w:r>
    </w:p>
    <w:p>
      <w:pPr>
        <w:spacing w:after="0" w:line="7" w:lineRule="exact"/>
        <w:rPr>
          <w:rFonts w:ascii="Arial" w:cs="Arial" w:eastAsia="Arial" w:hAnsi="Arial"/>
          <w:sz w:val="17"/>
          <w:szCs w:val="17"/>
          <w:color w:val="auto"/>
        </w:rPr>
      </w:pPr>
    </w:p>
    <w:p>
      <w:pPr>
        <w:ind w:left="1120" w:hanging="492"/>
        <w:spacing w:after="0"/>
        <w:tabs>
          <w:tab w:leader="none" w:pos="11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Adjusted Gross Margin is defined as Adjusted Gross Profit as a percentage of revenue for the applicable period.</w:t>
      </w:r>
    </w:p>
    <w:p>
      <w:pPr>
        <w:spacing w:after="0" w:line="7" w:lineRule="exact"/>
        <w:rPr>
          <w:rFonts w:ascii="Arial" w:cs="Arial" w:eastAsia="Arial" w:hAnsi="Arial"/>
          <w:sz w:val="17"/>
          <w:szCs w:val="17"/>
          <w:color w:val="auto"/>
        </w:rPr>
      </w:pPr>
    </w:p>
    <w:p>
      <w:pPr>
        <w:ind w:left="1120" w:right="60" w:hanging="492"/>
        <w:spacing w:after="0" w:line="248" w:lineRule="auto"/>
        <w:tabs>
          <w:tab w:leader="none" w:pos="11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Adjusted Operating Income is defined as (loss) income from operations plus (i) acquisition-related depreciation and amortization (ii) stock-based compensation, (iii) acquisition-related expenses and (iv) other non-recurring adjustments.</w:t>
      </w:r>
    </w:p>
    <w:p>
      <w:pPr>
        <w:spacing w:after="0" w:line="1" w:lineRule="exact"/>
        <w:rPr>
          <w:rFonts w:ascii="Arial" w:cs="Arial" w:eastAsia="Arial" w:hAnsi="Arial"/>
          <w:sz w:val="17"/>
          <w:szCs w:val="17"/>
          <w:color w:val="auto"/>
        </w:rPr>
      </w:pPr>
    </w:p>
    <w:p>
      <w:pPr>
        <w:ind w:left="1120" w:hanging="492"/>
        <w:spacing w:after="0"/>
        <w:tabs>
          <w:tab w:leader="none" w:pos="11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Adjusted EBITDA Margin is calculated by dividing Adjusted EBITDA by revenue for the applicable period.</w:t>
      </w:r>
    </w:p>
    <w:p>
      <w:pPr>
        <w:spacing w:after="0" w:line="7" w:lineRule="exact"/>
        <w:rPr>
          <w:rFonts w:ascii="Arial" w:cs="Arial" w:eastAsia="Arial" w:hAnsi="Arial"/>
          <w:sz w:val="17"/>
          <w:szCs w:val="17"/>
          <w:color w:val="auto"/>
        </w:rPr>
      </w:pPr>
    </w:p>
    <w:p>
      <w:pPr>
        <w:ind w:left="1120" w:right="20" w:hanging="492"/>
        <w:spacing w:after="0" w:line="257" w:lineRule="auto"/>
        <w:tabs>
          <w:tab w:leader="none" w:pos="11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Adjusted Net (Loss) Income is defined as (loss) income from operations plus (i) acquisition-related depreciation and amortization (ii) stock-based compensation, (iii) acquisition-related expenses and (iv) other non-recurring adjustments.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00"/>
          </w:cols>
          <w:pgMar w:left="320" w:top="440" w:right="9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363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66535" cy="43630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80" w:firstLine="399"/>
        <w:spacing w:after="0" w:line="272" w:lineRule="auto"/>
        <w:rPr>
          <w:sz w:val="20"/>
          <w:szCs w:val="20"/>
          <w:color w:val="auto"/>
        </w:rPr>
      </w:pPr>
      <w:r>
        <w:rPr>
          <w:rFonts w:ascii="Arial" w:cs="Arial" w:eastAsia="Arial" w:hAnsi="Arial"/>
          <w:sz w:val="17"/>
          <w:szCs w:val="17"/>
          <w:color w:val="auto"/>
        </w:rPr>
        <w:t>The following table provides a reconciliation of EBITDA and Adjusted EBITDA to net income (loss), their most directly comparable GAAP measure, for each of the periods presented:</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Adjusted EBITDA</w:t>
      </w:r>
    </w:p>
    <w:p>
      <w:pPr>
        <w:spacing w:after="0" w:line="13"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3"/>
                <w:szCs w:val="13"/>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3"/>
                <w:szCs w:val="13"/>
                <w:b w:val="1"/>
                <w:bCs w:val="1"/>
                <w:color w:val="auto"/>
                <w:w w:val="95"/>
              </w:rPr>
              <w:t>Period from</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Period from</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Borders>
              <w:top w:val="single" w:sz="8" w:color="auto"/>
            </w:tcBorders>
            <w:gridSpan w:val="3"/>
          </w:tcPr>
          <w:p>
            <w:pPr>
              <w:spacing w:after="0" w:line="112" w:lineRule="exact"/>
              <w:rPr>
                <w:sz w:val="20"/>
                <w:szCs w:val="20"/>
                <w:color w:val="auto"/>
              </w:rPr>
            </w:pPr>
            <w:r>
              <w:rPr>
                <w:rFonts w:ascii="Arial" w:cs="Arial" w:eastAsia="Arial" w:hAnsi="Arial"/>
                <w:sz w:val="12"/>
                <w:szCs w:val="12"/>
                <w:b w:val="1"/>
                <w:bCs w:val="1"/>
                <w:color w:val="auto"/>
              </w:rPr>
              <w:t>September 30,</w:t>
            </w:r>
          </w:p>
        </w:tc>
        <w:tc>
          <w:tcPr>
            <w:tcW w:w="820" w:type="dxa"/>
            <w:vAlign w:val="bottom"/>
            <w:tcBorders>
              <w:top w:val="single" w:sz="8" w:color="auto"/>
            </w:tcBorders>
            <w:gridSpan w:val="2"/>
          </w:tcPr>
          <w:p>
            <w:pPr>
              <w:spacing w:after="0" w:line="112" w:lineRule="exact"/>
              <w:rPr>
                <w:sz w:val="20"/>
                <w:szCs w:val="20"/>
                <w:color w:val="auto"/>
              </w:rPr>
            </w:pPr>
            <w:r>
              <w:rPr>
                <w:rFonts w:ascii="Arial" w:cs="Arial" w:eastAsia="Arial" w:hAnsi="Arial"/>
                <w:sz w:val="12"/>
                <w:szCs w:val="12"/>
                <w:b w:val="1"/>
                <w:bCs w:val="1"/>
                <w:color w:val="auto"/>
                <w:w w:val="97"/>
              </w:rPr>
              <w:t>September 30,</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tcPr>
          <w:p>
            <w:pPr>
              <w:spacing w:after="0" w:line="112" w:lineRule="exact"/>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Borders>
              <w:right w:val="single" w:sz="8" w:color="auto"/>
            </w:tcBorders>
            <w:gridSpan w:val="2"/>
          </w:tcPr>
          <w:p>
            <w:pPr>
              <w:jc w:val="center"/>
              <w:ind w:right="660"/>
              <w:spacing w:after="0" w:line="112" w:lineRule="exact"/>
              <w:rPr>
                <w:sz w:val="20"/>
                <w:szCs w:val="20"/>
                <w:color w:val="auto"/>
              </w:rPr>
            </w:pPr>
            <w:r>
              <w:rPr>
                <w:rFonts w:ascii="Arial" w:cs="Arial" w:eastAsia="Arial" w:hAnsi="Arial"/>
                <w:sz w:val="12"/>
                <w:szCs w:val="12"/>
                <w:b w:val="1"/>
                <w:bCs w:val="1"/>
                <w:color w:val="auto"/>
              </w:rPr>
              <w:t>July 16, 2019 to</w:t>
            </w:r>
          </w:p>
        </w:tc>
        <w:tc>
          <w:tcPr>
            <w:tcW w:w="220" w:type="dxa"/>
            <w:vAlign w:val="bottom"/>
          </w:tcPr>
          <w:p>
            <w:pPr>
              <w:spacing w:after="0"/>
              <w:rPr>
                <w:sz w:val="9"/>
                <w:szCs w:val="9"/>
                <w:color w:val="auto"/>
              </w:rPr>
            </w:pPr>
          </w:p>
        </w:tc>
        <w:tc>
          <w:tcPr>
            <w:tcW w:w="1280" w:type="dxa"/>
            <w:vAlign w:val="bottom"/>
            <w:gridSpan w:val="3"/>
          </w:tcPr>
          <w:p>
            <w:pPr>
              <w:ind w:left="20"/>
              <w:spacing w:after="0" w:line="112" w:lineRule="exact"/>
              <w:rPr>
                <w:sz w:val="20"/>
                <w:szCs w:val="20"/>
                <w:color w:val="auto"/>
              </w:rPr>
            </w:pPr>
            <w:r>
              <w:rPr>
                <w:rFonts w:ascii="Arial" w:cs="Arial" w:eastAsia="Arial" w:hAnsi="Arial"/>
                <w:sz w:val="12"/>
                <w:szCs w:val="12"/>
                <w:b w:val="1"/>
                <w:bCs w:val="1"/>
                <w:color w:val="auto"/>
              </w:rPr>
              <w:t>January 1, 2019 to</w:t>
            </w:r>
          </w:p>
        </w:tc>
        <w:tc>
          <w:tcPr>
            <w:tcW w:w="0" w:type="dxa"/>
            <w:vAlign w:val="bottom"/>
          </w:tcPr>
          <w:p>
            <w:pPr>
              <w:spacing w:after="0"/>
              <w:rPr>
                <w:sz w:val="1"/>
                <w:szCs w:val="1"/>
                <w:color w:val="auto"/>
              </w:rPr>
            </w:pPr>
          </w:p>
        </w:tc>
      </w:tr>
      <w:tr>
        <w:trPr>
          <w:trHeight w:val="160"/>
        </w:trPr>
        <w:tc>
          <w:tcPr>
            <w:tcW w:w="2680" w:type="dxa"/>
            <w:vAlign w:val="bottom"/>
            <w:gridSpan w:val="3"/>
          </w:tcPr>
          <w:p>
            <w:pPr>
              <w:spacing w:after="0"/>
              <w:rPr>
                <w:sz w:val="20"/>
                <w:szCs w:val="20"/>
                <w:color w:val="auto"/>
              </w:rPr>
            </w:pPr>
            <w:r>
              <w:rPr>
                <w:rFonts w:ascii="Arial" w:cs="Arial" w:eastAsia="Arial" w:hAnsi="Arial"/>
                <w:sz w:val="13"/>
                <w:szCs w:val="13"/>
                <w:color w:val="auto"/>
              </w:rPr>
              <w:t>(in thousands)</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3"/>
                <w:szCs w:val="13"/>
                <w:b w:val="1"/>
                <w:bCs w:val="1"/>
                <w:color w:val="auto"/>
                <w:w w:val="92"/>
              </w:rPr>
              <w:t>December 31, 2019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(46,493)</w:t>
            </w:r>
          </w:p>
        </w:tc>
        <w:tc>
          <w:tcPr>
            <w:tcW w:w="4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(35,295)</w:t>
            </w: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(51,157)</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560" w:type="dxa"/>
            <w:vAlign w:val="bottom"/>
            <w:tcBorders>
              <w:top w:val="single" w:sz="8" w:color="CCEEFF"/>
              <w:right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23,956</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27,802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36,490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18,204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5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Loss from extinguishment of debt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9,873</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intangible assets</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43,517</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43,498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58,428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30,617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EBITDA</w:t>
            </w: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8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32,046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36,822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44,913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5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15,498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14"/>
                <w:szCs w:val="14"/>
                <w:color w:val="auto"/>
              </w:rPr>
              <w:t>(a)</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(143)</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 xml:space="preserve">Equity compensation costs </w:t>
            </w:r>
            <w:r>
              <w:rPr>
                <w:rFonts w:ascii="Arial" w:cs="Arial" w:eastAsia="Arial" w:hAnsi="Arial"/>
                <w:sz w:val="14"/>
                <w:szCs w:val="14"/>
                <w:color w:val="auto"/>
              </w:rPr>
              <w:t>(b)</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4,338</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1,330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1,747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744</w:t>
            </w:r>
          </w:p>
        </w:tc>
        <w:tc>
          <w:tcPr>
            <w:tcW w:w="5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Acquisition related expenses </w:t>
            </w:r>
            <w:r>
              <w:rPr>
                <w:rFonts w:ascii="Arial" w:cs="Arial" w:eastAsia="Arial" w:hAnsi="Arial"/>
                <w:sz w:val="14"/>
                <w:szCs w:val="14"/>
                <w:color w:val="auto"/>
              </w:rPr>
              <w:t>(c)</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3,332</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14,703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gridSpan w:val="2"/>
          </w:tcPr>
          <w:p>
            <w:pPr>
              <w:spacing w:after="0" w:line="189" w:lineRule="exact"/>
              <w:rPr>
                <w:sz w:val="20"/>
                <w:szCs w:val="20"/>
                <w:color w:val="auto"/>
              </w:rPr>
            </w:pPr>
            <w:r>
              <w:rPr>
                <w:rFonts w:ascii="Arial" w:cs="Arial" w:eastAsia="Arial" w:hAnsi="Arial"/>
                <w:sz w:val="17"/>
                <w:szCs w:val="17"/>
                <w:color w:val="auto"/>
              </w:rPr>
              <w:t>Non-recurring and one-time</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60" w:type="dxa"/>
            <w:vAlign w:val="bottom"/>
            <w:gridSpan w:val="2"/>
          </w:tcPr>
          <w:p>
            <w:pPr>
              <w:ind w:left="140"/>
              <w:spacing w:after="0"/>
              <w:rPr>
                <w:sz w:val="20"/>
                <w:szCs w:val="20"/>
                <w:color w:val="auto"/>
              </w:rPr>
            </w:pPr>
            <w:r>
              <w:rPr>
                <w:rFonts w:ascii="Arial" w:cs="Arial" w:eastAsia="Arial" w:hAnsi="Arial"/>
                <w:sz w:val="17"/>
                <w:szCs w:val="17"/>
                <w:color w:val="auto"/>
              </w:rPr>
              <w:t xml:space="preserve">adjustments </w:t>
            </w:r>
            <w:r>
              <w:rPr>
                <w:rFonts w:ascii="Arial" w:cs="Arial" w:eastAsia="Arial" w:hAnsi="Arial"/>
                <w:sz w:val="14"/>
                <w:szCs w:val="14"/>
                <w:color w:val="auto"/>
              </w:rPr>
              <w:t>(d)</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3,313</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3,193</w:t>
            </w:r>
          </w:p>
        </w:tc>
        <w:tc>
          <w:tcPr>
            <w:tcW w:w="5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42,886</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40,704</w:t>
            </w:r>
          </w:p>
        </w:tc>
        <w:tc>
          <w:tcPr>
            <w:tcW w:w="3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53,505</w:t>
            </w:r>
          </w:p>
        </w:tc>
        <w:tc>
          <w:tcPr>
            <w:tcW w:w="3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18,651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119,841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84,659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118,317</w:t>
            </w:r>
          </w:p>
        </w:tc>
        <w:tc>
          <w:tcPr>
            <w:tcW w:w="3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40,045</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Adjusted EBITDA Margin</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20" w:hanging="39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8" w:lineRule="exact"/>
        <w:rPr>
          <w:rFonts w:ascii="Arial" w:cs="Arial" w:eastAsia="Arial" w:hAnsi="Arial"/>
          <w:sz w:val="17"/>
          <w:szCs w:val="17"/>
          <w:color w:val="auto"/>
        </w:rPr>
      </w:pPr>
    </w:p>
    <w:p>
      <w:pPr>
        <w:ind w:left="1020" w:right="140" w:hanging="392"/>
        <w:spacing w:after="0" w:line="24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Equity compensation costs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20" w:right="640" w:hanging="392"/>
        <w:spacing w:after="0" w:line="24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20" w:right="20" w:hanging="392"/>
        <w:spacing w:after="0" w:line="250"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20"/>
          </w:cols>
          <w:pgMar w:left="320" w:top="440" w:right="9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8185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66535" cy="58185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780" w:firstLine="399"/>
        <w:spacing w:after="0" w:line="272" w:lineRule="auto"/>
        <w:rPr>
          <w:sz w:val="20"/>
          <w:szCs w:val="20"/>
          <w:color w:val="auto"/>
        </w:rPr>
      </w:pPr>
      <w:r>
        <w:rPr>
          <w:rFonts w:ascii="Arial" w:cs="Arial" w:eastAsia="Arial" w:hAnsi="Arial"/>
          <w:sz w:val="17"/>
          <w:szCs w:val="17"/>
          <w:color w:val="auto"/>
        </w:rPr>
        <w:t>The following table provides a reconciliation of Adjusted Gross Profit and Adjusted Gross Margin to gross profit, its most directly comparable GAAP measure, for each of the periods presented:</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4"/>
            <w:vMerge w:val="restart"/>
          </w:tcPr>
          <w:p>
            <w:pPr>
              <w:jc w:val="center"/>
              <w:ind w:left="227"/>
              <w:spacing w:after="0"/>
              <w:rPr>
                <w:sz w:val="20"/>
                <w:szCs w:val="20"/>
                <w:color w:val="auto"/>
              </w:rPr>
            </w:pPr>
            <w:r>
              <w:rPr>
                <w:rFonts w:ascii="Arial" w:cs="Arial" w:eastAsia="Arial" w:hAnsi="Arial"/>
                <w:sz w:val="13"/>
                <w:szCs w:val="13"/>
                <w:b w:val="1"/>
                <w:bCs w:val="1"/>
                <w:color w:val="auto"/>
                <w:w w:val="96"/>
              </w:rPr>
              <w:t>Definitive OpCo</w:t>
            </w: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center"/>
              <w:ind w:left="207"/>
              <w:spacing w:after="0" w:line="139" w:lineRule="exact"/>
              <w:rPr>
                <w:sz w:val="20"/>
                <w:szCs w:val="20"/>
                <w:color w:val="auto"/>
              </w:rPr>
            </w:pPr>
            <w:r>
              <w:rPr>
                <w:rFonts w:ascii="Arial" w:cs="Arial" w:eastAsia="Arial" w:hAnsi="Arial"/>
                <w:sz w:val="13"/>
                <w:szCs w:val="13"/>
                <w:b w:val="1"/>
                <w:bCs w:val="1"/>
                <w:color w:val="auto"/>
              </w:rPr>
              <w:t>(AIDH TopCo, LLC)</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4"/>
          </w:tcPr>
          <w:p>
            <w:pPr>
              <w:jc w:val="center"/>
              <w:ind w:left="247"/>
              <w:spacing w:after="0"/>
              <w:rPr>
                <w:sz w:val="20"/>
                <w:szCs w:val="20"/>
                <w:color w:val="auto"/>
              </w:rPr>
            </w:pPr>
            <w:r>
              <w:rPr>
                <w:rFonts w:ascii="Arial" w:cs="Arial" w:eastAsia="Arial" w:hAnsi="Arial"/>
                <w:sz w:val="13"/>
                <w:szCs w:val="13"/>
                <w:b w:val="1"/>
                <w:bCs w:val="1"/>
                <w:color w:val="auto"/>
                <w:w w:val="90"/>
              </w:rPr>
              <w:t>Successor Company</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Predecessor 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360" w:type="dxa"/>
            <w:vAlign w:val="bottom"/>
            <w:tcBorders>
              <w:top w:val="single" w:sz="8" w:color="auto"/>
            </w:tcBorders>
            <w:gridSpan w:val="6"/>
          </w:tcPr>
          <w:p>
            <w:pPr>
              <w:jc w:val="right"/>
              <w:ind w:right="860"/>
              <w:spacing w:after="0" w:line="112" w:lineRule="exact"/>
              <w:rPr>
                <w:sz w:val="20"/>
                <w:szCs w:val="20"/>
                <w:color w:val="auto"/>
              </w:rPr>
            </w:pPr>
            <w:r>
              <w:rPr>
                <w:rFonts w:ascii="Arial" w:cs="Arial" w:eastAsia="Arial" w:hAnsi="Arial"/>
                <w:sz w:val="12"/>
                <w:szCs w:val="12"/>
                <w:b w:val="1"/>
                <w:bCs w:val="1"/>
                <w:color w:val="auto"/>
              </w:rPr>
              <w:t>Nine Months Ended</w:t>
            </w: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ind w:left="60"/>
              <w:spacing w:after="0" w:line="112" w:lineRule="exact"/>
              <w:rPr>
                <w:sz w:val="20"/>
                <w:szCs w:val="20"/>
                <w:color w:val="auto"/>
              </w:rPr>
            </w:pPr>
            <w:r>
              <w:rPr>
                <w:rFonts w:ascii="Arial" w:cs="Arial" w:eastAsia="Arial" w:hAnsi="Arial"/>
                <w:sz w:val="12"/>
                <w:szCs w:val="12"/>
                <w:b w:val="1"/>
                <w:bCs w:val="1"/>
                <w:color w:val="auto"/>
              </w:rPr>
              <w:t>Year Ended</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27"/>
              <w:spacing w:after="0" w:line="112" w:lineRule="exact"/>
              <w:rPr>
                <w:sz w:val="20"/>
                <w:szCs w:val="20"/>
                <w:color w:val="auto"/>
              </w:rPr>
            </w:pPr>
            <w:r>
              <w:rPr>
                <w:rFonts w:ascii="Arial" w:cs="Arial" w:eastAsia="Arial" w:hAnsi="Arial"/>
                <w:sz w:val="12"/>
                <w:szCs w:val="12"/>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jc w:val="center"/>
              <w:ind w:right="48"/>
              <w:spacing w:after="0" w:line="112" w:lineRule="exact"/>
              <w:rPr>
                <w:sz w:val="20"/>
                <w:szCs w:val="20"/>
                <w:color w:val="auto"/>
              </w:rPr>
            </w:pPr>
            <w:r>
              <w:rPr>
                <w:rFonts w:ascii="Arial" w:cs="Arial" w:eastAsia="Arial" w:hAnsi="Arial"/>
                <w:sz w:val="12"/>
                <w:szCs w:val="12"/>
                <w:b w:val="1"/>
                <w:bCs w:val="1"/>
                <w:color w:val="auto"/>
              </w:rPr>
              <w:t>Period from</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460" w:type="dxa"/>
            <w:vAlign w:val="bottom"/>
            <w:gridSpan w:val="2"/>
            <w:vMerge w:val="restart"/>
          </w:tcPr>
          <w:p>
            <w:pPr>
              <w:spacing w:after="0"/>
              <w:rPr>
                <w:sz w:val="20"/>
                <w:szCs w:val="20"/>
                <w:color w:val="auto"/>
              </w:rPr>
            </w:pPr>
            <w:r>
              <w:rPr>
                <w:rFonts w:ascii="Arial" w:cs="Arial" w:eastAsia="Arial" w:hAnsi="Arial"/>
                <w:sz w:val="13"/>
                <w:szCs w:val="13"/>
                <w:color w:val="auto"/>
              </w:rPr>
              <w:t>(in thousands)</w:t>
            </w:r>
          </w:p>
        </w:tc>
        <w:tc>
          <w:tcPr>
            <w:tcW w:w="400" w:type="dxa"/>
            <w:vAlign w:val="bottom"/>
          </w:tcPr>
          <w:p>
            <w:pPr>
              <w:spacing w:after="0"/>
              <w:rPr>
                <w:sz w:val="12"/>
                <w:szCs w:val="12"/>
                <w:color w:val="auto"/>
              </w:rPr>
            </w:pPr>
          </w:p>
        </w:tc>
        <w:tc>
          <w:tcPr>
            <w:tcW w:w="11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2"/>
                <w:szCs w:val="12"/>
                <w:color w:val="auto"/>
              </w:rPr>
            </w:pPr>
          </w:p>
        </w:tc>
        <w:tc>
          <w:tcPr>
            <w:tcW w:w="11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2"/>
                <w:szCs w:val="12"/>
                <w:color w:val="auto"/>
              </w:rPr>
            </w:pPr>
          </w:p>
        </w:tc>
        <w:tc>
          <w:tcPr>
            <w:tcW w:w="10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460"/>
              <w:spacing w:after="0" w:line="139" w:lineRule="exact"/>
              <w:rPr>
                <w:sz w:val="20"/>
                <w:szCs w:val="20"/>
                <w:color w:val="auto"/>
              </w:rPr>
            </w:pPr>
            <w:r>
              <w:rPr>
                <w:rFonts w:ascii="Arial" w:cs="Arial" w:eastAsia="Arial" w:hAnsi="Arial"/>
                <w:sz w:val="13"/>
                <w:szCs w:val="13"/>
                <w:b w:val="1"/>
                <w:bCs w:val="1"/>
                <w:color w:val="auto"/>
                <w:w w:val="91"/>
              </w:rPr>
              <w:t>July 16, 2019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24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7"/>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7"/>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3"/>
                <w:szCs w:val="13"/>
                <w:color w:val="auto"/>
              </w:rPr>
            </w:pPr>
          </w:p>
        </w:tc>
        <w:tc>
          <w:tcPr>
            <w:tcW w:w="1000" w:type="dxa"/>
            <w:vAlign w:val="bottom"/>
            <w:gridSpan w:val="3"/>
          </w:tcPr>
          <w:p>
            <w:pPr>
              <w:jc w:val="right"/>
              <w:ind w:right="184"/>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2019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83"/>
        </w:trPr>
        <w:tc>
          <w:tcPr>
            <w:tcW w:w="2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Reported gross profit</w:t>
            </w: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90,050</w:t>
            </w: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62,505</w:t>
            </w: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87,849</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26,763</w:t>
            </w:r>
          </w:p>
        </w:tc>
        <w:tc>
          <w:tcPr>
            <w:tcW w:w="360" w:type="dxa"/>
            <w:vAlign w:val="bottom"/>
            <w:tcBorders>
              <w:top w:val="single" w:sz="8" w:color="CCEEFF"/>
              <w:right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40,130</w:t>
            </w: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6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60" w:type="dxa"/>
            <w:vAlign w:val="bottom"/>
            <w:gridSpan w:val="2"/>
          </w:tcPr>
          <w:p>
            <w:pPr>
              <w:ind w:left="140"/>
              <w:spacing w:after="0"/>
              <w:rPr>
                <w:sz w:val="20"/>
                <w:szCs w:val="20"/>
                <w:color w:val="auto"/>
              </w:rPr>
            </w:pPr>
            <w:r>
              <w:rPr>
                <w:rFonts w:ascii="Arial" w:cs="Arial" w:eastAsia="Arial" w:hAnsi="Arial"/>
                <w:sz w:val="15"/>
                <w:szCs w:val="15"/>
                <w:color w:val="auto"/>
              </w:rPr>
              <w:t>resulting from acquisition-related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60" w:type="dxa"/>
            <w:vAlign w:val="bottom"/>
            <w:gridSpan w:val="2"/>
          </w:tcPr>
          <w:p>
            <w:pPr>
              <w:ind w:left="140"/>
              <w:spacing w:after="0" w:line="201" w:lineRule="exact"/>
              <w:rPr>
                <w:sz w:val="20"/>
                <w:szCs w:val="20"/>
                <w:color w:val="auto"/>
              </w:rPr>
            </w:pPr>
            <w:r>
              <w:rPr>
                <w:rFonts w:ascii="Arial" w:cs="Arial" w:eastAsia="Arial" w:hAnsi="Arial"/>
                <w:sz w:val="14"/>
                <w:szCs w:val="14"/>
                <w:color w:val="auto"/>
                <w:w w:val="99"/>
              </w:rPr>
              <w:t xml:space="preserve">purchase accounting adjustments </w:t>
            </w:r>
            <w:r>
              <w:rPr>
                <w:rFonts w:ascii="Arial" w:cs="Arial" w:eastAsia="Arial" w:hAnsi="Arial"/>
                <w:sz w:val="23"/>
                <w:szCs w:val="23"/>
                <w:color w:val="auto"/>
                <w:w w:val="99"/>
                <w:vertAlign w:val="superscript"/>
              </w:rPr>
              <w:t>(a)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15,125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14,175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19,169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8,602</w:t>
            </w:r>
          </w:p>
        </w:tc>
        <w:tc>
          <w:tcPr>
            <w:tcW w:w="3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compensation costs</w:t>
            </w:r>
          </w:p>
        </w:tc>
        <w:tc>
          <w:tcPr>
            <w:tcW w:w="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3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rPr>
              <w:t>Adjusted Gross Profit</w:t>
            </w:r>
          </w:p>
        </w:tc>
        <w:tc>
          <w:tcPr>
            <w:tcW w:w="58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105,254</w:t>
            </w:r>
          </w:p>
        </w:tc>
        <w:tc>
          <w:tcPr>
            <w:tcW w:w="340" w:type="dxa"/>
            <w:vAlign w:val="bottom"/>
          </w:tcPr>
          <w:p>
            <w:pPr>
              <w:spacing w:after="0"/>
              <w:rPr>
                <w:sz w:val="16"/>
                <w:szCs w:val="16"/>
                <w:color w:val="auto"/>
              </w:rPr>
            </w:pPr>
          </w:p>
        </w:tc>
        <w:tc>
          <w:tcPr>
            <w:tcW w:w="40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76,726</w:t>
            </w:r>
          </w:p>
        </w:tc>
        <w:tc>
          <w:tcPr>
            <w:tcW w:w="34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107,080</w:t>
            </w:r>
          </w:p>
        </w:tc>
        <w:tc>
          <w:tcPr>
            <w:tcW w:w="220" w:type="dxa"/>
            <w:vAlign w:val="bottom"/>
          </w:tcPr>
          <w:p>
            <w:pPr>
              <w:spacing w:after="0"/>
              <w:rPr>
                <w:sz w:val="16"/>
                <w:szCs w:val="16"/>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35,393</w:t>
            </w:r>
          </w:p>
        </w:tc>
        <w:tc>
          <w:tcPr>
            <w:tcW w:w="360" w:type="dxa"/>
            <w:vAlign w:val="bottom"/>
            <w:tcBorders>
              <w:right w:val="single" w:sz="8" w:color="auto"/>
            </w:tcBorders>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40,884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w:t>
            </w:r>
          </w:p>
        </w:tc>
        <w:tc>
          <w:tcPr>
            <w:tcW w:w="4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119,841</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84,659</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118,317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40,045</w:t>
            </w:r>
          </w:p>
        </w:tc>
        <w:tc>
          <w:tcPr>
            <w:tcW w:w="36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45,458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rPr>
              <w:t>Adjusted Gross Margin</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88%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91%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91%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88%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120" w:right="80" w:hanging="492"/>
        <w:spacing w:after="0" w:line="272"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table presents a reconciliation of (Loss) Income from Operations to Adjusted Operating Income for the periods presented:</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4"/>
            <w:vMerge w:val="restart"/>
          </w:tcPr>
          <w:p>
            <w:pPr>
              <w:jc w:val="center"/>
              <w:ind w:left="327"/>
              <w:spacing w:after="0"/>
              <w:rPr>
                <w:sz w:val="20"/>
                <w:szCs w:val="20"/>
                <w:color w:val="auto"/>
              </w:rPr>
            </w:pPr>
            <w:r>
              <w:rPr>
                <w:rFonts w:ascii="Arial" w:cs="Arial" w:eastAsia="Arial" w:hAnsi="Arial"/>
                <w:sz w:val="13"/>
                <w:szCs w:val="13"/>
                <w:b w:val="1"/>
                <w:bCs w:val="1"/>
                <w:color w:val="auto"/>
                <w:w w:val="96"/>
              </w:rPr>
              <w:t>Definitive OpCo</w:t>
            </w: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6"/>
          </w:tcPr>
          <w:p>
            <w:pPr>
              <w:jc w:val="center"/>
              <w:ind w:right="320"/>
              <w:spacing w:after="0" w:line="139" w:lineRule="exact"/>
              <w:rPr>
                <w:sz w:val="20"/>
                <w:szCs w:val="20"/>
                <w:color w:val="auto"/>
              </w:rPr>
            </w:pPr>
            <w:r>
              <w:rPr>
                <w:rFonts w:ascii="Arial" w:cs="Arial" w:eastAsia="Arial" w:hAnsi="Arial"/>
                <w:sz w:val="13"/>
                <w:szCs w:val="13"/>
                <w:b w:val="1"/>
                <w:bCs w:val="1"/>
                <w:color w:val="auto"/>
              </w:rPr>
              <w:t>(AIDH TopCo,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tcPr>
          <w:p>
            <w:pPr>
              <w:jc w:val="center"/>
              <w:ind w:right="4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0"/>
              </w:rPr>
              <w:t>Successor Company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Predecessor 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300" w:type="dxa"/>
            <w:vAlign w:val="bottom"/>
            <w:tcBorders>
              <w:top w:val="single" w:sz="8" w:color="auto"/>
            </w:tcBorders>
            <w:gridSpan w:val="6"/>
          </w:tcPr>
          <w:p>
            <w:pPr>
              <w:ind w:left="340"/>
              <w:spacing w:after="0" w:line="112" w:lineRule="exact"/>
              <w:rPr>
                <w:sz w:val="20"/>
                <w:szCs w:val="20"/>
                <w:color w:val="auto"/>
              </w:rPr>
            </w:pPr>
            <w:r>
              <w:rPr>
                <w:rFonts w:ascii="Arial" w:cs="Arial" w:eastAsia="Arial" w:hAnsi="Arial"/>
                <w:sz w:val="12"/>
                <w:szCs w:val="12"/>
                <w:b w:val="1"/>
                <w:bCs w:val="1"/>
                <w:color w:val="auto"/>
              </w:rPr>
              <w:t>Nine Months Ended</w:t>
            </w:r>
          </w:p>
        </w:tc>
        <w:tc>
          <w:tcPr>
            <w:tcW w:w="2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3"/>
          </w:tcPr>
          <w:p>
            <w:pPr>
              <w:ind w:left="60"/>
              <w:spacing w:after="0" w:line="112" w:lineRule="exact"/>
              <w:rPr>
                <w:sz w:val="20"/>
                <w:szCs w:val="20"/>
                <w:color w:val="auto"/>
              </w:rPr>
            </w:pPr>
            <w:r>
              <w:rPr>
                <w:rFonts w:ascii="Arial" w:cs="Arial" w:eastAsia="Arial" w:hAnsi="Arial"/>
                <w:sz w:val="12"/>
                <w:szCs w:val="12"/>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8"/>
              <w:spacing w:after="0" w:line="112" w:lineRule="exact"/>
              <w:rPr>
                <w:sz w:val="20"/>
                <w:szCs w:val="20"/>
                <w:color w:val="auto"/>
              </w:rPr>
            </w:pPr>
            <w:r>
              <w:rPr>
                <w:rFonts w:ascii="Arial" w:cs="Arial" w:eastAsia="Arial" w:hAnsi="Arial"/>
                <w:sz w:val="12"/>
                <w:szCs w:val="12"/>
                <w:b w:val="1"/>
                <w:bCs w:val="1"/>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04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20" w:type="dxa"/>
            <w:vAlign w:val="bottom"/>
          </w:tcPr>
          <w:p>
            <w:pPr>
              <w:spacing w:after="0"/>
              <w:rPr>
                <w:sz w:val="12"/>
                <w:szCs w:val="12"/>
                <w:color w:val="auto"/>
              </w:rPr>
            </w:pPr>
          </w:p>
        </w:tc>
        <w:tc>
          <w:tcPr>
            <w:tcW w:w="108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2"/>
                <w:szCs w:val="12"/>
                <w:color w:val="auto"/>
              </w:rPr>
            </w:pPr>
          </w:p>
        </w:tc>
        <w:tc>
          <w:tcPr>
            <w:tcW w:w="9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30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207"/>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07"/>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165"/>
              <w:spacing w:after="0"/>
              <w:rPr>
                <w:sz w:val="20"/>
                <w:szCs w:val="20"/>
                <w:color w:val="auto"/>
              </w:rPr>
            </w:pPr>
            <w:r>
              <w:rPr>
                <w:rFonts w:ascii="Arial" w:cs="Arial" w:eastAsia="Arial" w:hAnsi="Arial"/>
                <w:sz w:val="13"/>
                <w:szCs w:val="13"/>
                <w:b w:val="1"/>
                <w:bCs w:val="1"/>
                <w:color w:val="auto"/>
                <w:w w:val="96"/>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2019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83"/>
        </w:trPr>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(Loss) income from operations</w:t>
            </w: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(12,807)</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(7,493)</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(14,445)</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(31,062)</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13,033</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gridSpan w:val="3"/>
          </w:tcPr>
          <w:p>
            <w:pPr>
              <w:spacing w:after="0" w:line="190" w:lineRule="exact"/>
              <w:rPr>
                <w:sz w:val="20"/>
                <w:szCs w:val="20"/>
                <w:color w:val="auto"/>
              </w:rPr>
            </w:pPr>
            <w:r>
              <w:rPr>
                <w:rFonts w:ascii="Arial" w:cs="Arial" w:eastAsia="Arial" w:hAnsi="Arial"/>
                <w:sz w:val="14"/>
                <w:szCs w:val="14"/>
                <w:color w:val="auto"/>
              </w:rPr>
              <w:t>Amortization of intangible assets</w:t>
            </w:r>
            <w:r>
              <w:rPr>
                <w:rFonts w:ascii="Arial" w:cs="Arial" w:eastAsia="Arial" w:hAnsi="Arial"/>
                <w:sz w:val="22"/>
                <w:szCs w:val="22"/>
                <w:color w:val="auto"/>
                <w:vertAlign w:val="superscript"/>
              </w:rPr>
              <w:t>(a)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42,746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43,395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58,214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40" w:type="dxa"/>
            <w:vAlign w:val="bottom"/>
            <w:gridSpan w:val="3"/>
            <w:shd w:val="clear" w:color="auto" w:fill="CCEEFF"/>
          </w:tcPr>
          <w:p>
            <w:pPr>
              <w:spacing w:after="0" w:line="190"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2"/>
                <w:szCs w:val="22"/>
                <w:color w:val="auto"/>
                <w:vertAlign w:val="superscript"/>
              </w:rPr>
              <w:t>(b)</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4,338</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40" w:type="dxa"/>
            <w:vAlign w:val="bottom"/>
            <w:gridSpan w:val="3"/>
          </w:tcPr>
          <w:p>
            <w:pPr>
              <w:spacing w:after="0" w:line="190"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2"/>
                <w:szCs w:val="22"/>
                <w:color w:val="auto"/>
                <w:vertAlign w:val="superscript"/>
              </w:rPr>
              <w:t>(c)</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3,332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748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3,776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40" w:type="dxa"/>
            <w:vAlign w:val="bottom"/>
            <w:gridSpan w:val="3"/>
            <w:shd w:val="clear" w:color="auto" w:fill="CCEEFF"/>
          </w:tcPr>
          <w:p>
            <w:pPr>
              <w:spacing w:after="0" w:line="190"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2"/>
                <w:szCs w:val="22"/>
                <w:color w:val="auto"/>
                <w:vertAlign w:val="superscript"/>
              </w:rPr>
              <w:t>(d)</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3,313</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1,804</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40" w:type="dxa"/>
            <w:vAlign w:val="bottom"/>
            <w:gridSpan w:val="3"/>
          </w:tcPr>
          <w:p>
            <w:pPr>
              <w:spacing w:after="0"/>
              <w:rPr>
                <w:sz w:val="20"/>
                <w:szCs w:val="20"/>
                <w:color w:val="auto"/>
              </w:rPr>
            </w:pPr>
            <w:r>
              <w:rPr>
                <w:rFonts w:ascii="Arial" w:cs="Arial" w:eastAsia="Arial" w:hAnsi="Arial"/>
                <w:sz w:val="15"/>
                <w:szCs w:val="15"/>
                <w:b w:val="1"/>
                <w:bCs w:val="1"/>
                <w:color w:val="auto"/>
              </w:rPr>
              <w:t>Adjusted Operating Income</w:t>
            </w:r>
          </w:p>
        </w:tc>
        <w:tc>
          <w:tcPr>
            <w:tcW w:w="160" w:type="dxa"/>
            <w:vAlign w:val="bottom"/>
            <w:gridSpan w:val="2"/>
          </w:tcPr>
          <w:p>
            <w:pPr>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40,922</w:t>
            </w:r>
          </w:p>
        </w:tc>
        <w:tc>
          <w:tcPr>
            <w:tcW w:w="280" w:type="dxa"/>
            <w:vAlign w:val="bottom"/>
          </w:tcPr>
          <w:p>
            <w:pPr>
              <w:spacing w:after="0"/>
              <w:rPr>
                <w:sz w:val="16"/>
                <w:szCs w:val="16"/>
                <w:color w:val="auto"/>
              </w:rPr>
            </w:pPr>
          </w:p>
        </w:tc>
        <w:tc>
          <w:tcPr>
            <w:tcW w:w="42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39,784</w:t>
            </w:r>
          </w:p>
        </w:tc>
        <w:tc>
          <w:tcPr>
            <w:tcW w:w="280" w:type="dxa"/>
            <w:vAlign w:val="bottom"/>
          </w:tcPr>
          <w:p>
            <w:pPr>
              <w:spacing w:after="0"/>
              <w:rPr>
                <w:sz w:val="16"/>
                <w:szCs w:val="16"/>
                <w:color w:val="auto"/>
              </w:rPr>
            </w:pPr>
          </w:p>
        </w:tc>
        <w:tc>
          <w:tcPr>
            <w:tcW w:w="4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52,139</w:t>
            </w:r>
          </w:p>
        </w:tc>
        <w:tc>
          <w:tcPr>
            <w:tcW w:w="18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18,183</w:t>
            </w:r>
          </w:p>
        </w:tc>
        <w:tc>
          <w:tcPr>
            <w:tcW w:w="30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23,233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20" w:right="80" w:hanging="492"/>
        <w:spacing w:after="0" w:line="256" w:lineRule="auto"/>
        <w:tabs>
          <w:tab w:leader="none" w:pos="11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ind w:left="1120" w:right="40" w:hanging="492"/>
        <w:spacing w:after="0" w:line="248" w:lineRule="auto"/>
        <w:tabs>
          <w:tab w:leader="none" w:pos="11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120" w:right="240" w:hanging="492"/>
        <w:spacing w:after="0" w:line="248" w:lineRule="auto"/>
        <w:tabs>
          <w:tab w:leader="none" w:pos="11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120" w:right="20" w:hanging="492"/>
        <w:spacing w:after="0" w:line="250" w:lineRule="auto"/>
        <w:tabs>
          <w:tab w:leader="none" w:pos="11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20"/>
          </w:cols>
          <w:pgMar w:left="320" w:top="440" w:right="9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3711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66535" cy="3711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presents a reconciliation of Net (Loss) Income to Adjusted Net Income (Loss) for the periods presented:</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4"/>
            <w:vMerge w:val="restart"/>
          </w:tcPr>
          <w:p>
            <w:pPr>
              <w:jc w:val="center"/>
              <w:ind w:left="207"/>
              <w:spacing w:after="0"/>
              <w:rPr>
                <w:sz w:val="20"/>
                <w:szCs w:val="20"/>
                <w:color w:val="auto"/>
              </w:rPr>
            </w:pPr>
            <w:r>
              <w:rPr>
                <w:rFonts w:ascii="Arial" w:cs="Arial" w:eastAsia="Arial" w:hAnsi="Arial"/>
                <w:sz w:val="13"/>
                <w:szCs w:val="13"/>
                <w:b w:val="1"/>
                <w:bCs w:val="1"/>
                <w:color w:val="auto"/>
                <w:w w:val="96"/>
              </w:rPr>
              <w:t>Definitive OpCo</w:t>
            </w: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jc w:val="center"/>
              <w:ind w:left="187"/>
              <w:spacing w:after="0" w:line="139" w:lineRule="exact"/>
              <w:rPr>
                <w:sz w:val="20"/>
                <w:szCs w:val="20"/>
                <w:color w:val="auto"/>
              </w:rPr>
            </w:pPr>
            <w:r>
              <w:rPr>
                <w:rFonts w:ascii="Arial" w:cs="Arial" w:eastAsia="Arial" w:hAnsi="Arial"/>
                <w:sz w:val="13"/>
                <w:szCs w:val="13"/>
                <w:b w:val="1"/>
                <w:bCs w:val="1"/>
                <w:color w:val="auto"/>
              </w:rPr>
              <w:t>(AIDH TopCo, LLC)</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tcPr>
          <w:p>
            <w:pPr>
              <w:jc w:val="center"/>
              <w:ind w:right="8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jc w:val="center"/>
              <w:ind w:left="227"/>
              <w:spacing w:after="0"/>
              <w:rPr>
                <w:sz w:val="20"/>
                <w:szCs w:val="20"/>
                <w:color w:val="auto"/>
              </w:rPr>
            </w:pPr>
            <w:r>
              <w:rPr>
                <w:rFonts w:ascii="Arial" w:cs="Arial" w:eastAsia="Arial" w:hAnsi="Arial"/>
                <w:sz w:val="13"/>
                <w:szCs w:val="13"/>
                <w:b w:val="1"/>
                <w:bCs w:val="1"/>
                <w:color w:val="auto"/>
                <w:w w:val="90"/>
              </w:rPr>
              <w:t>Successor Company</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Predecessor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320" w:type="dxa"/>
            <w:vAlign w:val="bottom"/>
            <w:tcBorders>
              <w:top w:val="single" w:sz="8" w:color="auto"/>
            </w:tcBorders>
            <w:gridSpan w:val="6"/>
          </w:tcPr>
          <w:p>
            <w:pPr>
              <w:ind w:left="340"/>
              <w:spacing w:after="0" w:line="112" w:lineRule="exact"/>
              <w:rPr>
                <w:sz w:val="20"/>
                <w:szCs w:val="20"/>
                <w:color w:val="auto"/>
              </w:rPr>
            </w:pPr>
            <w:r>
              <w:rPr>
                <w:rFonts w:ascii="Arial" w:cs="Arial" w:eastAsia="Arial" w:hAnsi="Arial"/>
                <w:sz w:val="12"/>
                <w:szCs w:val="12"/>
                <w:b w:val="1"/>
                <w:bCs w:val="1"/>
                <w:color w:val="auto"/>
              </w:rPr>
              <w:t>Nine Months Ended</w:t>
            </w:r>
          </w:p>
        </w:tc>
        <w:tc>
          <w:tcPr>
            <w:tcW w:w="2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3"/>
          </w:tcPr>
          <w:p>
            <w:pPr>
              <w:ind w:left="80"/>
              <w:spacing w:after="0" w:line="112" w:lineRule="exact"/>
              <w:rPr>
                <w:sz w:val="20"/>
                <w:szCs w:val="20"/>
                <w:color w:val="auto"/>
              </w:rPr>
            </w:pPr>
            <w:r>
              <w:rPr>
                <w:rFonts w:ascii="Arial" w:cs="Arial" w:eastAsia="Arial" w:hAnsi="Arial"/>
                <w:sz w:val="12"/>
                <w:szCs w:val="12"/>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07"/>
              <w:spacing w:after="0" w:line="112"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8"/>
              <w:spacing w:after="0" w:line="112" w:lineRule="exact"/>
              <w:rPr>
                <w:sz w:val="20"/>
                <w:szCs w:val="20"/>
                <w:color w:val="auto"/>
              </w:rPr>
            </w:pPr>
            <w:r>
              <w:rPr>
                <w:rFonts w:ascii="Arial" w:cs="Arial" w:eastAsia="Arial" w:hAnsi="Arial"/>
                <w:sz w:val="12"/>
                <w:szCs w:val="12"/>
                <w:b w:val="1"/>
                <w:bCs w:val="1"/>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56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44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2"/>
                <w:szCs w:val="12"/>
                <w:color w:val="auto"/>
              </w:rPr>
            </w:pPr>
          </w:p>
        </w:tc>
        <w:tc>
          <w:tcPr>
            <w:tcW w:w="9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38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25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07"/>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7"/>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1020" w:type="dxa"/>
            <w:vAlign w:val="bottom"/>
            <w:gridSpan w:val="3"/>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2019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 income</w:t>
            </w:r>
          </w:p>
        </w:tc>
        <w:tc>
          <w:tcPr>
            <w:tcW w:w="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(46,493)</w:t>
            </w: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(35,295)</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8"/>
              </w:rPr>
              <w:t>(51,157)</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(49,266)</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12,868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tcPr>
          <w:p>
            <w:pPr>
              <w:spacing w:after="0" w:line="190" w:lineRule="exact"/>
              <w:rPr>
                <w:sz w:val="20"/>
                <w:szCs w:val="20"/>
                <w:color w:val="auto"/>
              </w:rPr>
            </w:pPr>
            <w:r>
              <w:rPr>
                <w:rFonts w:ascii="Arial" w:cs="Arial" w:eastAsia="Arial" w:hAnsi="Arial"/>
                <w:sz w:val="14"/>
                <w:szCs w:val="14"/>
                <w:color w:val="auto"/>
              </w:rPr>
              <w:t xml:space="preserve">Amortization of intangible assets </w:t>
            </w:r>
            <w:r>
              <w:rPr>
                <w:rFonts w:ascii="Arial" w:cs="Arial" w:eastAsia="Arial" w:hAnsi="Arial"/>
                <w:sz w:val="22"/>
                <w:szCs w:val="22"/>
                <w:color w:val="auto"/>
                <w:vertAlign w:val="superscript"/>
              </w:rPr>
              <w:t>(a)</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42,746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43,395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58,214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line="190" w:lineRule="exact"/>
              <w:rPr>
                <w:sz w:val="20"/>
                <w:szCs w:val="20"/>
                <w:color w:val="auto"/>
              </w:rPr>
            </w:pPr>
            <w:r>
              <w:rPr>
                <w:rFonts w:ascii="Arial" w:cs="Arial" w:eastAsia="Arial" w:hAnsi="Arial"/>
                <w:sz w:val="14"/>
                <w:szCs w:val="14"/>
                <w:color w:val="auto"/>
              </w:rPr>
              <w:t xml:space="preserve">Equity compensation costs </w:t>
            </w:r>
            <w:r>
              <w:rPr>
                <w:rFonts w:ascii="Arial" w:cs="Arial" w:eastAsia="Arial" w:hAnsi="Arial"/>
                <w:sz w:val="22"/>
                <w:szCs w:val="22"/>
                <w:color w:val="auto"/>
                <w:vertAlign w:val="superscript"/>
              </w:rPr>
              <w:t>(b)</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4,338</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tcPr>
          <w:p>
            <w:pPr>
              <w:spacing w:after="0" w:line="190" w:lineRule="exact"/>
              <w:rPr>
                <w:sz w:val="20"/>
                <w:szCs w:val="20"/>
                <w:color w:val="auto"/>
              </w:rPr>
            </w:pPr>
            <w:r>
              <w:rPr>
                <w:rFonts w:ascii="Arial" w:cs="Arial" w:eastAsia="Arial" w:hAnsi="Arial"/>
                <w:sz w:val="14"/>
                <w:szCs w:val="14"/>
                <w:color w:val="auto"/>
              </w:rPr>
              <w:t xml:space="preserve">Acquisition-related expenses </w:t>
            </w:r>
            <w:r>
              <w:rPr>
                <w:rFonts w:ascii="Arial" w:cs="Arial" w:eastAsia="Arial" w:hAnsi="Arial"/>
                <w:sz w:val="22"/>
                <w:szCs w:val="22"/>
                <w:color w:val="auto"/>
                <w:vertAlign w:val="superscript"/>
              </w:rPr>
              <w:t>(c)</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3,332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748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3,776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1"/>
              </w:rPr>
              <w:t>Tax impacts of adjustments to net income</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(loss)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(10,304)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40" w:type="dxa"/>
            <w:vAlign w:val="bottom"/>
            <w:gridSpan w:val="2"/>
          </w:tcPr>
          <w:p>
            <w:pPr>
              <w:spacing w:after="0" w:line="190" w:lineRule="exact"/>
              <w:rPr>
                <w:sz w:val="20"/>
                <w:szCs w:val="20"/>
                <w:color w:val="auto"/>
              </w:rPr>
            </w:pPr>
            <w:r>
              <w:rPr>
                <w:rFonts w:ascii="Arial" w:cs="Arial" w:eastAsia="Arial" w:hAnsi="Arial"/>
                <w:sz w:val="14"/>
                <w:szCs w:val="14"/>
                <w:color w:val="auto"/>
              </w:rPr>
              <w:t xml:space="preserve">Other non-recurring adjustments </w:t>
            </w:r>
            <w:r>
              <w:rPr>
                <w:rFonts w:ascii="Arial" w:cs="Arial" w:eastAsia="Arial" w:hAnsi="Arial"/>
                <w:sz w:val="22"/>
                <w:szCs w:val="22"/>
                <w:color w:val="auto"/>
                <w:vertAlign w:val="superscript"/>
              </w:rPr>
              <w:t>(d)</w:t>
            </w: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13,186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Adjusted Net Income (Loss)</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6,805</w:t>
            </w:r>
          </w:p>
        </w:tc>
        <w:tc>
          <w:tcPr>
            <w:tcW w:w="2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11,982</w:t>
            </w:r>
          </w:p>
        </w:tc>
        <w:tc>
          <w:tcPr>
            <w:tcW w:w="3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15,427</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23,068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120" w:right="80" w:hanging="492"/>
        <w:spacing w:after="0" w:line="256" w:lineRule="auto"/>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ind w:left="1120" w:right="40" w:hanging="492"/>
        <w:spacing w:after="0" w:line="248" w:lineRule="auto"/>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 See “Description of Material Indebtedness.”</w:t>
      </w:r>
    </w:p>
    <w:p>
      <w:pPr>
        <w:spacing w:after="0" w:line="1" w:lineRule="exact"/>
        <w:rPr>
          <w:rFonts w:ascii="Arial" w:cs="Arial" w:eastAsia="Arial" w:hAnsi="Arial"/>
          <w:sz w:val="17"/>
          <w:szCs w:val="17"/>
          <w:color w:val="auto"/>
        </w:rPr>
      </w:pPr>
    </w:p>
    <w:p>
      <w:pPr>
        <w:ind w:left="1120" w:right="240" w:hanging="492"/>
        <w:spacing w:after="0" w:line="248" w:lineRule="auto"/>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120" w:right="20" w:hanging="492"/>
        <w:spacing w:after="0" w:line="269" w:lineRule="auto"/>
        <w:tabs>
          <w:tab w:leader="none" w:pos="11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debt extinguishment costs related to the repayment of the $450.0 million term loan payable pursuant to credit agreement entered into in July 16, 2019 (the “2019 Term Loan”) and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620"/>
          </w:cols>
          <w:pgMar w:left="320" w:top="440" w:right="9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RISK FACTORS</w:t>
      </w:r>
    </w:p>
    <w:p>
      <w:pPr>
        <w:spacing w:after="0" w:line="214"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2" w:lineRule="exact"/>
        <w:rPr>
          <w:sz w:val="20"/>
          <w:szCs w:val="20"/>
          <w:color w:val="auto"/>
        </w:rPr>
      </w:pPr>
    </w:p>
    <w:p>
      <w:pPr>
        <w:ind w:left="460" w:right="80"/>
        <w:spacing w:after="0" w:line="303" w:lineRule="auto"/>
        <w:rPr>
          <w:sz w:val="20"/>
          <w:szCs w:val="20"/>
          <w:color w:val="auto"/>
        </w:rPr>
      </w:pPr>
      <w:r>
        <w:rPr>
          <w:rFonts w:ascii="Arial" w:cs="Arial" w:eastAsia="Arial" w:hAnsi="Arial"/>
          <w:sz w:val="16"/>
          <w:szCs w:val="16"/>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42" w:lineRule="exact"/>
        <w:rPr>
          <w:sz w:val="20"/>
          <w:szCs w:val="20"/>
          <w:color w:val="auto"/>
        </w:rPr>
      </w:pPr>
    </w:p>
    <w:p>
      <w:pPr>
        <w:ind w:left="460" w:right="120" w:firstLine="413"/>
        <w:spacing w:after="0" w:line="274" w:lineRule="auto"/>
        <w:rPr>
          <w:sz w:val="20"/>
          <w:szCs w:val="20"/>
          <w:color w:val="auto"/>
        </w:rPr>
      </w:pPr>
      <w:r>
        <w:rPr>
          <w:rFonts w:ascii="Arial" w:cs="Arial" w:eastAsia="Arial" w:hAnsi="Arial"/>
          <w:sz w:val="16"/>
          <w:szCs w:val="16"/>
          <w:color w:val="auto"/>
        </w:rPr>
        <w:t>For the year ended December 31, 2020 and the nine months ended September 30, 2021,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65"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7" w:lineRule="exact"/>
        <w:rPr>
          <w:sz w:val="20"/>
          <w:szCs w:val="20"/>
          <w:color w:val="auto"/>
        </w:rPr>
      </w:pPr>
    </w:p>
    <w:p>
      <w:pPr>
        <w:ind w:left="1360" w:right="420" w:hanging="498"/>
        <w:spacing w:after="0" w:line="272" w:lineRule="auto"/>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awareness and acceptance of the healthcare commercial intelligence platform category generally, and the growth and evolution of the category and our addressable market;</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 platform;</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pricing;</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performance, features and user experience, and the development and acceptance of new features, integrations and capabilities;</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ability to consistently procure high-quality and useful data;</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level of customer support we provide;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accessibility across several operating system and applications;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integration with workflow insights and technologies.</w:t>
      </w:r>
    </w:p>
    <w:p>
      <w:pPr>
        <w:spacing w:after="0" w:line="210" w:lineRule="exact"/>
        <w:rPr>
          <w:sz w:val="20"/>
          <w:szCs w:val="20"/>
          <w:color w:val="auto"/>
        </w:rPr>
      </w:pPr>
    </w:p>
    <w:p>
      <w:pPr>
        <w:ind w:left="460" w:right="240" w:firstLine="413"/>
        <w:spacing w:after="0" w:line="260" w:lineRule="auto"/>
        <w:rPr>
          <w:sz w:val="20"/>
          <w:szCs w:val="20"/>
          <w:color w:val="auto"/>
        </w:rPr>
      </w:pPr>
      <w:r>
        <w:rPr>
          <w:rFonts w:ascii="Arial" w:cs="Arial" w:eastAsia="Arial" w:hAnsi="Arial"/>
          <w:sz w:val="17"/>
          <w:szCs w:val="17"/>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780"/>
          </w:cols>
          <w:pgMar w:left="320" w:top="440" w:right="79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60"/>
        <w:spacing w:after="0" w:line="272" w:lineRule="auto"/>
        <w:rPr>
          <w:sz w:val="20"/>
          <w:szCs w:val="20"/>
          <w:color w:val="auto"/>
        </w:rPr>
      </w:pPr>
      <w:r>
        <w:rPr>
          <w:rFonts w:ascii="Arial" w:cs="Arial" w:eastAsia="Arial" w:hAnsi="Arial"/>
          <w:sz w:val="17"/>
          <w:szCs w:val="17"/>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3" w:lineRule="exact"/>
        <w:rPr>
          <w:sz w:val="20"/>
          <w:szCs w:val="20"/>
          <w:color w:val="auto"/>
        </w:rPr>
      </w:pPr>
    </w:p>
    <w:p>
      <w:pPr>
        <w:ind w:left="460" w:right="60" w:firstLine="413"/>
        <w:spacing w:after="0" w:line="287" w:lineRule="auto"/>
        <w:rPr>
          <w:sz w:val="20"/>
          <w:szCs w:val="20"/>
          <w:color w:val="auto"/>
        </w:rPr>
      </w:pPr>
      <w:r>
        <w:rPr>
          <w:rFonts w:ascii="Arial" w:cs="Arial" w:eastAsia="Arial" w:hAnsi="Arial"/>
          <w:sz w:val="15"/>
          <w:szCs w:val="15"/>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fail to respond to advances in healthcare commercial intelligence, competitors could surpass the depth, breadth or accuracy of our platform.</w:t>
      </w:r>
    </w:p>
    <w:p>
      <w:pPr>
        <w:spacing w:after="0" w:line="143"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platform.</w:t>
      </w:r>
    </w:p>
    <w:p>
      <w:pPr>
        <w:spacing w:after="0" w:line="131" w:lineRule="exact"/>
        <w:rPr>
          <w:sz w:val="20"/>
          <w:szCs w:val="20"/>
          <w:color w:val="auto"/>
        </w:rPr>
      </w:pPr>
    </w:p>
    <w:p>
      <w:pPr>
        <w:ind w:left="460" w:right="100" w:firstLine="413"/>
        <w:spacing w:after="0" w:line="268" w:lineRule="auto"/>
        <w:rPr>
          <w:sz w:val="20"/>
          <w:szCs w:val="20"/>
          <w:color w:val="auto"/>
        </w:rPr>
      </w:pPr>
      <w:r>
        <w:rPr>
          <w:rFonts w:ascii="Arial" w:cs="Arial" w:eastAsia="Arial" w:hAnsi="Arial"/>
          <w:sz w:val="16"/>
          <w:szCs w:val="16"/>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780"/>
          </w:cols>
          <w:pgMar w:left="320" w:top="440" w:right="7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have experienced rapid growth in recent periods, and our recent growth rates may not be indicative of our future growth.</w:t>
      </w:r>
    </w:p>
    <w:p>
      <w:pPr>
        <w:spacing w:after="0" w:line="108" w:lineRule="exact"/>
        <w:rPr>
          <w:sz w:val="20"/>
          <w:szCs w:val="20"/>
          <w:color w:val="auto"/>
        </w:rPr>
      </w:pPr>
    </w:p>
    <w:p>
      <w:pPr>
        <w:ind w:left="460" w:right="140" w:firstLine="413"/>
        <w:spacing w:after="0" w:line="291" w:lineRule="auto"/>
        <w:rPr>
          <w:sz w:val="20"/>
          <w:szCs w:val="20"/>
          <w:color w:val="auto"/>
        </w:rPr>
      </w:pPr>
      <w:r>
        <w:rPr>
          <w:rFonts w:ascii="Arial" w:cs="Arial" w:eastAsia="Arial" w:hAnsi="Arial"/>
          <w:sz w:val="15"/>
          <w:szCs w:val="15"/>
          <w:color w:val="auto"/>
        </w:rPr>
        <w:t>We have experienced rapid organic and acquisition-driven growth in recent periods. For the year ended December 31, 2020, our revenue was $118.3 million, an increase of 38% as compared to our revenue of $85.5 million for the year ended December 31, 2019. For the nine months ended September 30, 2021, our revenue was $119.8 million, an increase of 41% as compared to our revenue of $84.7 million for the nine months ended September 30, 2020. We cannot guarantee that we will sustain our recent revenue growth rate in future periods. Further, as we operate in a new and rapidly changing market, widespread acceptance and use of our platform is critical to our future growth and success. Our revenue growth may slow or our revenue may decline for a number of other reasons, including reduced demand for our platform, increased competition, a decrease in the growth or reduction in size of our overall market, the impacts to our business from the COVID-19 pandemic, or if we cannot capitalize on growth opportunities.</w:t>
      </w:r>
    </w:p>
    <w:p>
      <w:pPr>
        <w:spacing w:after="0" w:line="157"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achieve or sustain profitability in the future compared to historical levels as we increase investments in our business.</w:t>
      </w:r>
    </w:p>
    <w:p>
      <w:pPr>
        <w:spacing w:after="0" w:line="120"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We have incurred operating losses in the past and may continue to incur net losses in the future. For the year ended December 31, 2020, we had a net loss of $51.2 million, compared to a net loss of $36.4 million for the year ended December 31, 2019. For the nine months ended September 30, 2021, we had a net loss of $46.5 million, compared to a net loss of $35.3 million for the nine months ended September 30, 2020.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63" w:lineRule="exact"/>
        <w:rPr>
          <w:sz w:val="20"/>
          <w:szCs w:val="20"/>
          <w:color w:val="auto"/>
        </w:rPr>
      </w:pPr>
    </w:p>
    <w:p>
      <w:pPr>
        <w:ind w:left="460" w:right="640"/>
        <w:spacing w:after="0" w:line="272" w:lineRule="auto"/>
        <w:rPr>
          <w:sz w:val="20"/>
          <w:szCs w:val="20"/>
          <w:color w:val="auto"/>
        </w:rPr>
      </w:pPr>
      <w:r>
        <w:rPr>
          <w:rFonts w:ascii="Arial" w:cs="Arial" w:eastAsia="Arial" w:hAnsi="Arial"/>
          <w:sz w:val="17"/>
          <w:szCs w:val="17"/>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3" w:lineRule="exact"/>
        <w:rPr>
          <w:sz w:val="20"/>
          <w:szCs w:val="20"/>
          <w:color w:val="auto"/>
        </w:rPr>
      </w:pPr>
    </w:p>
    <w:p>
      <w:pPr>
        <w:ind w:left="460" w:right="160" w:firstLine="413"/>
        <w:spacing w:after="0" w:line="311" w:lineRule="auto"/>
        <w:rPr>
          <w:sz w:val="20"/>
          <w:szCs w:val="20"/>
          <w:color w:val="auto"/>
        </w:rPr>
      </w:pPr>
      <w:r>
        <w:rPr>
          <w:rFonts w:ascii="Arial" w:cs="Arial" w:eastAsia="Arial" w:hAnsi="Arial"/>
          <w:sz w:val="15"/>
          <w:szCs w:val="15"/>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780"/>
          </w:cols>
          <w:pgMar w:left="320" w:top="440" w:right="7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89" w:lineRule="auto"/>
        <w:rPr>
          <w:sz w:val="20"/>
          <w:szCs w:val="20"/>
          <w:color w:val="auto"/>
        </w:rPr>
      </w:pPr>
      <w:r>
        <w:rPr>
          <w:rFonts w:ascii="Arial" w:cs="Arial" w:eastAsia="Arial" w:hAnsi="Arial"/>
          <w:sz w:val="15"/>
          <w:szCs w:val="15"/>
          <w:color w:val="auto"/>
        </w:rPr>
        <w:t>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58" w:lineRule="exact"/>
        <w:rPr>
          <w:sz w:val="20"/>
          <w:szCs w:val="20"/>
          <w:color w:val="auto"/>
        </w:rPr>
      </w:pPr>
    </w:p>
    <w:p>
      <w:pPr>
        <w:ind w:left="460" w:right="60"/>
        <w:spacing w:after="0" w:line="277" w:lineRule="auto"/>
        <w:rPr>
          <w:sz w:val="20"/>
          <w:szCs w:val="20"/>
          <w:color w:val="auto"/>
        </w:rPr>
      </w:pPr>
      <w:r>
        <w:rPr>
          <w:rFonts w:ascii="Arial" w:cs="Arial" w:eastAsia="Arial" w:hAnsi="Arial"/>
          <w:sz w:val="16"/>
          <w:szCs w:val="16"/>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2" w:lineRule="exact"/>
        <w:rPr>
          <w:sz w:val="20"/>
          <w:szCs w:val="20"/>
          <w:color w:val="auto"/>
        </w:rPr>
      </w:pPr>
    </w:p>
    <w:p>
      <w:pPr>
        <w:ind w:left="460" w:right="100" w:firstLine="413"/>
        <w:spacing w:after="0" w:line="287" w:lineRule="auto"/>
        <w:rPr>
          <w:sz w:val="20"/>
          <w:szCs w:val="20"/>
          <w:color w:val="auto"/>
        </w:rPr>
      </w:pPr>
      <w:r>
        <w:rPr>
          <w:rFonts w:ascii="Arial" w:cs="Arial" w:eastAsia="Arial" w:hAnsi="Arial"/>
          <w:sz w:val="15"/>
          <w:szCs w:val="15"/>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59" w:lineRule="exact"/>
        <w:rPr>
          <w:sz w:val="20"/>
          <w:szCs w:val="20"/>
          <w:color w:val="auto"/>
        </w:rPr>
      </w:pPr>
    </w:p>
    <w:p>
      <w:pPr>
        <w:ind w:left="460" w:right="80" w:firstLine="413"/>
        <w:spacing w:after="0" w:line="301" w:lineRule="auto"/>
        <w:rPr>
          <w:sz w:val="20"/>
          <w:szCs w:val="20"/>
          <w:color w:val="auto"/>
        </w:rPr>
      </w:pPr>
      <w:r>
        <w:rPr>
          <w:rFonts w:ascii="Arial" w:cs="Arial" w:eastAsia="Arial" w:hAnsi="Arial"/>
          <w:sz w:val="15"/>
          <w:szCs w:val="15"/>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49" w:lineRule="exact"/>
        <w:rPr>
          <w:sz w:val="20"/>
          <w:szCs w:val="20"/>
          <w:color w:val="auto"/>
        </w:rPr>
      </w:pPr>
    </w:p>
    <w:p>
      <w:pPr>
        <w:ind w:left="460" w:right="260"/>
        <w:spacing w:after="0" w:line="272" w:lineRule="auto"/>
        <w:rPr>
          <w:sz w:val="20"/>
          <w:szCs w:val="20"/>
          <w:color w:val="auto"/>
        </w:rPr>
      </w:pPr>
      <w:r>
        <w:rPr>
          <w:rFonts w:ascii="Arial" w:cs="Arial" w:eastAsia="Arial" w:hAnsi="Arial"/>
          <w:sz w:val="17"/>
          <w:szCs w:val="17"/>
          <w:b w:val="1"/>
          <w:bCs w:val="1"/>
          <w:i w:val="1"/>
          <w:iCs w:val="1"/>
          <w:color w:val="auto"/>
        </w:rPr>
        <w:t>If we are unable to attract new customers and expand subscriptions of current customers, our revenue growth and financial performance will be negatively impacted.</w:t>
      </w:r>
    </w:p>
    <w:p>
      <w:pPr>
        <w:spacing w:after="0" w:line="63"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760"/>
          </w:cols>
          <w:pgMar w:left="320" w:top="440" w:right="81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91" w:lineRule="auto"/>
        <w:rPr>
          <w:sz w:val="20"/>
          <w:szCs w:val="20"/>
          <w:color w:val="auto"/>
        </w:rPr>
      </w:pPr>
      <w:r>
        <w:rPr>
          <w:rFonts w:ascii="Arial" w:cs="Arial" w:eastAsia="Arial" w:hAnsi="Arial"/>
          <w:sz w:val="15"/>
          <w:szCs w:val="15"/>
          <w:color w:val="auto"/>
        </w:rPr>
        <w:t>existing customers. We do not know whether we will continue to achieve similar customer acquisition, retention and subscription growth rates in future periods as we have in the past. Numerous factors may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57"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60"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b w:val="1"/>
          <w:bCs w:val="1"/>
          <w:i w:val="1"/>
          <w:iCs w:val="1"/>
          <w:color w:val="auto"/>
        </w:rPr>
        <w:t>We may fail to offer the optimal pricing and packaging of our solutions, which could negatively impact our growth strategy and ability to effectively compete in the market.</w:t>
      </w:r>
    </w:p>
    <w:p>
      <w:pPr>
        <w:spacing w:after="0" w:line="63"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69" w:lineRule="exact"/>
        <w:rPr>
          <w:sz w:val="20"/>
          <w:szCs w:val="20"/>
          <w:color w:val="auto"/>
        </w:rPr>
      </w:pPr>
    </w:p>
    <w:p>
      <w:pPr>
        <w:ind w:left="460" w:right="40"/>
        <w:spacing w:after="0" w:line="311" w:lineRule="auto"/>
        <w:rPr>
          <w:sz w:val="20"/>
          <w:szCs w:val="20"/>
          <w:color w:val="auto"/>
        </w:rPr>
      </w:pPr>
      <w:r>
        <w:rPr>
          <w:rFonts w:ascii="Arial" w:cs="Arial" w:eastAsia="Arial" w:hAnsi="Arial"/>
          <w:sz w:val="15"/>
          <w:szCs w:val="15"/>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39" w:lineRule="exact"/>
        <w:rPr>
          <w:sz w:val="20"/>
          <w:szCs w:val="20"/>
          <w:color w:val="auto"/>
        </w:rPr>
      </w:pPr>
    </w:p>
    <w:p>
      <w:pPr>
        <w:ind w:left="460" w:right="460" w:firstLine="413"/>
        <w:spacing w:after="0" w:line="311" w:lineRule="auto"/>
        <w:rPr>
          <w:sz w:val="20"/>
          <w:szCs w:val="20"/>
          <w:color w:val="auto"/>
        </w:rPr>
      </w:pPr>
      <w:r>
        <w:rPr>
          <w:rFonts w:ascii="Arial" w:cs="Arial" w:eastAsia="Arial" w:hAnsi="Arial"/>
          <w:sz w:val="15"/>
          <w:szCs w:val="15"/>
          <w:color w:val="auto"/>
        </w:rPr>
        <w:t>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w:t>
      </w:r>
    </w:p>
    <w:p>
      <w:pPr>
        <w:spacing w:after="0" w:line="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780"/>
          </w:cols>
          <w:pgMar w:left="320" w:top="440" w:right="79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20"/>
        <w:spacing w:after="0" w:line="296" w:lineRule="auto"/>
        <w:rPr>
          <w:sz w:val="20"/>
          <w:szCs w:val="20"/>
          <w:color w:val="auto"/>
        </w:rPr>
      </w:pPr>
      <w:r>
        <w:rPr>
          <w:rFonts w:ascii="Arial" w:cs="Arial" w:eastAsia="Arial" w:hAnsi="Arial"/>
          <w:sz w:val="15"/>
          <w:szCs w:val="15"/>
          <w:color w:val="auto"/>
        </w:rPr>
        <w:t>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fail to offer high-quality customer experience, our business and reputation will suffer.</w:t>
      </w:r>
    </w:p>
    <w:p>
      <w:pPr>
        <w:spacing w:after="0" w:line="108"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78" w:lineRule="exact"/>
        <w:rPr>
          <w:sz w:val="20"/>
          <w:szCs w:val="20"/>
          <w:color w:val="auto"/>
        </w:rPr>
      </w:pPr>
    </w:p>
    <w:p>
      <w:pPr>
        <w:ind w:left="460" w:right="140" w:firstLine="413"/>
        <w:spacing w:after="0" w:line="284" w:lineRule="auto"/>
        <w:rPr>
          <w:sz w:val="20"/>
          <w:szCs w:val="20"/>
          <w:color w:val="auto"/>
        </w:rPr>
      </w:pPr>
      <w:r>
        <w:rPr>
          <w:rFonts w:ascii="Arial" w:cs="Arial" w:eastAsia="Arial" w:hAnsi="Arial"/>
          <w:sz w:val="16"/>
          <w:szCs w:val="16"/>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59"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3"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70"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780"/>
          </w:cols>
          <w:pgMar w:left="320" w:top="440" w:right="7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20"/>
        <w:spacing w:after="0" w:line="260" w:lineRule="auto"/>
        <w:rPr>
          <w:sz w:val="20"/>
          <w:szCs w:val="20"/>
          <w:color w:val="auto"/>
        </w:rPr>
      </w:pPr>
      <w:r>
        <w:rPr>
          <w:rFonts w:ascii="Arial" w:cs="Arial" w:eastAsia="Arial" w:hAnsi="Arial"/>
          <w:sz w:val="17"/>
          <w:szCs w:val="17"/>
          <w:color w:val="auto"/>
        </w:rPr>
        <w:t>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76"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3"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64" w:lineRule="exact"/>
        <w:rPr>
          <w:sz w:val="20"/>
          <w:szCs w:val="20"/>
          <w:color w:val="auto"/>
        </w:rPr>
      </w:pPr>
    </w:p>
    <w:p>
      <w:pPr>
        <w:ind w:left="460" w:right="20" w:firstLine="413"/>
        <w:spacing w:after="0" w:line="284" w:lineRule="auto"/>
        <w:rPr>
          <w:sz w:val="20"/>
          <w:szCs w:val="20"/>
          <w:color w:val="auto"/>
        </w:rPr>
      </w:pPr>
      <w:r>
        <w:rPr>
          <w:rFonts w:ascii="Arial" w:cs="Arial" w:eastAsia="Arial" w:hAnsi="Arial"/>
          <w:sz w:val="16"/>
          <w:szCs w:val="16"/>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57"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1"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6"/>
          <w:szCs w:val="16"/>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67"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80" w:lineRule="exact"/>
        <w:rPr>
          <w:sz w:val="20"/>
          <w:szCs w:val="20"/>
          <w:color w:val="auto"/>
        </w:rPr>
      </w:pPr>
    </w:p>
    <w:p>
      <w:pPr>
        <w:ind w:left="460" w:right="240"/>
        <w:spacing w:after="0" w:line="260" w:lineRule="auto"/>
        <w:rPr>
          <w:sz w:val="20"/>
          <w:szCs w:val="20"/>
          <w:color w:val="auto"/>
        </w:rPr>
      </w:pPr>
      <w:r>
        <w:rPr>
          <w:rFonts w:ascii="Arial" w:cs="Arial" w:eastAsia="Arial" w:hAnsi="Arial"/>
          <w:sz w:val="17"/>
          <w:szCs w:val="17"/>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4"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 through the integration process which can take time and significant resources. As a Swedish company, Monocl</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780"/>
          </w:cols>
          <w:pgMar w:left="320" w:top="440" w:right="7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56" w:lineRule="auto"/>
        <w:rPr>
          <w:sz w:val="20"/>
          <w:szCs w:val="20"/>
          <w:color w:val="auto"/>
        </w:rPr>
      </w:pPr>
      <w:r>
        <w:rPr>
          <w:rFonts w:ascii="Arial" w:cs="Arial" w:eastAsia="Arial" w:hAnsi="Arial"/>
          <w:sz w:val="17"/>
          <w:szCs w:val="17"/>
          <w:color w:val="auto"/>
        </w:rPr>
        <w:t>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79"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67"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Acquisitions and other transactions, arrangements and investments involve numerous risks and could create unforeseen operating difficulties and expenditures, including:</w:t>
      </w:r>
    </w:p>
    <w:p>
      <w:pPr>
        <w:spacing w:after="0" w:line="76" w:lineRule="exact"/>
        <w:rPr>
          <w:sz w:val="20"/>
          <w:szCs w:val="20"/>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potential failure to achieve the expected benefits on a timely basis or at all;</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difficulties in, and the cost of, integrating operations, technologies, solutions and platforms;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diversion of financial and managerial resources from existing operations;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potential entry into new markets in which we have little or no experience or where competitors may have stronger market positions;</w:t>
      </w:r>
    </w:p>
    <w:p>
      <w:pPr>
        <w:spacing w:after="0" w:line="144" w:lineRule="exact"/>
        <w:rPr>
          <w:rFonts w:ascii="Arial" w:cs="Arial" w:eastAsia="Arial" w:hAnsi="Arial"/>
          <w:sz w:val="15"/>
          <w:szCs w:val="15"/>
          <w:color w:val="auto"/>
        </w:rPr>
      </w:pPr>
    </w:p>
    <w:p>
      <w:pPr>
        <w:ind w:left="1360" w:hanging="498"/>
        <w:spacing w:after="0"/>
        <w:tabs>
          <w:tab w:leader="none" w:pos="1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potential write-offs of acquired assets or investments and potential financial and credit risks associated with acquired customers;</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differences between our values and those of our acquired companies;</w:t>
      </w:r>
    </w:p>
    <w:p>
      <w:pPr>
        <w:spacing w:after="0" w:line="121" w:lineRule="exact"/>
        <w:rPr>
          <w:rFonts w:ascii="Arial" w:cs="Arial" w:eastAsia="Arial" w:hAnsi="Arial"/>
          <w:sz w:val="17"/>
          <w:szCs w:val="17"/>
          <w:color w:val="auto"/>
        </w:rPr>
      </w:pPr>
    </w:p>
    <w:p>
      <w:pPr>
        <w:ind w:left="1360" w:right="520" w:hanging="498"/>
        <w:spacing w:after="0" w:line="272" w:lineRule="auto"/>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difficulties in, and financial costs of, addressing acquired compensation structures inconsistent with our compensation structure;</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inability to maintain, or changes in, relationships with customers and partners of the acquired business;</w:t>
      </w:r>
    </w:p>
    <w:p>
      <w:pPr>
        <w:spacing w:after="0" w:line="121" w:lineRule="exact"/>
        <w:rPr>
          <w:rFonts w:ascii="Arial" w:cs="Arial" w:eastAsia="Arial" w:hAnsi="Arial"/>
          <w:sz w:val="17"/>
          <w:szCs w:val="17"/>
          <w:color w:val="auto"/>
        </w:rPr>
      </w:pPr>
    </w:p>
    <w:p>
      <w:pPr>
        <w:jc w:val="both"/>
        <w:ind w:left="1360" w:right="400" w:hanging="498"/>
        <w:spacing w:after="0" w:line="340" w:lineRule="auto"/>
        <w:tabs>
          <w:tab w:leader="none" w:pos="13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30" w:lineRule="exact"/>
        <w:rPr>
          <w:rFonts w:ascii="Arial" w:cs="Arial" w:eastAsia="Arial" w:hAnsi="Arial"/>
          <w:sz w:val="15"/>
          <w:szCs w:val="15"/>
          <w:color w:val="auto"/>
        </w:rPr>
      </w:pPr>
    </w:p>
    <w:p>
      <w:pPr>
        <w:ind w:left="1360" w:right="120" w:hanging="498"/>
        <w:spacing w:after="0" w:line="272" w:lineRule="auto"/>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difficulty with, and costs related to, transitioning the acquired technology onto our existing platform and customer acceptance of a new or changed platform on a temporary or permanent basis;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augmenting the acquired technologies and platforms to the levels that are consistent with our brand and reputation;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potential for acquired platforms to impact the financial performance of existing platform;</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increasing or maintaining the security standards for acquired technology consistent with our platform;</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potential unknown liabilities associated with the acquired businesses, including risks associated with acquired technologies;</w:t>
      </w:r>
    </w:p>
    <w:p>
      <w:pPr>
        <w:spacing w:after="0" w:line="121" w:lineRule="exact"/>
        <w:rPr>
          <w:rFonts w:ascii="Arial" w:cs="Arial" w:eastAsia="Arial" w:hAnsi="Arial"/>
          <w:sz w:val="17"/>
          <w:szCs w:val="17"/>
          <w:color w:val="auto"/>
        </w:rPr>
      </w:pPr>
    </w:p>
    <w:p>
      <w:pPr>
        <w:ind w:left="1360" w:right="200" w:hanging="498"/>
        <w:spacing w:after="0" w:line="272" w:lineRule="auto"/>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challenges relating to the structure of an investment, such as governance, accountability and decision- making conflicts that may arise in the context of a joint venture or other majority ownership investments;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780"/>
          </w:cols>
          <w:pgMar w:left="320" w:top="440" w:right="7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hanging="498"/>
        <w:spacing w:after="0" w:line="272" w:lineRule="auto"/>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material adverse effect on our results of operations because of the depreciation and amortization of amounts related to acquired intangible assets, fixed assets and deferred compensation;</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additional stock-based compensation;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loss of acquired unearned revenue and unbilled unearned revenue;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delays in customer purchases due to uncertainty related to any acquisition;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ineffective or inadequate controls, procedures and policies at the acquired company;</w:t>
      </w:r>
    </w:p>
    <w:p>
      <w:pPr>
        <w:spacing w:after="0" w:line="121" w:lineRule="exact"/>
        <w:rPr>
          <w:rFonts w:ascii="Arial" w:cs="Arial" w:eastAsia="Arial" w:hAnsi="Arial"/>
          <w:sz w:val="17"/>
          <w:szCs w:val="17"/>
          <w:color w:val="auto"/>
        </w:rPr>
      </w:pPr>
    </w:p>
    <w:p>
      <w:pPr>
        <w:ind w:left="1360" w:right="180" w:hanging="498"/>
        <w:spacing w:after="0" w:line="272" w:lineRule="auto"/>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case of foreign acquisitions, challenges caused by integrating operations over distance and across different languages, cultures and political environments;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currency and regulatory risks and potential additional cybersecurity and compliance risks resulting from entry into new markets;</w:t>
      </w:r>
    </w:p>
    <w:p>
      <w:pPr>
        <w:spacing w:after="0" w:line="132" w:lineRule="exact"/>
        <w:rPr>
          <w:rFonts w:ascii="Arial" w:cs="Arial" w:eastAsia="Arial" w:hAnsi="Arial"/>
          <w:sz w:val="16"/>
          <w:szCs w:val="16"/>
          <w:color w:val="auto"/>
        </w:rPr>
      </w:pPr>
    </w:p>
    <w:p>
      <w:pPr>
        <w:ind w:left="1360" w:right="220" w:hanging="498"/>
        <w:spacing w:after="0" w:line="272" w:lineRule="auto"/>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tax effects and costs of any such acquisitions, including the related integration into our tax structure and assessment of the impact on the realizability of our future tax assets or liabilities; and</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potential challenges by governmental authorities, including the U.S. Department of Justice, for anti- competitive or other reasons.</w:t>
      </w:r>
    </w:p>
    <w:p>
      <w:pPr>
        <w:spacing w:after="0" w:line="221"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67" w:lineRule="exact"/>
        <w:rPr>
          <w:sz w:val="20"/>
          <w:szCs w:val="20"/>
          <w:color w:val="auto"/>
        </w:rPr>
      </w:pPr>
    </w:p>
    <w:p>
      <w:pPr>
        <w:ind w:left="460" w:right="300"/>
        <w:spacing w:after="0" w:line="272" w:lineRule="auto"/>
        <w:rPr>
          <w:sz w:val="20"/>
          <w:szCs w:val="20"/>
          <w:color w:val="auto"/>
        </w:rPr>
      </w:pPr>
      <w:r>
        <w:rPr>
          <w:rFonts w:ascii="Arial" w:cs="Arial" w:eastAsia="Arial" w:hAnsi="Arial"/>
          <w:sz w:val="17"/>
          <w:szCs w:val="17"/>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3" w:lineRule="exact"/>
        <w:rPr>
          <w:sz w:val="20"/>
          <w:szCs w:val="20"/>
          <w:color w:val="auto"/>
        </w:rPr>
      </w:pPr>
    </w:p>
    <w:p>
      <w:pPr>
        <w:ind w:left="460" w:right="80" w:firstLine="413"/>
        <w:spacing w:after="0" w:line="268" w:lineRule="auto"/>
        <w:rPr>
          <w:sz w:val="20"/>
          <w:szCs w:val="20"/>
          <w:color w:val="auto"/>
        </w:rPr>
      </w:pPr>
      <w:r>
        <w:rPr>
          <w:rFonts w:ascii="Arial" w:cs="Arial" w:eastAsia="Arial" w:hAnsi="Arial"/>
          <w:sz w:val="16"/>
          <w:szCs w:val="16"/>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380 employees in 2019 and over 480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71"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780"/>
          </w:cols>
          <w:pgMar w:left="320" w:top="440" w:right="7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79"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67" w:lineRule="exact"/>
        <w:rPr>
          <w:sz w:val="20"/>
          <w:szCs w:val="20"/>
          <w:color w:val="auto"/>
        </w:rPr>
      </w:pPr>
    </w:p>
    <w:p>
      <w:pPr>
        <w:ind w:left="460" w:right="280"/>
        <w:spacing w:after="0" w:line="340" w:lineRule="auto"/>
        <w:rPr>
          <w:sz w:val="20"/>
          <w:szCs w:val="20"/>
          <w:color w:val="auto"/>
        </w:rPr>
      </w:pPr>
      <w:r>
        <w:rPr>
          <w:rFonts w:ascii="Arial" w:cs="Arial" w:eastAsia="Arial" w:hAnsi="Arial"/>
          <w:sz w:val="15"/>
          <w:szCs w:val="15"/>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8"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82"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79" w:lineRule="exact"/>
        <w:rPr>
          <w:sz w:val="20"/>
          <w:szCs w:val="20"/>
          <w:color w:val="auto"/>
        </w:rPr>
      </w:pPr>
    </w:p>
    <w:p>
      <w:pPr>
        <w:ind w:left="460" w:right="60" w:firstLine="413"/>
        <w:spacing w:after="0" w:line="291" w:lineRule="auto"/>
        <w:rPr>
          <w:sz w:val="20"/>
          <w:szCs w:val="20"/>
          <w:color w:val="auto"/>
        </w:rPr>
      </w:pPr>
      <w:r>
        <w:rPr>
          <w:rFonts w:ascii="Arial" w:cs="Arial" w:eastAsia="Arial" w:hAnsi="Arial"/>
          <w:sz w:val="15"/>
          <w:szCs w:val="15"/>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57"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760"/>
          </w:cols>
          <w:pgMar w:left="320" w:top="440" w:right="8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100" w:firstLine="413"/>
        <w:spacing w:after="0" w:line="260" w:lineRule="auto"/>
        <w:rPr>
          <w:sz w:val="20"/>
          <w:szCs w:val="20"/>
          <w:color w:val="auto"/>
        </w:rPr>
      </w:pPr>
      <w:r>
        <w:rPr>
          <w:rFonts w:ascii="Arial" w:cs="Arial" w:eastAsia="Arial" w:hAnsi="Arial"/>
          <w:sz w:val="17"/>
          <w:szCs w:val="17"/>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fail to protect and maintain our brand, our ability to attract and retain customers will be impaired, our reputation may be harmed.</w:t>
      </w:r>
    </w:p>
    <w:p>
      <w:pPr>
        <w:spacing w:after="0" w:line="120" w:lineRule="exact"/>
        <w:rPr>
          <w:sz w:val="20"/>
          <w:szCs w:val="20"/>
          <w:color w:val="auto"/>
        </w:rPr>
      </w:pPr>
    </w:p>
    <w:p>
      <w:pPr>
        <w:ind w:left="460" w:right="60" w:firstLine="413"/>
        <w:spacing w:after="0" w:line="277" w:lineRule="auto"/>
        <w:rPr>
          <w:sz w:val="20"/>
          <w:szCs w:val="20"/>
          <w:color w:val="auto"/>
        </w:rPr>
      </w:pPr>
      <w:r>
        <w:rPr>
          <w:rFonts w:ascii="Arial" w:cs="Arial" w:eastAsia="Arial" w:hAnsi="Arial"/>
          <w:sz w:val="16"/>
          <w:szCs w:val="16"/>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64" w:lineRule="exact"/>
        <w:rPr>
          <w:sz w:val="20"/>
          <w:szCs w:val="20"/>
          <w:color w:val="auto"/>
        </w:rPr>
      </w:pPr>
    </w:p>
    <w:p>
      <w:pPr>
        <w:jc w:val="both"/>
        <w:ind w:left="460" w:right="160" w:firstLine="413"/>
        <w:spacing w:after="0" w:line="277" w:lineRule="auto"/>
        <w:rPr>
          <w:sz w:val="20"/>
          <w:szCs w:val="20"/>
          <w:color w:val="auto"/>
        </w:rPr>
      </w:pPr>
      <w:r>
        <w:rPr>
          <w:rFonts w:ascii="Arial" w:cs="Arial" w:eastAsia="Arial" w:hAnsi="Arial"/>
          <w:sz w:val="16"/>
          <w:szCs w:val="16"/>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65" w:lineRule="exact"/>
        <w:rPr>
          <w:sz w:val="20"/>
          <w:szCs w:val="20"/>
          <w:color w:val="auto"/>
        </w:rPr>
      </w:pPr>
    </w:p>
    <w:p>
      <w:pPr>
        <w:ind w:left="460" w:right="200"/>
        <w:spacing w:after="0" w:line="377" w:lineRule="auto"/>
        <w:rPr>
          <w:sz w:val="20"/>
          <w:szCs w:val="20"/>
          <w:color w:val="auto"/>
        </w:rPr>
      </w:pPr>
      <w:r>
        <w:rPr>
          <w:rFonts w:ascii="Arial" w:cs="Arial" w:eastAsia="Arial" w:hAnsi="Arial"/>
          <w:sz w:val="14"/>
          <w:szCs w:val="14"/>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Demand for our solutions could be affected by factors that affect the healthcare ecosystem, including:</w:t>
      </w:r>
    </w:p>
    <w:p>
      <w:pPr>
        <w:spacing w:after="0" w:line="121" w:lineRule="exact"/>
        <w:rPr>
          <w:sz w:val="20"/>
          <w:szCs w:val="20"/>
          <w:color w:val="auto"/>
        </w:rPr>
      </w:pPr>
    </w:p>
    <w:p>
      <w:pPr>
        <w:ind w:left="1360" w:right="220" w:hanging="498"/>
        <w:spacing w:after="0" w:line="311" w:lineRule="auto"/>
        <w:tabs>
          <w:tab w:leader="none" w:pos="13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1" w:lineRule="exact"/>
        <w:rPr>
          <w:rFonts w:ascii="Arial" w:cs="Arial" w:eastAsia="Arial" w:hAnsi="Arial"/>
          <w:sz w:val="15"/>
          <w:szCs w:val="15"/>
          <w:color w:val="auto"/>
        </w:rPr>
      </w:pPr>
    </w:p>
    <w:p>
      <w:pPr>
        <w:ind w:left="1360" w:hanging="498"/>
        <w:spacing w:after="0" w:line="268" w:lineRule="auto"/>
        <w:tabs>
          <w:tab w:leader="none" w:pos="1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85" w:lineRule="exact"/>
        <w:rPr>
          <w:rFonts w:ascii="Arial" w:cs="Arial" w:eastAsia="Arial" w:hAnsi="Arial"/>
          <w:sz w:val="16"/>
          <w:szCs w:val="16"/>
          <w:color w:val="auto"/>
        </w:rPr>
      </w:pPr>
    </w:p>
    <w:p>
      <w:pPr>
        <w:ind w:left="1360" w:right="220" w:hanging="498"/>
        <w:spacing w:after="0" w:line="340" w:lineRule="auto"/>
        <w:tabs>
          <w:tab w:leader="none" w:pos="13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30" w:lineRule="exact"/>
        <w:rPr>
          <w:rFonts w:ascii="Arial" w:cs="Arial" w:eastAsia="Arial" w:hAnsi="Arial"/>
          <w:sz w:val="15"/>
          <w:szCs w:val="15"/>
          <w:color w:val="auto"/>
        </w:rPr>
      </w:pPr>
    </w:p>
    <w:p>
      <w:pPr>
        <w:ind w:left="1360" w:right="80" w:hanging="498"/>
        <w:spacing w:after="0" w:line="311" w:lineRule="auto"/>
        <w:tabs>
          <w:tab w:leader="none" w:pos="13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780"/>
          </w:cols>
          <w:pgMar w:left="320" w:top="440" w:right="79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120"/>
        <w:spacing w:after="0" w:line="256" w:lineRule="auto"/>
        <w:rPr>
          <w:sz w:val="20"/>
          <w:szCs w:val="20"/>
          <w:color w:val="auto"/>
        </w:rPr>
      </w:pPr>
      <w:r>
        <w:rPr>
          <w:rFonts w:ascii="Arial" w:cs="Arial" w:eastAsia="Arial" w:hAnsi="Arial"/>
          <w:sz w:val="17"/>
          <w:szCs w:val="17"/>
          <w:color w:val="auto"/>
        </w:rPr>
        <w:t>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90" w:lineRule="exact"/>
        <w:rPr>
          <w:sz w:val="20"/>
          <w:szCs w:val="20"/>
          <w:color w:val="auto"/>
        </w:rPr>
      </w:pPr>
    </w:p>
    <w:p>
      <w:pPr>
        <w:ind w:left="1360" w:hanging="498"/>
        <w:spacing w:after="0" w:line="274" w:lineRule="auto"/>
        <w:tabs>
          <w:tab w:leader="none" w:pos="1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65" w:lineRule="exact"/>
        <w:rPr>
          <w:sz w:val="20"/>
          <w:szCs w:val="20"/>
          <w:color w:val="auto"/>
        </w:rPr>
      </w:pPr>
    </w:p>
    <w:p>
      <w:pPr>
        <w:ind w:left="460" w:right="600" w:firstLine="413"/>
        <w:spacing w:after="0" w:line="340" w:lineRule="auto"/>
        <w:rPr>
          <w:sz w:val="20"/>
          <w:szCs w:val="20"/>
          <w:color w:val="auto"/>
        </w:rPr>
      </w:pPr>
      <w:r>
        <w:rPr>
          <w:rFonts w:ascii="Arial" w:cs="Arial" w:eastAsia="Arial" w:hAnsi="Arial"/>
          <w:sz w:val="15"/>
          <w:szCs w:val="15"/>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20"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3" w:lineRule="exact"/>
        <w:rPr>
          <w:sz w:val="20"/>
          <w:szCs w:val="20"/>
          <w:color w:val="auto"/>
        </w:rPr>
      </w:pPr>
    </w:p>
    <w:p>
      <w:pPr>
        <w:ind w:left="460" w:right="180" w:firstLine="413"/>
        <w:spacing w:after="0" w:line="293" w:lineRule="auto"/>
        <w:rPr>
          <w:sz w:val="20"/>
          <w:szCs w:val="20"/>
          <w:color w:val="auto"/>
        </w:rPr>
      </w:pPr>
      <w:r>
        <w:rPr>
          <w:rFonts w:ascii="Arial" w:cs="Arial" w:eastAsia="Arial" w:hAnsi="Arial"/>
          <w:sz w:val="15"/>
          <w:szCs w:val="15"/>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66" w:lineRule="exact"/>
        <w:rPr>
          <w:sz w:val="20"/>
          <w:szCs w:val="20"/>
          <w:color w:val="auto"/>
        </w:rPr>
      </w:pPr>
    </w:p>
    <w:p>
      <w:pPr>
        <w:ind w:left="1360" w:hanging="498"/>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need to educate prospective customers about the uses and benefits of our platform;</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discretionary nature of purchase and budget cycles and decisions;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evolving functionality demands;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of planned introductions of new intelligence modules by us or our competitors;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lengthy and multi-faceted purchasing approval processes.</w:t>
      </w:r>
    </w:p>
    <w:p>
      <w:pPr>
        <w:spacing w:after="0" w:line="210"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7"/>
          <w:szCs w:val="17"/>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have overestimated the size of our total addressable market, our future growth rate may be limited.</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780"/>
          </w:cols>
          <w:pgMar w:left="320" w:top="440" w:right="7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40" w:firstLine="413"/>
        <w:spacing w:after="0" w:line="284" w:lineRule="auto"/>
        <w:rPr>
          <w:sz w:val="20"/>
          <w:szCs w:val="20"/>
          <w:color w:val="auto"/>
        </w:rPr>
      </w:pPr>
      <w:r>
        <w:rPr>
          <w:rFonts w:ascii="Arial" w:cs="Arial" w:eastAsia="Arial" w:hAnsi="Arial"/>
          <w:sz w:val="16"/>
          <w:szCs w:val="16"/>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business could be negatively affected by changes in search engine algorithms and dynamics or other traffic-generating arrangements.</w:t>
      </w:r>
    </w:p>
    <w:p>
      <w:pPr>
        <w:spacing w:after="0" w:line="131" w:lineRule="exact"/>
        <w:rPr>
          <w:sz w:val="20"/>
          <w:szCs w:val="20"/>
          <w:color w:val="auto"/>
        </w:rPr>
      </w:pPr>
    </w:p>
    <w:p>
      <w:pPr>
        <w:ind w:left="460" w:right="60" w:firstLine="413"/>
        <w:spacing w:after="0" w:line="290" w:lineRule="auto"/>
        <w:rPr>
          <w:sz w:val="20"/>
          <w:szCs w:val="20"/>
          <w:color w:val="auto"/>
        </w:rPr>
      </w:pPr>
      <w:r>
        <w:rPr>
          <w:rFonts w:ascii="Arial" w:cs="Arial" w:eastAsia="Arial" w:hAnsi="Arial"/>
          <w:sz w:val="15"/>
          <w:szCs w:val="15"/>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Operations outside the U.S. expose us to risks inherent in international operations.</w:t>
      </w:r>
    </w:p>
    <w:p>
      <w:pPr>
        <w:spacing w:after="0" w:line="108"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a limited operating history, which makes it difficult to forecast our revenue and evaluate our business and future prospects.</w:t>
      </w:r>
    </w:p>
    <w:p>
      <w:pPr>
        <w:spacing w:after="0" w:line="120"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273" w:lineRule="exact"/>
        <w:rPr>
          <w:sz w:val="20"/>
          <w:szCs w:val="20"/>
          <w:color w:val="auto"/>
        </w:rPr>
      </w:pPr>
    </w:p>
    <w:p>
      <w:pPr>
        <w:ind w:left="460" w:right="100"/>
        <w:spacing w:after="0" w:line="377" w:lineRule="auto"/>
        <w:rPr>
          <w:sz w:val="20"/>
          <w:szCs w:val="20"/>
          <w:color w:val="auto"/>
        </w:rPr>
      </w:pPr>
      <w:r>
        <w:rPr>
          <w:rFonts w:ascii="Arial" w:cs="Arial" w:eastAsia="Arial" w:hAnsi="Arial"/>
          <w:sz w:val="14"/>
          <w:szCs w:val="14"/>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1"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780"/>
          </w:cols>
          <w:pgMar w:left="320" w:top="440" w:right="7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If we need additional capital and cannot raise it on acceptable terms, or at all, we may not be able to, among other things:</w:t>
      </w:r>
    </w:p>
    <w:p>
      <w:pPr>
        <w:spacing w:after="0" w:line="121" w:lineRule="exact"/>
        <w:rPr>
          <w:sz w:val="20"/>
          <w:szCs w:val="20"/>
          <w:color w:val="auto"/>
        </w:rPr>
      </w:pPr>
    </w:p>
    <w:p>
      <w:pPr>
        <w:ind w:left="1360" w:hanging="498"/>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develop new features, intelligence modules, updates, integrations, capabilities and enhancements;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continue to provide synthesis of real-time data;</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working capital requirements; or</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pursue acquisition opportunities.</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Catastrophic events could disrupt our business and adversely affect our operating results.</w:t>
      </w:r>
    </w:p>
    <w:p>
      <w:pPr>
        <w:spacing w:after="0" w:line="108"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73"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b w:val="1"/>
          <w:bCs w:val="1"/>
          <w:i w:val="1"/>
          <w:iCs w:val="1"/>
          <w:color w:val="auto"/>
        </w:rPr>
        <w:t>Our solutions utilize open-source software, and any failure to comply with the terms of one or more of these open-source licenses could adversely affect our business.</w:t>
      </w:r>
    </w:p>
    <w:p>
      <w:pPr>
        <w:spacing w:after="0" w:line="63"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 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67"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 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273"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3"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780"/>
          </w:cols>
          <w:pgMar w:left="320" w:top="440" w:right="7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96" w:lineRule="auto"/>
        <w:rPr>
          <w:sz w:val="20"/>
          <w:szCs w:val="20"/>
          <w:color w:val="auto"/>
        </w:rPr>
      </w:pPr>
      <w:r>
        <w:rPr>
          <w:rFonts w:ascii="Arial" w:cs="Arial" w:eastAsia="Arial" w:hAnsi="Arial"/>
          <w:sz w:val="15"/>
          <w:szCs w:val="15"/>
          <w:color w:val="auto"/>
        </w:rPr>
        <w:t>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Data Privacy and Cybersecurity</w:t>
      </w:r>
    </w:p>
    <w:p>
      <w:pPr>
        <w:spacing w:after="0" w:line="112" w:lineRule="exact"/>
        <w:rPr>
          <w:sz w:val="20"/>
          <w:szCs w:val="20"/>
          <w:color w:val="auto"/>
        </w:rPr>
      </w:pPr>
    </w:p>
    <w:p>
      <w:pPr>
        <w:ind w:left="460" w:right="560"/>
        <w:spacing w:after="0" w:line="272" w:lineRule="auto"/>
        <w:rPr>
          <w:sz w:val="20"/>
          <w:szCs w:val="20"/>
          <w:color w:val="auto"/>
        </w:rPr>
      </w:pPr>
      <w:r>
        <w:rPr>
          <w:rFonts w:ascii="Arial" w:cs="Arial" w:eastAsia="Arial" w:hAnsi="Arial"/>
          <w:sz w:val="17"/>
          <w:szCs w:val="17"/>
          <w:b w:val="1"/>
          <w:bCs w:val="1"/>
          <w:i w:val="1"/>
          <w:iCs w:val="1"/>
          <w:color w:val="auto"/>
        </w:rPr>
        <w:t>Cyber-attacks and security vulnerabilities could have a material adverse effect on our reputation, business, financial condition and results of operations.</w:t>
      </w:r>
    </w:p>
    <w:p>
      <w:pPr>
        <w:spacing w:after="0" w:line="63"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70" w:lineRule="exact"/>
        <w:rPr>
          <w:sz w:val="20"/>
          <w:szCs w:val="20"/>
          <w:color w:val="auto"/>
        </w:rPr>
      </w:pPr>
    </w:p>
    <w:p>
      <w:pPr>
        <w:ind w:left="460" w:right="20" w:firstLine="413"/>
        <w:spacing w:after="0" w:line="285" w:lineRule="auto"/>
        <w:rPr>
          <w:sz w:val="20"/>
          <w:szCs w:val="20"/>
          <w:color w:val="auto"/>
        </w:rPr>
      </w:pPr>
      <w:r>
        <w:rPr>
          <w:rFonts w:ascii="Arial" w:cs="Arial" w:eastAsia="Arial" w:hAnsi="Arial"/>
          <w:sz w:val="15"/>
          <w:szCs w:val="15"/>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65"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The extent of a particular cybersecurity incident and the steps that we may need to take to investigate it may not be immediately clear, and it may take a significant amount of time before such an investigation can be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780"/>
          </w:cols>
          <w:pgMar w:left="320" w:top="440" w:right="7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79" w:lineRule="exact"/>
        <w:rPr>
          <w:sz w:val="20"/>
          <w:szCs w:val="20"/>
          <w:color w:val="auto"/>
        </w:rPr>
      </w:pPr>
    </w:p>
    <w:p>
      <w:pPr>
        <w:ind w:left="460" w:right="40" w:firstLine="413"/>
        <w:spacing w:after="0" w:line="285" w:lineRule="auto"/>
        <w:rPr>
          <w:sz w:val="20"/>
          <w:szCs w:val="20"/>
          <w:color w:val="auto"/>
        </w:rPr>
      </w:pPr>
      <w:r>
        <w:rPr>
          <w:rFonts w:ascii="Arial" w:cs="Arial" w:eastAsia="Arial" w:hAnsi="Arial"/>
          <w:sz w:val="15"/>
          <w:szCs w:val="15"/>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65" w:lineRule="exact"/>
        <w:rPr>
          <w:sz w:val="20"/>
          <w:szCs w:val="20"/>
          <w:color w:val="auto"/>
        </w:rPr>
      </w:pPr>
    </w:p>
    <w:p>
      <w:pPr>
        <w:ind w:left="460" w:right="20" w:firstLine="413"/>
        <w:spacing w:after="0" w:line="293" w:lineRule="auto"/>
        <w:rPr>
          <w:sz w:val="20"/>
          <w:szCs w:val="20"/>
          <w:color w:val="auto"/>
        </w:rPr>
      </w:pPr>
      <w:r>
        <w:rPr>
          <w:rFonts w:ascii="Arial" w:cs="Arial" w:eastAsia="Arial" w:hAnsi="Arial"/>
          <w:sz w:val="15"/>
          <w:szCs w:val="15"/>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56" w:lineRule="exact"/>
        <w:rPr>
          <w:sz w:val="20"/>
          <w:szCs w:val="20"/>
          <w:color w:val="auto"/>
        </w:rPr>
      </w:pPr>
    </w:p>
    <w:p>
      <w:pPr>
        <w:ind w:left="460"/>
        <w:spacing w:after="0" w:line="303" w:lineRule="auto"/>
        <w:rPr>
          <w:sz w:val="20"/>
          <w:szCs w:val="20"/>
          <w:color w:val="auto"/>
        </w:rPr>
      </w:pPr>
      <w:r>
        <w:rPr>
          <w:rFonts w:ascii="Arial" w:cs="Arial" w:eastAsia="Arial" w:hAnsi="Arial"/>
          <w:sz w:val="16"/>
          <w:szCs w:val="16"/>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42"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Our customers use our solutions to understand and navigate the healthcare ecosystem. The collection, processing, retention, security, transfer and disclosure of personal information are subject to a variety of laws and regulations in the United States and abroad that govern data privacy and security (collectively, “Privacy Laws”), 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780"/>
          </w:cols>
          <w:pgMar w:left="320" w:top="440" w:right="7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296" w:lineRule="auto"/>
        <w:rPr>
          <w:sz w:val="20"/>
          <w:szCs w:val="20"/>
          <w:color w:val="auto"/>
        </w:rPr>
      </w:pPr>
      <w:r>
        <w:rPr>
          <w:rFonts w:ascii="Arial" w:cs="Arial" w:eastAsia="Arial" w:hAnsi="Arial"/>
          <w:sz w:val="15"/>
          <w:szCs w:val="15"/>
          <w:color w:val="auto"/>
        </w:rPr>
        <w:t>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52"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82" w:lineRule="exact"/>
        <w:rPr>
          <w:sz w:val="20"/>
          <w:szCs w:val="20"/>
          <w:color w:val="auto"/>
        </w:rPr>
      </w:pPr>
    </w:p>
    <w:p>
      <w:pPr>
        <w:ind w:left="460" w:right="20" w:firstLine="413"/>
        <w:spacing w:after="0" w:line="252" w:lineRule="auto"/>
        <w:rPr>
          <w:sz w:val="20"/>
          <w:szCs w:val="20"/>
          <w:color w:val="auto"/>
        </w:rPr>
      </w:pPr>
      <w:r>
        <w:rPr>
          <w:rFonts w:ascii="Arial" w:cs="Arial" w:eastAsia="Arial" w:hAnsi="Arial"/>
          <w:sz w:val="17"/>
          <w:szCs w:val="17"/>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w:t>
      </w:r>
    </w:p>
    <w:p>
      <w:pPr>
        <w:spacing w:after="0" w:line="182" w:lineRule="exact"/>
        <w:rPr>
          <w:sz w:val="20"/>
          <w:szCs w:val="20"/>
          <w:color w:val="auto"/>
        </w:rPr>
      </w:pPr>
    </w:p>
    <w:p>
      <w:pPr>
        <w:ind w:left="460" w:right="140" w:firstLine="413"/>
        <w:spacing w:after="0" w:line="256" w:lineRule="auto"/>
        <w:rPr>
          <w:sz w:val="20"/>
          <w:szCs w:val="20"/>
          <w:color w:val="auto"/>
        </w:rPr>
      </w:pPr>
      <w:r>
        <w:rPr>
          <w:rFonts w:ascii="Arial" w:cs="Arial" w:eastAsia="Arial" w:hAnsi="Arial"/>
          <w:sz w:val="17"/>
          <w:szCs w:val="17"/>
          <w:color w:val="auto"/>
        </w:rPr>
        <w:t>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79" w:lineRule="exact"/>
        <w:rPr>
          <w:sz w:val="20"/>
          <w:szCs w:val="20"/>
          <w:color w:val="auto"/>
        </w:rPr>
      </w:pPr>
    </w:p>
    <w:p>
      <w:pPr>
        <w:ind w:left="460" w:right="140" w:firstLine="413"/>
        <w:spacing w:after="0" w:line="270" w:lineRule="auto"/>
        <w:rPr>
          <w:sz w:val="20"/>
          <w:szCs w:val="20"/>
          <w:color w:val="auto"/>
        </w:rPr>
      </w:pPr>
      <w:r>
        <w:rPr>
          <w:rFonts w:ascii="Arial" w:cs="Arial" w:eastAsia="Arial" w:hAnsi="Arial"/>
          <w:sz w:val="16"/>
          <w:szCs w:val="16"/>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and its implementation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72" w:lineRule="exact"/>
        <w:rPr>
          <w:sz w:val="20"/>
          <w:szCs w:val="20"/>
          <w:color w:val="auto"/>
        </w:rPr>
      </w:pPr>
    </w:p>
    <w:p>
      <w:pPr>
        <w:ind w:left="460" w:right="120" w:firstLine="413"/>
        <w:spacing w:after="0" w:line="274" w:lineRule="auto"/>
        <w:rPr>
          <w:sz w:val="20"/>
          <w:szCs w:val="20"/>
          <w:color w:val="auto"/>
        </w:rPr>
      </w:pPr>
      <w:r>
        <w:rPr>
          <w:rFonts w:ascii="Arial" w:cs="Arial" w:eastAsia="Arial" w:hAnsi="Arial"/>
          <w:sz w:val="16"/>
          <w:szCs w:val="16"/>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780"/>
          </w:cols>
          <w:pgMar w:left="320" w:top="440" w:right="79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52" w:lineRule="auto"/>
        <w:rPr>
          <w:sz w:val="20"/>
          <w:szCs w:val="20"/>
          <w:color w:val="auto"/>
        </w:rPr>
      </w:pPr>
      <w:r>
        <w:rPr>
          <w:rFonts w:ascii="Arial" w:cs="Arial" w:eastAsia="Arial" w:hAnsi="Arial"/>
          <w:sz w:val="17"/>
          <w:szCs w:val="17"/>
          <w:color w:val="auto"/>
        </w:rPr>
        <w:t>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84" w:lineRule="exact"/>
        <w:rPr>
          <w:sz w:val="20"/>
          <w:szCs w:val="20"/>
          <w:color w:val="auto"/>
        </w:rPr>
      </w:pPr>
    </w:p>
    <w:p>
      <w:pPr>
        <w:jc w:val="both"/>
        <w:ind w:left="460" w:firstLine="413"/>
        <w:spacing w:after="0" w:line="287" w:lineRule="auto"/>
        <w:rPr>
          <w:sz w:val="20"/>
          <w:szCs w:val="20"/>
          <w:color w:val="auto"/>
        </w:rPr>
      </w:pPr>
      <w:r>
        <w:rPr>
          <w:rFonts w:ascii="Arial" w:cs="Arial" w:eastAsia="Arial" w:hAnsi="Arial"/>
          <w:sz w:val="15"/>
          <w:szCs w:val="15"/>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1" w:lineRule="exact"/>
        <w:rPr>
          <w:sz w:val="20"/>
          <w:szCs w:val="20"/>
          <w:color w:val="auto"/>
        </w:rPr>
      </w:pPr>
    </w:p>
    <w:p>
      <w:pPr>
        <w:ind w:left="460" w:right="60"/>
        <w:spacing w:after="0" w:line="253" w:lineRule="auto"/>
        <w:rPr>
          <w:sz w:val="20"/>
          <w:szCs w:val="20"/>
          <w:color w:val="auto"/>
        </w:rPr>
      </w:pPr>
      <w:r>
        <w:rPr>
          <w:rFonts w:ascii="Arial" w:cs="Arial" w:eastAsia="Arial" w:hAnsi="Arial"/>
          <w:sz w:val="17"/>
          <w:szCs w:val="17"/>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81" w:lineRule="exact"/>
        <w:rPr>
          <w:sz w:val="20"/>
          <w:szCs w:val="20"/>
          <w:color w:val="auto"/>
        </w:rPr>
      </w:pPr>
    </w:p>
    <w:p>
      <w:pPr>
        <w:ind w:left="460" w:right="160" w:firstLine="413"/>
        <w:spacing w:after="0" w:line="293" w:lineRule="auto"/>
        <w:rPr>
          <w:sz w:val="20"/>
          <w:szCs w:val="20"/>
          <w:color w:val="auto"/>
        </w:rPr>
      </w:pPr>
      <w:r>
        <w:rPr>
          <w:rFonts w:ascii="Arial" w:cs="Arial" w:eastAsia="Arial" w:hAnsi="Arial"/>
          <w:sz w:val="15"/>
          <w:szCs w:val="15"/>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55" w:lineRule="exact"/>
        <w:rPr>
          <w:sz w:val="20"/>
          <w:szCs w:val="20"/>
          <w:color w:val="auto"/>
        </w:rPr>
      </w:pPr>
    </w:p>
    <w:p>
      <w:pPr>
        <w:ind w:left="460" w:right="20" w:firstLine="413"/>
        <w:spacing w:after="0" w:line="286" w:lineRule="auto"/>
        <w:rPr>
          <w:sz w:val="20"/>
          <w:szCs w:val="20"/>
          <w:color w:val="auto"/>
        </w:rPr>
      </w:pPr>
      <w:r>
        <w:rPr>
          <w:rFonts w:ascii="Arial" w:cs="Arial" w:eastAsia="Arial" w:hAnsi="Arial"/>
          <w:sz w:val="15"/>
          <w:szCs w:val="15"/>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California Privacy Rights Act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62" w:lineRule="exact"/>
        <w:rPr>
          <w:sz w:val="20"/>
          <w:szCs w:val="20"/>
          <w:color w:val="auto"/>
        </w:rPr>
      </w:pPr>
    </w:p>
    <w:p>
      <w:pPr>
        <w:ind w:left="460" w:right="200" w:firstLine="413"/>
        <w:spacing w:after="0" w:line="311" w:lineRule="auto"/>
        <w:rPr>
          <w:sz w:val="20"/>
          <w:szCs w:val="20"/>
          <w:color w:val="auto"/>
        </w:rPr>
      </w:pPr>
      <w:r>
        <w:rPr>
          <w:rFonts w:ascii="Arial" w:cs="Arial" w:eastAsia="Arial" w:hAnsi="Arial"/>
          <w:sz w:val="15"/>
          <w:szCs w:val="15"/>
          <w:color w:val="auto"/>
        </w:rPr>
        <w:t>We may also be subject to international Privacy Laws such as the European Union’s (the “EU”)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780"/>
          </w:cols>
          <w:pgMar w:left="320" w:top="440" w:right="7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66" w:lineRule="auto"/>
        <w:rPr>
          <w:sz w:val="20"/>
          <w:szCs w:val="20"/>
          <w:color w:val="auto"/>
        </w:rPr>
      </w:pPr>
      <w:r>
        <w:rPr>
          <w:rFonts w:ascii="Arial" w:cs="Arial" w:eastAsia="Arial" w:hAnsi="Arial"/>
          <w:sz w:val="16"/>
          <w:szCs w:val="16"/>
          <w:color w:val="auto"/>
        </w:rPr>
        <w:t>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w:t>
      </w:r>
    </w:p>
    <w:p>
      <w:pPr>
        <w:spacing w:after="0" w:line="175" w:lineRule="exact"/>
        <w:rPr>
          <w:sz w:val="20"/>
          <w:szCs w:val="20"/>
          <w:color w:val="auto"/>
        </w:rPr>
      </w:pPr>
    </w:p>
    <w:p>
      <w:pPr>
        <w:ind w:left="460" w:right="40" w:firstLine="413"/>
        <w:spacing w:after="0" w:line="287" w:lineRule="auto"/>
        <w:rPr>
          <w:sz w:val="20"/>
          <w:szCs w:val="20"/>
          <w:color w:val="auto"/>
        </w:rPr>
      </w:pPr>
      <w:r>
        <w:rPr>
          <w:rFonts w:ascii="Arial" w:cs="Arial" w:eastAsia="Arial" w:hAnsi="Arial"/>
          <w:sz w:val="15"/>
          <w:szCs w:val="15"/>
          <w:color w:val="auto"/>
        </w:rPr>
        <w:t>Additionally, we are subject to laws, rules, and regulations (including under the GDPR) regarding cross- 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59" w:lineRule="exact"/>
        <w:rPr>
          <w:sz w:val="20"/>
          <w:szCs w:val="20"/>
          <w:color w:val="auto"/>
        </w:rPr>
      </w:pPr>
    </w:p>
    <w:p>
      <w:pPr>
        <w:ind w:left="460" w:right="40" w:firstLine="413"/>
        <w:spacing w:after="0" w:line="277" w:lineRule="auto"/>
        <w:rPr>
          <w:sz w:val="20"/>
          <w:szCs w:val="20"/>
          <w:color w:val="auto"/>
        </w:rPr>
      </w:pPr>
      <w:r>
        <w:rPr>
          <w:rFonts w:ascii="Arial" w:cs="Arial" w:eastAsia="Arial" w:hAnsi="Arial"/>
          <w:sz w:val="16"/>
          <w:szCs w:val="16"/>
          <w:color w:val="auto"/>
        </w:rPr>
        <w:t>Customers expect that our solutions can be used in compliance with data protection and data Privacy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780"/>
          </w:cols>
          <w:pgMar w:left="320" w:top="440" w:right="79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color w:val="auto"/>
        </w:rPr>
        <w:t>affect our customers’ ability or desire to collect, use, process, store and disclose personal information and health data using our solutions, or to license data products from us, which could reduce demand for our solutions.</w:t>
      </w:r>
    </w:p>
    <w:p>
      <w:pPr>
        <w:spacing w:after="0" w:line="165" w:lineRule="exact"/>
        <w:rPr>
          <w:sz w:val="20"/>
          <w:szCs w:val="20"/>
          <w:color w:val="auto"/>
        </w:rPr>
      </w:pPr>
    </w:p>
    <w:p>
      <w:pPr>
        <w:ind w:left="460" w:right="100" w:firstLine="413"/>
        <w:spacing w:after="0" w:line="290" w:lineRule="auto"/>
        <w:rPr>
          <w:sz w:val="20"/>
          <w:szCs w:val="20"/>
          <w:color w:val="auto"/>
        </w:rPr>
      </w:pPr>
      <w:r>
        <w:rPr>
          <w:rFonts w:ascii="Arial" w:cs="Arial" w:eastAsia="Arial" w:hAnsi="Arial"/>
          <w:sz w:val="15"/>
          <w:szCs w:val="15"/>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Legal and Regulatory Risks</w:t>
      </w:r>
    </w:p>
    <w:p>
      <w:pPr>
        <w:spacing w:after="0" w:line="112" w:lineRule="exact"/>
        <w:rPr>
          <w:sz w:val="20"/>
          <w:szCs w:val="20"/>
          <w:color w:val="auto"/>
        </w:rPr>
      </w:pPr>
    </w:p>
    <w:p>
      <w:pPr>
        <w:ind w:left="460" w:right="40"/>
        <w:spacing w:after="0" w:line="340" w:lineRule="auto"/>
        <w:rPr>
          <w:sz w:val="20"/>
          <w:szCs w:val="20"/>
          <w:color w:val="auto"/>
        </w:rPr>
      </w:pPr>
      <w:r>
        <w:rPr>
          <w:rFonts w:ascii="Arial" w:cs="Arial" w:eastAsia="Arial" w:hAnsi="Arial"/>
          <w:sz w:val="15"/>
          <w:szCs w:val="15"/>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8"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52"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83" w:lineRule="exact"/>
        <w:rPr>
          <w:sz w:val="20"/>
          <w:szCs w:val="20"/>
          <w:color w:val="auto"/>
        </w:rPr>
      </w:pPr>
    </w:p>
    <w:p>
      <w:pPr>
        <w:ind w:left="460" w:right="100"/>
        <w:spacing w:after="0" w:line="377" w:lineRule="auto"/>
        <w:rPr>
          <w:sz w:val="20"/>
          <w:szCs w:val="20"/>
          <w:color w:val="auto"/>
        </w:rPr>
      </w:pPr>
      <w:r>
        <w:rPr>
          <w:rFonts w:ascii="Arial" w:cs="Arial" w:eastAsia="Arial" w:hAnsi="Arial"/>
          <w:sz w:val="14"/>
          <w:szCs w:val="14"/>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1"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780"/>
          </w:cols>
          <w:pgMar w:left="320" w:top="440" w:right="7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87" w:lineRule="auto"/>
        <w:rPr>
          <w:sz w:val="20"/>
          <w:szCs w:val="20"/>
          <w:color w:val="auto"/>
        </w:rPr>
      </w:pPr>
      <w:r>
        <w:rPr>
          <w:rFonts w:ascii="Arial" w:cs="Arial" w:eastAsia="Arial" w:hAnsi="Arial"/>
          <w:sz w:val="15"/>
          <w:szCs w:val="15"/>
          <w:color w:val="auto"/>
        </w:rPr>
        <w:t>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159" w:lineRule="exact"/>
        <w:rPr>
          <w:sz w:val="20"/>
          <w:szCs w:val="20"/>
          <w:color w:val="auto"/>
        </w:rPr>
      </w:pPr>
    </w:p>
    <w:p>
      <w:pPr>
        <w:ind w:left="460" w:right="140" w:firstLine="413"/>
        <w:spacing w:after="0" w:line="253" w:lineRule="auto"/>
        <w:rPr>
          <w:sz w:val="20"/>
          <w:szCs w:val="20"/>
          <w:color w:val="auto"/>
        </w:rPr>
      </w:pPr>
      <w:r>
        <w:rPr>
          <w:rFonts w:ascii="Arial" w:cs="Arial" w:eastAsia="Arial" w:hAnsi="Arial"/>
          <w:sz w:val="17"/>
          <w:szCs w:val="17"/>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could be subject to claims brought by our customers, which could be costly and time consuming to defend.</w:t>
      </w:r>
    </w:p>
    <w:p>
      <w:pPr>
        <w:spacing w:after="0" w:line="108"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69"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3" w:lineRule="exact"/>
        <w:rPr>
          <w:sz w:val="20"/>
          <w:szCs w:val="20"/>
          <w:color w:val="auto"/>
        </w:rPr>
      </w:pPr>
    </w:p>
    <w:p>
      <w:pPr>
        <w:ind w:left="460" w:right="100" w:firstLine="413"/>
        <w:spacing w:after="0" w:line="270" w:lineRule="auto"/>
        <w:rPr>
          <w:sz w:val="20"/>
          <w:szCs w:val="20"/>
          <w:color w:val="auto"/>
        </w:rPr>
      </w:pPr>
      <w:r>
        <w:rPr>
          <w:rFonts w:ascii="Arial" w:cs="Arial" w:eastAsia="Arial" w:hAnsi="Arial"/>
          <w:sz w:val="16"/>
          <w:szCs w:val="16"/>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172" w:lineRule="exact"/>
        <w:rPr>
          <w:sz w:val="20"/>
          <w:szCs w:val="20"/>
          <w:color w:val="auto"/>
        </w:rPr>
      </w:pPr>
    </w:p>
    <w:p>
      <w:pPr>
        <w:ind w:left="460" w:right="520" w:firstLine="413"/>
        <w:spacing w:after="0" w:line="272" w:lineRule="auto"/>
        <w:rPr>
          <w:sz w:val="20"/>
          <w:szCs w:val="20"/>
          <w:color w:val="auto"/>
        </w:rPr>
      </w:pPr>
      <w:r>
        <w:rPr>
          <w:rFonts w:ascii="Arial" w:cs="Arial" w:eastAsia="Arial" w:hAnsi="Arial"/>
          <w:sz w:val="17"/>
          <w:szCs w:val="17"/>
          <w:color w:val="auto"/>
        </w:rPr>
        <w:t>In addition, we may be required to spend significant resources to monitor and protect our contractual, intellectual property and other rights, including collection of payments and fees. Litigation has been and may be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780"/>
          </w:cols>
          <w:pgMar w:left="320" w:top="440" w:right="79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0"/>
        <w:spacing w:after="0" w:line="277" w:lineRule="auto"/>
        <w:rPr>
          <w:sz w:val="20"/>
          <w:szCs w:val="20"/>
          <w:color w:val="auto"/>
        </w:rPr>
      </w:pPr>
      <w:r>
        <w:rPr>
          <w:rFonts w:ascii="Arial" w:cs="Arial" w:eastAsia="Arial" w:hAnsi="Arial"/>
          <w:sz w:val="16"/>
          <w:szCs w:val="16"/>
          <w:color w:val="auto"/>
        </w:rPr>
        <w:t>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liability if we breach our contracts, and our insurance may be inadequate to cover our losses.</w:t>
      </w:r>
    </w:p>
    <w:p>
      <w:pPr>
        <w:spacing w:after="0" w:line="108"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65" w:lineRule="exact"/>
        <w:rPr>
          <w:sz w:val="20"/>
          <w:szCs w:val="20"/>
          <w:color w:val="auto"/>
        </w:rPr>
      </w:pPr>
    </w:p>
    <w:p>
      <w:pPr>
        <w:ind w:left="460" w:right="500" w:firstLine="413"/>
        <w:spacing w:after="0" w:line="340" w:lineRule="auto"/>
        <w:rPr>
          <w:sz w:val="20"/>
          <w:szCs w:val="20"/>
          <w:color w:val="auto"/>
        </w:rPr>
      </w:pPr>
      <w:r>
        <w:rPr>
          <w:rFonts w:ascii="Arial" w:cs="Arial" w:eastAsia="Arial" w:hAnsi="Arial"/>
          <w:sz w:val="15"/>
          <w:szCs w:val="15"/>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legal liability for collecting, displaying or distributing information.</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adequately protect our proprietary and intellectual property rights in our data analytics or data science.</w:t>
      </w:r>
    </w:p>
    <w:p>
      <w:pPr>
        <w:spacing w:after="0" w:line="108"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760"/>
          </w:cols>
          <w:pgMar w:left="320" w:top="440" w:right="81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4"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71" w:lineRule="exact"/>
        <w:rPr>
          <w:sz w:val="20"/>
          <w:szCs w:val="20"/>
          <w:color w:val="auto"/>
        </w:rPr>
      </w:pPr>
    </w:p>
    <w:p>
      <w:pPr>
        <w:ind w:left="460" w:right="20" w:firstLine="413"/>
        <w:spacing w:after="0" w:line="296" w:lineRule="auto"/>
        <w:rPr>
          <w:sz w:val="20"/>
          <w:szCs w:val="20"/>
          <w:color w:val="auto"/>
        </w:rPr>
      </w:pPr>
      <w:r>
        <w:rPr>
          <w:rFonts w:ascii="Arial" w:cs="Arial" w:eastAsia="Arial" w:hAnsi="Arial"/>
          <w:sz w:val="15"/>
          <w:szCs w:val="15"/>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claims by others that we are infringing on their intellectual property rights.</w:t>
      </w:r>
    </w:p>
    <w:p>
      <w:pPr>
        <w:spacing w:after="0" w:line="108"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84"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Third parties may assert claims that we or our customers infringe their intellectual property rights and these claims, with or without merit, could be expensive to litigate, cause us to incur substantial costs and divert</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780"/>
          </w:cols>
          <w:pgMar w:left="320" w:top="440" w:right="79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53" w:lineRule="auto"/>
        <w:rPr>
          <w:sz w:val="20"/>
          <w:szCs w:val="20"/>
          <w:color w:val="auto"/>
        </w:rPr>
      </w:pPr>
      <w:r>
        <w:rPr>
          <w:rFonts w:ascii="Arial" w:cs="Arial" w:eastAsia="Arial" w:hAnsi="Arial"/>
          <w:sz w:val="17"/>
          <w:szCs w:val="17"/>
          <w:color w:val="auto"/>
        </w:rPr>
        <w:t>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82"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i w:val="1"/>
          <w:iCs w:val="1"/>
          <w:color w:val="auto"/>
        </w:rPr>
        <w:t>Our business could be adversely impacted by changes in laws and regulations related to the Internet or changes in access to the Internet generally.</w:t>
      </w:r>
    </w:p>
    <w:p>
      <w:pPr>
        <w:spacing w:after="0" w:line="143"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84"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55"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780"/>
          </w:cols>
          <w:pgMar w:left="320" w:top="440" w:right="7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Certain Tax Matters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Unanticipated changes in our effective tax rate and additional tax liabilities may impact our financial results.</w:t>
      </w:r>
    </w:p>
    <w:p>
      <w:pPr>
        <w:spacing w:after="0" w:line="108"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We will be subject to taxes in the U.S. and certain foreign jurisdictions. Due to economic and political conditions, tax rates in various jurisdictions, including the U.S., may be subject to change. In particular, there are current proposals from the president and Congress in the U.S., which if enacted,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84"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83"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3"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56" w:lineRule="exact"/>
        <w:rPr>
          <w:sz w:val="20"/>
          <w:szCs w:val="20"/>
          <w:color w:val="auto"/>
        </w:rPr>
      </w:pPr>
    </w:p>
    <w:p>
      <w:pPr>
        <w:ind w:left="460" w:right="60" w:firstLine="413"/>
        <w:spacing w:after="0" w:line="296" w:lineRule="auto"/>
        <w:rPr>
          <w:sz w:val="20"/>
          <w:szCs w:val="20"/>
          <w:color w:val="auto"/>
        </w:rPr>
      </w:pPr>
      <w:r>
        <w:rPr>
          <w:rFonts w:ascii="Arial" w:cs="Arial" w:eastAsia="Arial" w:hAnsi="Arial"/>
          <w:sz w:val="15"/>
          <w:szCs w:val="15"/>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53"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3"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780"/>
          </w:cols>
          <w:pgMar w:left="320" w:top="440" w:right="79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96" w:lineRule="auto"/>
        <w:rPr>
          <w:sz w:val="20"/>
          <w:szCs w:val="20"/>
          <w:color w:val="auto"/>
        </w:rPr>
      </w:pPr>
      <w:r>
        <w:rPr>
          <w:rFonts w:ascii="Arial" w:cs="Arial" w:eastAsia="Arial" w:hAnsi="Arial"/>
          <w:sz w:val="15"/>
          <w:szCs w:val="15"/>
          <w:color w:val="auto"/>
        </w:rPr>
        <w:t>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52" w:lineRule="exact"/>
        <w:rPr>
          <w:sz w:val="20"/>
          <w:szCs w:val="20"/>
          <w:color w:val="auto"/>
        </w:rPr>
      </w:pPr>
    </w:p>
    <w:p>
      <w:pPr>
        <w:ind w:left="460" w:right="160" w:firstLine="413"/>
        <w:spacing w:after="0" w:line="254" w:lineRule="auto"/>
        <w:rPr>
          <w:sz w:val="20"/>
          <w:szCs w:val="20"/>
          <w:color w:val="auto"/>
        </w:rPr>
      </w:pPr>
      <w:r>
        <w:rPr>
          <w:rFonts w:ascii="Arial" w:cs="Arial" w:eastAsia="Arial" w:hAnsi="Arial"/>
          <w:sz w:val="17"/>
          <w:szCs w:val="17"/>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Accounting and Financial Reporting Matters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Deferred revenue and change in deferred revenue may not be accurate indicators of our future financial results.</w:t>
      </w:r>
    </w:p>
    <w:p>
      <w:pPr>
        <w:spacing w:after="0" w:line="108" w:lineRule="exact"/>
        <w:rPr>
          <w:sz w:val="20"/>
          <w:szCs w:val="20"/>
          <w:color w:val="auto"/>
        </w:rPr>
      </w:pPr>
    </w:p>
    <w:p>
      <w:pPr>
        <w:ind w:left="460" w:right="60" w:firstLine="413"/>
        <w:spacing w:after="0" w:line="268" w:lineRule="auto"/>
        <w:rPr>
          <w:sz w:val="20"/>
          <w:szCs w:val="20"/>
          <w:color w:val="auto"/>
        </w:rPr>
      </w:pPr>
      <w:r>
        <w:rPr>
          <w:rFonts w:ascii="Arial" w:cs="Arial" w:eastAsia="Arial" w:hAnsi="Arial"/>
          <w:sz w:val="16"/>
          <w:szCs w:val="16"/>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76" w:lineRule="exact"/>
        <w:rPr>
          <w:sz w:val="20"/>
          <w:szCs w:val="20"/>
          <w:color w:val="auto"/>
        </w:rPr>
      </w:pPr>
    </w:p>
    <w:p>
      <w:pPr>
        <w:ind w:left="460" w:right="600"/>
        <w:spacing w:after="0" w:line="272" w:lineRule="auto"/>
        <w:rPr>
          <w:sz w:val="20"/>
          <w:szCs w:val="20"/>
          <w:color w:val="auto"/>
        </w:rPr>
      </w:pPr>
      <w:r>
        <w:rPr>
          <w:rFonts w:ascii="Arial" w:cs="Arial" w:eastAsia="Arial" w:hAnsi="Arial"/>
          <w:sz w:val="17"/>
          <w:szCs w:val="17"/>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3"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52"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800"/>
          </w:cols>
          <w:pgMar w:left="320" w:top="440" w:right="77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have broad discretion in the use of our cash balances and may not use them effectively.</w:t>
      </w:r>
    </w:p>
    <w:p>
      <w:pPr>
        <w:spacing w:after="0" w:line="108" w:lineRule="exact"/>
        <w:rPr>
          <w:sz w:val="20"/>
          <w:szCs w:val="20"/>
          <w:color w:val="auto"/>
        </w:rPr>
      </w:pPr>
    </w:p>
    <w:p>
      <w:pPr>
        <w:ind w:left="460" w:right="180" w:firstLine="413"/>
        <w:spacing w:after="0" w:line="256" w:lineRule="auto"/>
        <w:rPr>
          <w:sz w:val="20"/>
          <w:szCs w:val="20"/>
          <w:color w:val="auto"/>
        </w:rPr>
      </w:pPr>
      <w:r>
        <w:rPr>
          <w:rFonts w:ascii="Arial" w:cs="Arial" w:eastAsia="Arial" w:hAnsi="Arial"/>
          <w:sz w:val="17"/>
          <w:szCs w:val="17"/>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80" w:lineRule="exact"/>
        <w:rPr>
          <w:sz w:val="20"/>
          <w:szCs w:val="20"/>
          <w:color w:val="auto"/>
        </w:rPr>
      </w:pPr>
    </w:p>
    <w:p>
      <w:pPr>
        <w:ind w:left="460" w:right="140"/>
        <w:spacing w:after="0" w:line="272"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3"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Our balance sheet reflects goodwill of $1.3 billion and intangible assets, net, of $366.7 million as of September 30, 2021.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85" w:lineRule="exact"/>
        <w:rPr>
          <w:sz w:val="20"/>
          <w:szCs w:val="20"/>
          <w:color w:val="auto"/>
        </w:rPr>
      </w:pPr>
    </w:p>
    <w:p>
      <w:pPr>
        <w:ind w:left="1360" w:hanging="498"/>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underperformance relative to historical or projected future operating results;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the manner of our use of acquired assets or the strategy for our overall business;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negative industry or economic trends; or</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decline in our market capitalization relative to net book value for a sustained period.</w:t>
      </w:r>
    </w:p>
    <w:p>
      <w:pPr>
        <w:spacing w:after="0" w:line="210" w:lineRule="exact"/>
        <w:rPr>
          <w:sz w:val="20"/>
          <w:szCs w:val="20"/>
          <w:color w:val="auto"/>
        </w:rPr>
      </w:pPr>
    </w:p>
    <w:p>
      <w:pPr>
        <w:jc w:val="both"/>
        <w:ind w:left="460" w:right="280" w:firstLine="413"/>
        <w:spacing w:after="0" w:line="284" w:lineRule="auto"/>
        <w:rPr>
          <w:sz w:val="20"/>
          <w:szCs w:val="20"/>
          <w:color w:val="auto"/>
        </w:rPr>
      </w:pPr>
      <w:r>
        <w:rPr>
          <w:rFonts w:ascii="Arial" w:cs="Arial" w:eastAsia="Arial" w:hAnsi="Arial"/>
          <w:sz w:val="16"/>
          <w:szCs w:val="16"/>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Our Indebtedness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secure sufficient additional financing on favorable terms, or at all, to meet our future capital needs.</w:t>
      </w:r>
    </w:p>
    <w:p>
      <w:pPr>
        <w:spacing w:after="0" w:line="108" w:lineRule="exact"/>
        <w:rPr>
          <w:sz w:val="20"/>
          <w:szCs w:val="20"/>
          <w:color w:val="auto"/>
        </w:rPr>
      </w:pPr>
    </w:p>
    <w:p>
      <w:pPr>
        <w:ind w:left="460" w:right="80" w:firstLine="413"/>
        <w:spacing w:after="0" w:line="274" w:lineRule="auto"/>
        <w:rPr>
          <w:sz w:val="20"/>
          <w:szCs w:val="20"/>
          <w:color w:val="auto"/>
        </w:rPr>
      </w:pPr>
      <w:r>
        <w:rPr>
          <w:rFonts w:ascii="Arial" w:cs="Arial" w:eastAsia="Arial" w:hAnsi="Arial"/>
          <w:sz w:val="16"/>
          <w:szCs w:val="16"/>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760"/>
          </w:cols>
          <w:pgMar w:left="320" w:top="440" w:right="81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Any default under our debt agreements could have significant consequences.</w:t>
      </w:r>
    </w:p>
    <w:p>
      <w:pPr>
        <w:spacing w:after="0" w:line="108"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The Credit Agreement contains covenants imposing certain restrictions on our business. These restrictions may affect our ability to operate our business and may limit our ability to take advantage of potential business opportunities as they arise. The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commencing on the last day of the fiscal quarter ending December 31, 2021, maintain a maximum total leverage ratio.</w:t>
      </w:r>
    </w:p>
    <w:p>
      <w:pPr>
        <w:spacing w:after="0" w:line="172" w:lineRule="exact"/>
        <w:rPr>
          <w:sz w:val="20"/>
          <w:szCs w:val="20"/>
          <w:color w:val="auto"/>
        </w:rPr>
      </w:pPr>
    </w:p>
    <w:p>
      <w:pPr>
        <w:ind w:left="460" w:right="200" w:firstLine="413"/>
        <w:spacing w:after="0" w:line="253" w:lineRule="auto"/>
        <w:rPr>
          <w:sz w:val="20"/>
          <w:szCs w:val="20"/>
          <w:color w:val="auto"/>
        </w:rPr>
      </w:pPr>
      <w:r>
        <w:rPr>
          <w:rFonts w:ascii="Arial" w:cs="Arial" w:eastAsia="Arial" w:hAnsi="Arial"/>
          <w:sz w:val="17"/>
          <w:szCs w:val="17"/>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adversely impacted by the potential discontinuation of the London Interbank Offered Rate (“LIBOR”).</w:t>
      </w:r>
    </w:p>
    <w:p>
      <w:pPr>
        <w:spacing w:after="0" w:line="108"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(“ABR”)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level of indebtedness could have a material adverse effect on our business, financial condition and results of operations.</w:t>
      </w:r>
    </w:p>
    <w:p>
      <w:pPr>
        <w:spacing w:after="0" w:line="108"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The total principal amount of debt outstanding, excluding unamortized debt issuance costs, under the 2019 Credit Agreement as of December 31, 2020 and under the Credit Agreement as of September 30, 2021 was $472.7 million and $275 million, respectively. The loans under the 2019 Credit Agreement were repaid and the 2019 Credit Agreement was terminated on September 17, 2021 in connection with the IPO Transactions and the Credit Agreement. The total principal amount of debt outstanding, excluding unamortized debt issuance costs, under the Credit Agreement as of September 30, 2021 was $275 million. See “Description of Material Indebtedness.”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80"/>
          </w:cols>
          <w:pgMar w:left="320" w:top="440" w:right="7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indebtedness could have significant effects on our business, such as:</w:t>
      </w:r>
    </w:p>
    <w:p>
      <w:pPr>
        <w:spacing w:after="0" w:line="121" w:lineRule="exact"/>
        <w:rPr>
          <w:sz w:val="20"/>
          <w:szCs w:val="20"/>
          <w:color w:val="auto"/>
        </w:rPr>
      </w:pPr>
    </w:p>
    <w:p>
      <w:pPr>
        <w:ind w:left="1360" w:right="80" w:hanging="498"/>
        <w:spacing w:after="0" w:line="272" w:lineRule="auto"/>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to fund acquisitions, debt service requirements, execution of our growth strategy, capital expenditures and other purposes;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limiting our ability to make investments, including acquisitions, loans and advances, and to sell, transfer or otherwise dispose of assets;</w:t>
      </w:r>
    </w:p>
    <w:p>
      <w:pPr>
        <w:spacing w:after="0" w:line="144" w:lineRule="exact"/>
        <w:rPr>
          <w:rFonts w:ascii="Arial" w:cs="Arial" w:eastAsia="Arial" w:hAnsi="Arial"/>
          <w:sz w:val="15"/>
          <w:szCs w:val="15"/>
          <w:color w:val="auto"/>
        </w:rPr>
      </w:pPr>
    </w:p>
    <w:p>
      <w:pPr>
        <w:ind w:left="1360" w:right="20" w:hanging="498"/>
        <w:spacing w:after="0" w:line="260" w:lineRule="auto"/>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86" w:lineRule="exact"/>
        <w:rPr>
          <w:rFonts w:ascii="Arial" w:cs="Arial" w:eastAsia="Arial" w:hAnsi="Arial"/>
          <w:sz w:val="17"/>
          <w:szCs w:val="17"/>
          <w:color w:val="auto"/>
        </w:rPr>
      </w:pPr>
    </w:p>
    <w:p>
      <w:pPr>
        <w:ind w:left="1360" w:right="60" w:hanging="498"/>
        <w:spacing w:after="0" w:line="272" w:lineRule="auto"/>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making us more vulnerable to adverse changes in general economic, industry and competitive conditions, in government regulation and in our business by limiting our ability to plan for and react to changing conditions;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with our competitors that have less debt; and</w:t>
      </w:r>
    </w:p>
    <w:p>
      <w:pPr>
        <w:spacing w:after="0" w:line="121" w:lineRule="exact"/>
        <w:rPr>
          <w:rFonts w:ascii="Arial" w:cs="Arial" w:eastAsia="Arial" w:hAnsi="Arial"/>
          <w:sz w:val="17"/>
          <w:szCs w:val="17"/>
          <w:color w:val="auto"/>
        </w:rPr>
      </w:pPr>
    </w:p>
    <w:p>
      <w:pPr>
        <w:ind w:left="1360" w:right="380" w:hanging="498"/>
        <w:spacing w:after="0" w:line="272" w:lineRule="auto"/>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exposing us to risks inherent in interest rate fluctuations because our borrowings are at variable rates of interest, which could result in higher interest expense in the event of increases in interest rates.</w:t>
      </w:r>
    </w:p>
    <w:p>
      <w:pPr>
        <w:spacing w:after="0" w:line="165"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1"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Pursuant to our Credit Agreement, we are required to maintain, commencing on the last day of the fiscal quarter ending December 31, 2021,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83" w:lineRule="exact"/>
        <w:rPr>
          <w:sz w:val="20"/>
          <w:szCs w:val="20"/>
          <w:color w:val="auto"/>
        </w:rPr>
      </w:pPr>
    </w:p>
    <w:p>
      <w:pPr>
        <w:ind w:left="460" w:right="220"/>
        <w:spacing w:after="0" w:line="272" w:lineRule="auto"/>
        <w:rPr>
          <w:sz w:val="20"/>
          <w:szCs w:val="20"/>
          <w:color w:val="auto"/>
        </w:rPr>
      </w:pPr>
      <w:r>
        <w:rPr>
          <w:rFonts w:ascii="Arial" w:cs="Arial" w:eastAsia="Arial" w:hAnsi="Arial"/>
          <w:sz w:val="17"/>
          <w:szCs w:val="17"/>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3" w:lineRule="exact"/>
        <w:rPr>
          <w:sz w:val="20"/>
          <w:szCs w:val="20"/>
          <w:color w:val="auto"/>
        </w:rPr>
      </w:pPr>
    </w:p>
    <w:p>
      <w:pPr>
        <w:ind w:left="460" w:right="100" w:firstLine="413"/>
        <w:spacing w:after="0" w:line="252" w:lineRule="auto"/>
        <w:rPr>
          <w:sz w:val="20"/>
          <w:szCs w:val="20"/>
          <w:color w:val="auto"/>
        </w:rPr>
      </w:pPr>
      <w:r>
        <w:rPr>
          <w:rFonts w:ascii="Arial" w:cs="Arial" w:eastAsia="Arial" w:hAnsi="Arial"/>
          <w:sz w:val="17"/>
          <w:szCs w:val="17"/>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760"/>
          </w:cols>
          <w:pgMar w:left="320" w:top="440" w:right="81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12" w:lineRule="exact"/>
        <w:rPr>
          <w:sz w:val="20"/>
          <w:szCs w:val="20"/>
          <w:color w:val="auto"/>
        </w:rPr>
      </w:pPr>
    </w:p>
    <w:p>
      <w:pPr>
        <w:ind w:left="460" w:right="40"/>
        <w:spacing w:after="0" w:line="260" w:lineRule="auto"/>
        <w:rPr>
          <w:sz w:val="20"/>
          <w:szCs w:val="20"/>
          <w:color w:val="auto"/>
        </w:rPr>
      </w:pPr>
      <w:r>
        <w:rPr>
          <w:rFonts w:ascii="Arial" w:cs="Arial" w:eastAsia="Arial" w:hAnsi="Arial"/>
          <w:sz w:val="17"/>
          <w:szCs w:val="17"/>
          <w:b w:val="1"/>
          <w:bCs w:val="1"/>
          <w:i w:val="1"/>
          <w:iCs w:val="1"/>
          <w:color w:val="auto"/>
        </w:rPr>
        <w:t>We are a holding company and our principal asset is our 62.5% economic ownership interest in Definitive OpCo, and we are accordingly dependent upon distributions from Definitive OpCo to pay dividends, if any, and taxes, make payments under the Tax Receivable Agreement and pay other expenses.</w:t>
      </w:r>
    </w:p>
    <w:p>
      <w:pPr>
        <w:spacing w:after="0" w:line="74"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We are a holding company and our principal asset is our ownership of 62.5% of the outstanding LLC Units, inclusive of unvested LLC Units. See “Prospectus Summary—Organizational Structure.”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to Unitholders, including us. Accordingly, we incur income taxes on our allocable share of any taxable income of Definitive OpCo. We also incur expenses related to our operations, and have obligations to make payments under the Tax Receivable Agreement. As the sole managing member of Definitive OpCo, we will cause Definitive OpCo to make distributions to the holders of LLC Units (including us) in amounts sufficient to (i) cover all of the income taxes payable on our and the other LLC Unit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w:t>
      </w:r>
    </w:p>
    <w:p>
      <w:pPr>
        <w:spacing w:after="0" w:line="174" w:lineRule="exact"/>
        <w:rPr>
          <w:sz w:val="20"/>
          <w:szCs w:val="20"/>
          <w:color w:val="auto"/>
        </w:rPr>
      </w:pPr>
    </w:p>
    <w:p>
      <w:pPr>
        <w:ind w:left="460" w:right="220" w:firstLine="413"/>
        <w:spacing w:after="0" w:line="277" w:lineRule="auto"/>
        <w:rPr>
          <w:sz w:val="20"/>
          <w:szCs w:val="20"/>
          <w:color w:val="auto"/>
        </w:rPr>
      </w:pPr>
      <w:r>
        <w:rPr>
          <w:rFonts w:ascii="Arial" w:cs="Arial" w:eastAsia="Arial" w:hAnsi="Arial"/>
          <w:sz w:val="16"/>
          <w:szCs w:val="16"/>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65"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3" w:lineRule="exact"/>
        <w:rPr>
          <w:sz w:val="20"/>
          <w:szCs w:val="20"/>
          <w:color w:val="auto"/>
        </w:rPr>
      </w:pPr>
    </w:p>
    <w:p>
      <w:pPr>
        <w:ind w:left="460" w:right="60" w:firstLine="413"/>
        <w:spacing w:after="0" w:line="285" w:lineRule="auto"/>
        <w:rPr>
          <w:sz w:val="20"/>
          <w:szCs w:val="20"/>
          <w:color w:val="auto"/>
        </w:rPr>
      </w:pPr>
      <w:r>
        <w:rPr>
          <w:rFonts w:ascii="Arial" w:cs="Arial" w:eastAsia="Arial" w:hAnsi="Arial"/>
          <w:sz w:val="15"/>
          <w:szCs w:val="15"/>
          <w:color w:val="auto"/>
        </w:rPr>
        <w:t>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an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See “Certain Relationships and Related Party Transactions—Amended Definitive OpCo Agreement.”</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760"/>
          </w:cols>
          <w:pgMar w:left="320" w:top="440" w:right="81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72" w:lineRule="auto"/>
        <w:rPr>
          <w:sz w:val="20"/>
          <w:szCs w:val="20"/>
          <w:color w:val="auto"/>
        </w:rPr>
      </w:pPr>
      <w:r>
        <w:rPr>
          <w:rFonts w:ascii="Arial" w:cs="Arial" w:eastAsia="Arial" w:hAnsi="Arial"/>
          <w:sz w:val="17"/>
          <w:szCs w:val="17"/>
          <w:b w:val="1"/>
          <w:bCs w:val="1"/>
          <w:i w:val="1"/>
          <w:iCs w:val="1"/>
          <w:color w:val="auto"/>
        </w:rPr>
        <w:t>The Tax Receivable Agreement with the TRA Parties requires us to make cash payments to them in respect of certain tax benefits to which we may become entitled, and we expect that the payments we are required to make will be substantial.</w:t>
      </w:r>
    </w:p>
    <w:p>
      <w:pPr>
        <w:spacing w:after="0" w:line="63"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Under the Tax Receivable Agreement, we are required to make cash payments to the TRA Parties equal to 85% of the tax benefits, if any,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 The payment obligations under the Tax Receivable Agreement are obligations of the Company and we expect that the amount of the cash payments that we are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Assuming no material changes in relevant tax law and that we earn sufficient taxable income to realize all tax benefits that are subject to the Tax Receivable Agreement, the tax savings associated with all tax attributes described above would aggregate to approximately $1,023.0 million over 15 years from the date of the completion of this offering, based on a public offering price, net of underwriters discounts, of $34.74 per share of Class A common stock, and assuming (i) all future exchanges and the exchanges in this offering would occur at such price on the date of this offering, and (ii) based on relevant fair market value and facts for any historical exchanges. Under this scenario, we would be required to pay the TRA Parties approximately 85% of such amount, or $869.6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271"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63" w:lineRule="exact"/>
        <w:rPr>
          <w:sz w:val="20"/>
          <w:szCs w:val="20"/>
          <w:color w:val="auto"/>
        </w:rPr>
      </w:pPr>
    </w:p>
    <w:p>
      <w:pPr>
        <w:ind w:left="460" w:right="40" w:firstLine="413"/>
        <w:spacing w:after="0" w:line="251"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TRA Parties that will not benefit the holders of our Class A common stock to the same extent that it will benefit the TRA Parties. We entered into the Tax Receivable Agreement with Definitive OpCo and the TRA Parties, which provides for the payment by us to the TRA Parties of 85% of the amount of tax benefits, if any,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 See “Certain Relationships and Related Party Transactions—Tax Receivable Agreement”. Although we hold 15% of the amount of such tax benefits, this and other aspects of our organizational structure may adversely impact the future trading market for our Class A common stock.</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780"/>
          </w:cols>
          <w:pgMar w:left="320" w:top="440" w:right="79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63" w:lineRule="exact"/>
        <w:rPr>
          <w:sz w:val="20"/>
          <w:szCs w:val="20"/>
          <w:color w:val="auto"/>
        </w:rPr>
      </w:pPr>
    </w:p>
    <w:p>
      <w:pPr>
        <w:ind w:left="460" w:right="20" w:firstLine="413"/>
        <w:spacing w:after="0" w:line="252" w:lineRule="auto"/>
        <w:rPr>
          <w:sz w:val="20"/>
          <w:szCs w:val="20"/>
          <w:color w:val="auto"/>
        </w:rPr>
      </w:pPr>
      <w:r>
        <w:rPr>
          <w:rFonts w:ascii="Arial" w:cs="Arial" w:eastAsia="Arial" w:hAnsi="Arial"/>
          <w:sz w:val="17"/>
          <w:szCs w:val="17"/>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182"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69" w:lineRule="exact"/>
        <w:rPr>
          <w:sz w:val="20"/>
          <w:szCs w:val="20"/>
          <w:color w:val="auto"/>
        </w:rPr>
      </w:pPr>
    </w:p>
    <w:p>
      <w:pPr>
        <w:ind w:left="460" w:right="140"/>
        <w:spacing w:after="0" w:line="303" w:lineRule="auto"/>
        <w:rPr>
          <w:sz w:val="20"/>
          <w:szCs w:val="20"/>
          <w:color w:val="auto"/>
        </w:rPr>
      </w:pPr>
      <w:r>
        <w:rPr>
          <w:rFonts w:ascii="Arial" w:cs="Arial" w:eastAsia="Arial" w:hAnsi="Arial"/>
          <w:sz w:val="16"/>
          <w:szCs w:val="16"/>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42"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67" w:lineRule="exact"/>
        <w:rPr>
          <w:sz w:val="20"/>
          <w:szCs w:val="20"/>
          <w:color w:val="auto"/>
        </w:rPr>
      </w:pPr>
    </w:p>
    <w:p>
      <w:pPr>
        <w:ind w:left="460" w:right="360"/>
        <w:spacing w:after="0" w:line="272" w:lineRule="auto"/>
        <w:rPr>
          <w:sz w:val="20"/>
          <w:szCs w:val="20"/>
          <w:color w:val="auto"/>
        </w:rPr>
      </w:pPr>
      <w:r>
        <w:rPr>
          <w:rFonts w:ascii="Arial" w:cs="Arial" w:eastAsia="Arial" w:hAnsi="Arial"/>
          <w:sz w:val="17"/>
          <w:szCs w:val="17"/>
          <w:b w:val="1"/>
          <w:bCs w:val="1"/>
          <w:i w:val="1"/>
          <w:iCs w:val="1"/>
          <w:color w:val="auto"/>
        </w:rPr>
        <w:t>We will not be reimbursed for any payments made to the TRA Parties under the Tax Receivable Agreement in the event that any tax benefits are disallowed.</w:t>
      </w:r>
    </w:p>
    <w:p>
      <w:pPr>
        <w:spacing w:after="0" w:line="63"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780"/>
          </w:cols>
          <w:pgMar w:left="320" w:top="440" w:right="79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93" w:lineRule="auto"/>
        <w:rPr>
          <w:sz w:val="20"/>
          <w:szCs w:val="20"/>
          <w:color w:val="auto"/>
        </w:rPr>
      </w:pPr>
      <w:r>
        <w:rPr>
          <w:rFonts w:ascii="Arial" w:cs="Arial" w:eastAsia="Arial" w:hAnsi="Arial"/>
          <w:sz w:val="15"/>
          <w:szCs w:val="15"/>
          <w:color w:val="auto"/>
        </w:rPr>
        <w:t>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56" w:lineRule="exact"/>
        <w:rPr>
          <w:sz w:val="20"/>
          <w:szCs w:val="20"/>
          <w:color w:val="auto"/>
        </w:rPr>
      </w:pPr>
    </w:p>
    <w:p>
      <w:pPr>
        <w:ind w:left="460" w:right="220"/>
        <w:spacing w:after="0" w:line="260"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4"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2" w:lineRule="exact"/>
        <w:rPr>
          <w:sz w:val="20"/>
          <w:szCs w:val="20"/>
          <w:color w:val="auto"/>
        </w:rPr>
      </w:pPr>
    </w:p>
    <w:p>
      <w:pPr>
        <w:ind w:left="460" w:right="400" w:firstLine="413"/>
        <w:spacing w:after="0" w:line="256" w:lineRule="auto"/>
        <w:rPr>
          <w:sz w:val="20"/>
          <w:szCs w:val="20"/>
          <w:color w:val="auto"/>
        </w:rPr>
      </w:pPr>
      <w:r>
        <w:rPr>
          <w:rFonts w:ascii="Arial" w:cs="Arial" w:eastAsia="Arial" w:hAnsi="Arial"/>
          <w:sz w:val="17"/>
          <w:szCs w:val="17"/>
          <w:color w:val="auto"/>
        </w:rPr>
        <w:t>As the sole managing member of Definitive OpCo, we control and operate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79"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this Offering and Ownership of Our Class A Common Stock</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Future offerings of debt or equity securities by us may have a material adverse effect on the market price of our Class A common stock.</w:t>
      </w:r>
    </w:p>
    <w:p>
      <w:pPr>
        <w:spacing w:after="0" w:line="131"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760"/>
          </w:cols>
          <w:pgMar w:left="320" w:top="440" w:right="81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20"/>
        <w:spacing w:after="0" w:line="296" w:lineRule="auto"/>
        <w:rPr>
          <w:sz w:val="20"/>
          <w:szCs w:val="20"/>
          <w:color w:val="auto"/>
        </w:rPr>
      </w:pPr>
      <w:r>
        <w:rPr>
          <w:rFonts w:ascii="Arial" w:cs="Arial" w:eastAsia="Arial" w:hAnsi="Arial"/>
          <w:sz w:val="15"/>
          <w:szCs w:val="15"/>
          <w:color w:val="auto"/>
        </w:rPr>
        <w:t>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Certain of our directors and stockholders will not have any obligation to present business opportunities to us and may compete with us.</w:t>
      </w:r>
    </w:p>
    <w:p>
      <w:pPr>
        <w:spacing w:after="0" w:line="131"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Our amended and restated certificate of incorporation provides that our directors and stockholders affiliated with Advent, Spectrum Equity and 22C Capital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148"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As a result, our directors and stockholders affiliated with Advent, Spectrum Equity and 22C Capital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do not anticipate paying any dividends on our Class A common stock in the foreseeable future.</w:t>
      </w:r>
    </w:p>
    <w:p>
      <w:pPr>
        <w:spacing w:after="0" w:line="108" w:lineRule="exact"/>
        <w:rPr>
          <w:sz w:val="20"/>
          <w:szCs w:val="20"/>
          <w:color w:val="auto"/>
        </w:rPr>
      </w:pPr>
    </w:p>
    <w:p>
      <w:pPr>
        <w:ind w:left="460" w:right="80" w:firstLine="413"/>
        <w:spacing w:after="0" w:line="277" w:lineRule="auto"/>
        <w:rPr>
          <w:sz w:val="20"/>
          <w:szCs w:val="20"/>
          <w:color w:val="auto"/>
        </w:rPr>
      </w:pPr>
      <w:r>
        <w:rPr>
          <w:rFonts w:ascii="Arial" w:cs="Arial" w:eastAsia="Arial" w:hAnsi="Arial"/>
          <w:sz w:val="16"/>
          <w:szCs w:val="16"/>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65" w:lineRule="exact"/>
        <w:rPr>
          <w:sz w:val="20"/>
          <w:szCs w:val="20"/>
          <w:color w:val="auto"/>
        </w:rPr>
      </w:pPr>
    </w:p>
    <w:p>
      <w:pPr>
        <w:ind w:left="460" w:right="480"/>
        <w:spacing w:after="0" w:line="303" w:lineRule="auto"/>
        <w:rPr>
          <w:sz w:val="20"/>
          <w:szCs w:val="20"/>
          <w:color w:val="auto"/>
        </w:rPr>
      </w:pPr>
      <w:r>
        <w:rPr>
          <w:rFonts w:ascii="Arial" w:cs="Arial" w:eastAsia="Arial" w:hAnsi="Arial"/>
          <w:sz w:val="16"/>
          <w:szCs w:val="16"/>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42" w:lineRule="exact"/>
        <w:rPr>
          <w:sz w:val="20"/>
          <w:szCs w:val="20"/>
          <w:color w:val="auto"/>
        </w:rPr>
      </w:pPr>
    </w:p>
    <w:p>
      <w:pPr>
        <w:ind w:left="460" w:right="180" w:firstLine="413"/>
        <w:spacing w:after="0" w:line="277" w:lineRule="auto"/>
        <w:rPr>
          <w:sz w:val="20"/>
          <w:szCs w:val="20"/>
          <w:color w:val="auto"/>
        </w:rPr>
      </w:pPr>
      <w:r>
        <w:rPr>
          <w:rFonts w:ascii="Arial" w:cs="Arial" w:eastAsia="Arial" w:hAnsi="Arial"/>
          <w:sz w:val="16"/>
          <w:szCs w:val="16"/>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securities or industry analysts publish inaccurate or unfavorable research about our business, our stock price and trading volume could decline.</w:t>
      </w:r>
    </w:p>
    <w:p>
      <w:pPr>
        <w:spacing w:after="0" w:line="143"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The trading market for our Class A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price of Class A common stock sold in this offering.</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00"/>
          </w:cols>
          <w:pgMar w:left="320" w:top="440" w:right="7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520"/>
        <w:spacing w:after="0" w:line="272" w:lineRule="auto"/>
        <w:rPr>
          <w:sz w:val="20"/>
          <w:szCs w:val="20"/>
          <w:color w:val="auto"/>
        </w:rPr>
      </w:pPr>
      <w:r>
        <w:rPr>
          <w:rFonts w:ascii="Arial" w:cs="Arial" w:eastAsia="Arial" w:hAnsi="Arial"/>
          <w:sz w:val="17"/>
          <w:szCs w:val="17"/>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3"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Shares of our Class A common stock sold in this offering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3" w:lineRule="exact"/>
        <w:rPr>
          <w:sz w:val="20"/>
          <w:szCs w:val="20"/>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variations in our quarterly or annual results of operations;</w:t>
      </w:r>
    </w:p>
    <w:p>
      <w:pPr>
        <w:spacing w:after="0" w:line="121" w:lineRule="exact"/>
        <w:rPr>
          <w:rFonts w:ascii="Arial" w:cs="Arial" w:eastAsia="Arial" w:hAnsi="Arial"/>
          <w:sz w:val="17"/>
          <w:szCs w:val="17"/>
          <w:color w:val="auto"/>
        </w:rPr>
      </w:pPr>
    </w:p>
    <w:p>
      <w:pPr>
        <w:ind w:left="1360" w:right="60" w:hanging="498"/>
        <w:spacing w:after="0" w:line="272" w:lineRule="auto"/>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changes in our earnings estimates (if provided) or differences between our actual results of operations and those expected by investors and analysts;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contents of published research reports about us or our industry or the failure of securities analysts to cover our Class A common stock;</w:t>
      </w:r>
    </w:p>
    <w:p>
      <w:pPr>
        <w:spacing w:after="0" w:line="144" w:lineRule="exact"/>
        <w:rPr>
          <w:rFonts w:ascii="Arial" w:cs="Arial" w:eastAsia="Arial" w:hAnsi="Arial"/>
          <w:sz w:val="15"/>
          <w:szCs w:val="15"/>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increased indebtedness we may incur in the future;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announcements by us or others and developments affecting us;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actions by institutional stockholders;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litigation and governmental investigations;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legislative or regulatory changes;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judicial pronouncements interpreting laws and regulations;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changes in government programs;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changes in market valuations of similar companies;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speculation or reports by the press or investment community with respect to us or our industry in general;</w:t>
      </w:r>
    </w:p>
    <w:p>
      <w:pPr>
        <w:spacing w:after="0" w:line="121" w:lineRule="exact"/>
        <w:rPr>
          <w:rFonts w:ascii="Arial" w:cs="Arial" w:eastAsia="Arial" w:hAnsi="Arial"/>
          <w:sz w:val="17"/>
          <w:szCs w:val="17"/>
          <w:color w:val="auto"/>
        </w:rPr>
      </w:pPr>
    </w:p>
    <w:p>
      <w:pPr>
        <w:ind w:left="1360" w:right="60" w:hanging="498"/>
        <w:spacing w:after="0" w:line="272" w:lineRule="auto"/>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acquisitions, dispositions, strategic relationships, joint ventures or capital commitments; and</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general market, political and economic conditions, including local conditions in the markets in which we operate.</w:t>
      </w:r>
    </w:p>
    <w:p>
      <w:pPr>
        <w:spacing w:after="0" w:line="210"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53" w:lineRule="exact"/>
        <w:rPr>
          <w:sz w:val="20"/>
          <w:szCs w:val="20"/>
          <w:color w:val="auto"/>
        </w:rPr>
      </w:pPr>
    </w:p>
    <w:p>
      <w:pPr>
        <w:ind w:left="460" w:right="360"/>
        <w:spacing w:after="0" w:line="272" w:lineRule="auto"/>
        <w:rPr>
          <w:sz w:val="20"/>
          <w:szCs w:val="20"/>
          <w:color w:val="auto"/>
        </w:rPr>
      </w:pPr>
      <w:r>
        <w:rPr>
          <w:rFonts w:ascii="Arial" w:cs="Arial" w:eastAsia="Arial" w:hAnsi="Arial"/>
          <w:sz w:val="17"/>
          <w:szCs w:val="17"/>
          <w:b w:val="1"/>
          <w:bCs w:val="1"/>
          <w:i w:val="1"/>
          <w:iCs w:val="1"/>
          <w:color w:val="auto"/>
        </w:rPr>
        <w:t>The market price of our Class A common stock could be negatively affected by sales of substantial amounts of our Class A common stock in the public markets.</w:t>
      </w:r>
    </w:p>
    <w:p>
      <w:pPr>
        <w:spacing w:after="0" w:line="63" w:lineRule="exact"/>
        <w:rPr>
          <w:sz w:val="20"/>
          <w:szCs w:val="20"/>
          <w:color w:val="auto"/>
        </w:rPr>
      </w:pPr>
    </w:p>
    <w:p>
      <w:pPr>
        <w:ind w:left="460" w:right="360" w:firstLine="413"/>
        <w:spacing w:after="0" w:line="260" w:lineRule="auto"/>
        <w:rPr>
          <w:sz w:val="20"/>
          <w:szCs w:val="20"/>
          <w:color w:val="auto"/>
        </w:rPr>
      </w:pPr>
      <w:r>
        <w:rPr>
          <w:rFonts w:ascii="Arial" w:cs="Arial" w:eastAsia="Arial" w:hAnsi="Arial"/>
          <w:sz w:val="17"/>
          <w:szCs w:val="17"/>
          <w:color w:val="auto"/>
        </w:rPr>
        <w:t>Of our issued and outstanding shares of Class A common stock, all the Class A common stock sold in this offering will be freely transferable, except for any shares held by our “affiliates,” as that term is defined in Rule 144 under the Securities Act. Following closing of this offering, approximately 64.4% of our outstanding Class A</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780"/>
          </w:cols>
          <w:pgMar w:left="320" w:top="440" w:right="79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40"/>
        <w:spacing w:after="0" w:line="340" w:lineRule="auto"/>
        <w:rPr>
          <w:sz w:val="20"/>
          <w:szCs w:val="20"/>
          <w:color w:val="auto"/>
        </w:rPr>
      </w:pPr>
      <w:r>
        <w:rPr>
          <w:rFonts w:ascii="Arial" w:cs="Arial" w:eastAsia="Arial" w:hAnsi="Arial"/>
          <w:sz w:val="15"/>
          <w:szCs w:val="15"/>
          <w:color w:val="auto"/>
        </w:rPr>
        <w:t>common stock, or 63%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1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In connection with our IPO, we and our officers, directors and holders of substantially all of our outstanding capital stock and other securities have agreed, subject to specified exceptions, including an exception granted by Goldman Sachs &amp; Co. LLC and J.P. Morgan Securities LLC to permit the participation in the synthetic secondary by certain of our stockholders, unitholders, Sponsors, officers, directors and their affiliates, not to directly or indirectly:</w:t>
      </w:r>
    </w:p>
    <w:p>
      <w:pPr>
        <w:spacing w:after="0" w:line="90" w:lineRule="exact"/>
        <w:rPr>
          <w:sz w:val="20"/>
          <w:szCs w:val="20"/>
          <w:color w:val="auto"/>
        </w:rPr>
      </w:pPr>
    </w:p>
    <w:p>
      <w:pPr>
        <w:ind w:left="1360" w:right="20" w:hanging="498"/>
        <w:spacing w:after="0" w:line="272" w:lineRule="auto"/>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w:t>
      </w:r>
    </w:p>
    <w:p>
      <w:pPr>
        <w:spacing w:after="0" w:line="76" w:lineRule="exact"/>
        <w:rPr>
          <w:rFonts w:ascii="Arial" w:cs="Arial" w:eastAsia="Arial" w:hAnsi="Arial"/>
          <w:sz w:val="17"/>
          <w:szCs w:val="17"/>
          <w:color w:val="auto"/>
        </w:rPr>
      </w:pPr>
    </w:p>
    <w:p>
      <w:pPr>
        <w:ind w:left="1360" w:right="100" w:hanging="498"/>
        <w:spacing w:after="0" w:line="256" w:lineRule="auto"/>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through March 13, 2021 without the prior written consent of the representatives of the underwriters.</w:t>
      </w:r>
    </w:p>
    <w:p>
      <w:pPr>
        <w:spacing w:after="0" w:line="179"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This restriction terminates after the close of trading of the Class A common stock on and including March 13, 2021. Goldman Sachs &amp; Co. LLC and J.P. Morgan Securities LLC may, in their sole discretion and at any time or from time to time before the termination of such restriction, release all or any portion of the securities subject to such agreements. See “Underwriting.”</w:t>
      </w:r>
    </w:p>
    <w:p>
      <w:pPr>
        <w:spacing w:after="0" w:line="175"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276" w:lineRule="exact"/>
        <w:rPr>
          <w:sz w:val="20"/>
          <w:szCs w:val="20"/>
          <w:color w:val="auto"/>
        </w:rPr>
      </w:pPr>
    </w:p>
    <w:p>
      <w:pPr>
        <w:ind w:left="460" w:right="700"/>
        <w:spacing w:after="0" w:line="272" w:lineRule="auto"/>
        <w:rPr>
          <w:sz w:val="20"/>
          <w:szCs w:val="20"/>
          <w:color w:val="auto"/>
        </w:rPr>
      </w:pPr>
      <w:r>
        <w:rPr>
          <w:rFonts w:ascii="Arial" w:cs="Arial" w:eastAsia="Arial" w:hAnsi="Arial"/>
          <w:sz w:val="17"/>
          <w:szCs w:val="17"/>
          <w:b w:val="1"/>
          <w:bCs w:val="1"/>
          <w:i w:val="1"/>
          <w:iCs w:val="1"/>
          <w:color w:val="auto"/>
        </w:rPr>
        <w:t>The future issuance of additional Class A common stock in connection with any equity plans, acquisitions or otherwise will dilute all other stockholdings.</w:t>
      </w:r>
    </w:p>
    <w:p>
      <w:pPr>
        <w:spacing w:after="0" w:line="63" w:lineRule="exact"/>
        <w:rPr>
          <w:sz w:val="20"/>
          <w:szCs w:val="20"/>
          <w:color w:val="auto"/>
        </w:rPr>
      </w:pPr>
    </w:p>
    <w:p>
      <w:pPr>
        <w:ind w:left="460" w:right="60" w:firstLine="413"/>
        <w:spacing w:after="0" w:line="301" w:lineRule="auto"/>
        <w:rPr>
          <w:sz w:val="20"/>
          <w:szCs w:val="20"/>
          <w:color w:val="auto"/>
        </w:rPr>
      </w:pPr>
      <w:r>
        <w:rPr>
          <w:rFonts w:ascii="Arial" w:cs="Arial" w:eastAsia="Arial" w:hAnsi="Arial"/>
          <w:sz w:val="15"/>
          <w:szCs w:val="15"/>
          <w:color w:val="auto"/>
        </w:rPr>
        <w:t>After this offering, we will have an aggregate of 500,851,143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49"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b w:val="1"/>
          <w:bCs w:val="1"/>
          <w:i w:val="1"/>
          <w:iCs w:val="1"/>
          <w:color w:val="auto"/>
        </w:rPr>
        <w:t>As a public company, we incur significant costs to comply with the laws and regulations affecting public companies, which could harm our business and results of operations.</w:t>
      </w:r>
    </w:p>
    <w:p>
      <w:pPr>
        <w:spacing w:after="0" w:line="63" w:lineRule="exact"/>
        <w:rPr>
          <w:sz w:val="20"/>
          <w:szCs w:val="20"/>
          <w:color w:val="auto"/>
        </w:rPr>
      </w:pPr>
    </w:p>
    <w:p>
      <w:pPr>
        <w:ind w:left="460" w:right="20" w:firstLine="413"/>
        <w:spacing w:after="0" w:line="288" w:lineRule="auto"/>
        <w:rPr>
          <w:sz w:val="20"/>
          <w:szCs w:val="20"/>
          <w:color w:val="auto"/>
        </w:rPr>
      </w:pPr>
      <w:r>
        <w:rPr>
          <w:rFonts w:ascii="Arial" w:cs="Arial" w:eastAsia="Arial" w:hAnsi="Arial"/>
          <w:sz w:val="15"/>
          <w:szCs w:val="15"/>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59"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Our management team and other personnel devote a substantial amount of time to new compliance initiatives, and we may not successfully or efficiently manage our transition to a public company. To comply</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780"/>
          </w:cols>
          <w:pgMar w:left="320" w:top="440" w:right="7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200"/>
        <w:spacing w:after="0" w:line="260" w:lineRule="auto"/>
        <w:rPr>
          <w:sz w:val="20"/>
          <w:szCs w:val="20"/>
          <w:color w:val="auto"/>
        </w:rPr>
      </w:pPr>
      <w:r>
        <w:rPr>
          <w:rFonts w:ascii="Arial" w:cs="Arial" w:eastAsia="Arial" w:hAnsi="Arial"/>
          <w:sz w:val="17"/>
          <w:szCs w:val="17"/>
          <w:color w:val="auto"/>
        </w:rPr>
        <w:t>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current resources may not be sufficient to fulfill our public company obligations.</w:t>
      </w:r>
    </w:p>
    <w:p>
      <w:pPr>
        <w:spacing w:after="0" w:line="108" w:lineRule="exact"/>
        <w:rPr>
          <w:sz w:val="20"/>
          <w:szCs w:val="20"/>
          <w:color w:val="auto"/>
        </w:rPr>
      </w:pPr>
    </w:p>
    <w:p>
      <w:pPr>
        <w:ind w:left="460" w:right="140" w:firstLine="413"/>
        <w:spacing w:after="0" w:line="270" w:lineRule="auto"/>
        <w:rPr>
          <w:sz w:val="20"/>
          <w:szCs w:val="20"/>
          <w:color w:val="auto"/>
        </w:rPr>
      </w:pPr>
      <w:r>
        <w:rPr>
          <w:rFonts w:ascii="Arial" w:cs="Arial" w:eastAsia="Arial" w:hAnsi="Arial"/>
          <w:sz w:val="16"/>
          <w:szCs w:val="16"/>
          <w:color w:val="auto"/>
        </w:rPr>
        <w:t>As a public company, we are subject to various regulatory requirements, including those of the SEC and Nasdaq.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73" w:lineRule="exact"/>
        <w:rPr>
          <w:sz w:val="20"/>
          <w:szCs w:val="20"/>
          <w:color w:val="auto"/>
        </w:rPr>
      </w:pPr>
    </w:p>
    <w:p>
      <w:pPr>
        <w:ind w:left="460" w:right="60"/>
        <w:spacing w:after="0" w:line="303" w:lineRule="auto"/>
        <w:rPr>
          <w:sz w:val="20"/>
          <w:szCs w:val="20"/>
          <w:color w:val="auto"/>
        </w:rPr>
      </w:pPr>
      <w:r>
        <w:rPr>
          <w:rFonts w:ascii="Arial" w:cs="Arial" w:eastAsia="Arial" w:hAnsi="Arial"/>
          <w:sz w:val="16"/>
          <w:szCs w:val="16"/>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42" w:lineRule="exact"/>
        <w:rPr>
          <w:sz w:val="20"/>
          <w:szCs w:val="20"/>
          <w:color w:val="auto"/>
        </w:rPr>
      </w:pPr>
    </w:p>
    <w:p>
      <w:pPr>
        <w:ind w:left="460" w:right="40" w:firstLine="413"/>
        <w:spacing w:after="0" w:line="291" w:lineRule="auto"/>
        <w:rPr>
          <w:sz w:val="20"/>
          <w:szCs w:val="20"/>
          <w:color w:val="auto"/>
        </w:rPr>
      </w:pPr>
      <w:r>
        <w:rPr>
          <w:rFonts w:ascii="Arial" w:cs="Arial" w:eastAsia="Arial" w:hAnsi="Arial"/>
          <w:sz w:val="15"/>
          <w:szCs w:val="15"/>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57" w:lineRule="exact"/>
        <w:rPr>
          <w:sz w:val="20"/>
          <w:szCs w:val="20"/>
          <w:color w:val="auto"/>
        </w:rPr>
      </w:pPr>
    </w:p>
    <w:p>
      <w:pPr>
        <w:ind w:left="460" w:right="200" w:firstLine="413"/>
        <w:spacing w:after="0" w:line="254"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81"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83" w:lineRule="exact"/>
        <w:rPr>
          <w:sz w:val="20"/>
          <w:szCs w:val="20"/>
          <w:color w:val="auto"/>
        </w:rPr>
      </w:pPr>
    </w:p>
    <w:p>
      <w:pPr>
        <w:ind w:left="460" w:right="200"/>
        <w:spacing w:after="0" w:line="272" w:lineRule="auto"/>
        <w:rPr>
          <w:sz w:val="20"/>
          <w:szCs w:val="20"/>
          <w:color w:val="auto"/>
        </w:rPr>
      </w:pPr>
      <w:r>
        <w:rPr>
          <w:rFonts w:ascii="Arial" w:cs="Arial" w:eastAsia="Arial" w:hAnsi="Arial"/>
          <w:sz w:val="17"/>
          <w:szCs w:val="17"/>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3"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We are a Delaware corporation, and the anti-takeover provisions of Delaware law impose various impediments to the ability of a third-party to acquire control of us, even if a change of control would be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780"/>
          </w:cols>
          <w:pgMar w:left="320" w:top="440" w:right="79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color w:val="auto"/>
        </w:rPr>
        <w:t>beneficial to our existing stockholders. In addition, provisions of our amended and restated certificate of incorporation and amended and restated bylaws may make it more difficult for, or prevent a third-party from, acquiring control of us without the approval of our Board. Among other things, these provisions generally:</w:t>
      </w:r>
    </w:p>
    <w:p>
      <w:pPr>
        <w:spacing w:after="0" w:line="87" w:lineRule="exact"/>
        <w:rPr>
          <w:sz w:val="20"/>
          <w:szCs w:val="20"/>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provide for a classified Board with staggered three-year terms;</w:t>
      </w:r>
    </w:p>
    <w:p>
      <w:pPr>
        <w:spacing w:after="0" w:line="121" w:lineRule="exact"/>
        <w:rPr>
          <w:rFonts w:ascii="Arial" w:cs="Arial" w:eastAsia="Arial" w:hAnsi="Arial"/>
          <w:sz w:val="17"/>
          <w:szCs w:val="17"/>
          <w:color w:val="auto"/>
        </w:rPr>
      </w:pPr>
    </w:p>
    <w:p>
      <w:pPr>
        <w:ind w:left="1360" w:right="360" w:hanging="498"/>
        <w:spacing w:after="0" w:line="272"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do not permit cumulative voting in the election of directors, which would otherwise allow less than a majority of stockholders to elect director candidates;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delegate the sole power of a majority of the Board to fix the number of directors;</w:t>
      </w:r>
    </w:p>
    <w:p>
      <w:pPr>
        <w:spacing w:after="0" w:line="121" w:lineRule="exact"/>
        <w:rPr>
          <w:rFonts w:ascii="Arial" w:cs="Arial" w:eastAsia="Arial" w:hAnsi="Arial"/>
          <w:sz w:val="17"/>
          <w:szCs w:val="17"/>
          <w:color w:val="auto"/>
        </w:rPr>
      </w:pPr>
    </w:p>
    <w:p>
      <w:pPr>
        <w:ind w:left="1360" w:right="180" w:hanging="498"/>
        <w:spacing w:after="0" w:line="272"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provide that the Board has the sole power to fill any vacancy on our Board, whether such vacancy occurs as a result of an increase in the number of directors or otherwise;</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authorize the issuance of preferred stock without any need for action by stockholders;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do not permit stockholders to call special meetings of stockholders;</w:t>
      </w:r>
    </w:p>
    <w:p>
      <w:pPr>
        <w:spacing w:after="0" w:line="121" w:lineRule="exact"/>
        <w:rPr>
          <w:rFonts w:ascii="Arial" w:cs="Arial" w:eastAsia="Arial" w:hAnsi="Arial"/>
          <w:sz w:val="17"/>
          <w:szCs w:val="17"/>
          <w:color w:val="auto"/>
        </w:rPr>
      </w:pPr>
    </w:p>
    <w:p>
      <w:pPr>
        <w:ind w:left="1360" w:right="520" w:hanging="498"/>
        <w:spacing w:after="0" w:line="260"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prohibit our stockholders from acting by written consent once Advent’s ownership falls below 30%; and establish advance notice requirements for nominations for election to our Board or for proposing matters that can be acted on by stockholders at stockholder meetings.</w:t>
      </w:r>
    </w:p>
    <w:p>
      <w:pPr>
        <w:spacing w:after="0" w:line="175" w:lineRule="exact"/>
        <w:rPr>
          <w:sz w:val="20"/>
          <w:szCs w:val="20"/>
          <w:color w:val="auto"/>
        </w:rPr>
      </w:pPr>
    </w:p>
    <w:p>
      <w:pPr>
        <w:ind w:left="460" w:right="160" w:firstLine="413"/>
        <w:spacing w:after="0" w:line="284" w:lineRule="auto"/>
        <w:rPr>
          <w:sz w:val="20"/>
          <w:szCs w:val="20"/>
          <w:color w:val="auto"/>
        </w:rPr>
      </w:pPr>
      <w:r>
        <w:rPr>
          <w:rFonts w:ascii="Arial" w:cs="Arial" w:eastAsia="Arial" w:hAnsi="Arial"/>
          <w:sz w:val="16"/>
          <w:szCs w:val="16"/>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57"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76" w:lineRule="exact"/>
        <w:rPr>
          <w:sz w:val="20"/>
          <w:szCs w:val="20"/>
          <w:color w:val="auto"/>
        </w:rPr>
      </w:pPr>
    </w:p>
    <w:p>
      <w:pPr>
        <w:ind w:left="460" w:right="80"/>
        <w:spacing w:after="0" w:line="272" w:lineRule="auto"/>
        <w:rPr>
          <w:sz w:val="20"/>
          <w:szCs w:val="20"/>
          <w:color w:val="auto"/>
        </w:rPr>
      </w:pPr>
      <w:r>
        <w:rPr>
          <w:rFonts w:ascii="Arial" w:cs="Arial" w:eastAsia="Arial" w:hAnsi="Arial"/>
          <w:sz w:val="17"/>
          <w:szCs w:val="17"/>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3" w:lineRule="exact"/>
        <w:rPr>
          <w:sz w:val="20"/>
          <w:szCs w:val="20"/>
          <w:color w:val="auto"/>
        </w:rPr>
      </w:pPr>
    </w:p>
    <w:p>
      <w:pPr>
        <w:ind w:left="460" w:right="40" w:firstLine="413"/>
        <w:spacing w:after="0" w:line="285" w:lineRule="auto"/>
        <w:rPr>
          <w:sz w:val="20"/>
          <w:szCs w:val="20"/>
          <w:color w:val="auto"/>
        </w:rPr>
      </w:pPr>
      <w:r>
        <w:rPr>
          <w:rFonts w:ascii="Arial" w:cs="Arial" w:eastAsia="Arial" w:hAnsi="Arial"/>
          <w:sz w:val="15"/>
          <w:szCs w:val="15"/>
          <w:color w:val="auto"/>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w:t>
      </w:r>
    </w:p>
    <w:p>
      <w:pPr>
        <w:spacing w:after="0" w:line="1" w:lineRule="exact"/>
        <w:rPr>
          <w:sz w:val="20"/>
          <w:szCs w:val="20"/>
          <w:color w:val="auto"/>
        </w:rPr>
      </w:pPr>
    </w:p>
    <w:p>
      <w:pPr>
        <w:ind w:left="460" w:right="60" w:hanging="3"/>
        <w:spacing w:after="0" w:line="250" w:lineRule="auto"/>
        <w:tabs>
          <w:tab w:leader="none" w:pos="7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60"/>
          </w:cols>
          <w:pgMar w:left="320" w:top="440" w:right="8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301"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46"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170"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79"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w:t>
      </w:r>
    </w:p>
    <w:p>
      <w:pPr>
        <w:spacing w:after="0" w:line="182" w:lineRule="exact"/>
        <w:rPr>
          <w:sz w:val="20"/>
          <w:szCs w:val="20"/>
          <w:color w:val="auto"/>
        </w:rPr>
      </w:pPr>
    </w:p>
    <w:p>
      <w:pPr>
        <w:ind w:left="460" w:right="60" w:firstLine="413"/>
        <w:spacing w:after="0" w:line="253" w:lineRule="auto"/>
        <w:rPr>
          <w:sz w:val="20"/>
          <w:szCs w:val="20"/>
          <w:color w:val="auto"/>
        </w:rPr>
      </w:pPr>
      <w:r>
        <w:rPr>
          <w:rFonts w:ascii="Arial" w:cs="Arial" w:eastAsia="Arial" w:hAnsi="Arial"/>
          <w:sz w:val="17"/>
          <w:szCs w:val="17"/>
          <w:color w:val="auto"/>
        </w:rPr>
        <w:t>By agreeing to this provision, however, stockholders are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ability to issue preferred stock may deter takeover attempts.</w:t>
      </w:r>
    </w:p>
    <w:p>
      <w:pPr>
        <w:spacing w:after="0" w:line="108" w:lineRule="exact"/>
        <w:rPr>
          <w:sz w:val="20"/>
          <w:szCs w:val="20"/>
          <w:color w:val="auto"/>
        </w:rPr>
      </w:pPr>
    </w:p>
    <w:p>
      <w:pPr>
        <w:ind w:left="460" w:right="20" w:firstLine="413"/>
        <w:spacing w:after="0" w:line="286" w:lineRule="auto"/>
        <w:rPr>
          <w:sz w:val="20"/>
          <w:szCs w:val="20"/>
          <w:color w:val="auto"/>
        </w:rPr>
      </w:pPr>
      <w:r>
        <w:rPr>
          <w:rFonts w:ascii="Arial" w:cs="Arial" w:eastAsia="Arial" w:hAnsi="Arial"/>
          <w:sz w:val="15"/>
          <w:szCs w:val="15"/>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w:t>
      </w:r>
    </w:p>
    <w:p>
      <w:pPr>
        <w:ind w:left="460"/>
        <w:spacing w:after="0"/>
        <w:rPr>
          <w:sz w:val="20"/>
          <w:szCs w:val="20"/>
          <w:color w:val="auto"/>
        </w:rPr>
      </w:pPr>
      <w:r>
        <w:rPr>
          <w:rFonts w:ascii="Arial" w:cs="Arial" w:eastAsia="Arial" w:hAnsi="Arial"/>
          <w:sz w:val="15"/>
          <w:szCs w:val="15"/>
          <w:color w:val="auto"/>
        </w:rPr>
        <w:t>10 million shares of “blank check” preferred stock with such designations, rights and preferences as may be determined from time to time by our Board.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have no present intention to issue any shares of our preferred stock, we may do so in the future under appropriate circumstances.</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780"/>
          </w:cols>
          <w:pgMar w:left="320" w:top="440" w:right="79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4"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81" w:lineRule="exact"/>
        <w:rPr>
          <w:sz w:val="20"/>
          <w:szCs w:val="20"/>
          <w:color w:val="auto"/>
        </w:rPr>
      </w:pPr>
    </w:p>
    <w:p>
      <w:pPr>
        <w:ind w:left="460" w:right="140" w:firstLine="413"/>
        <w:spacing w:after="0" w:line="274"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191" w:lineRule="exact"/>
        <w:rPr>
          <w:sz w:val="20"/>
          <w:szCs w:val="20"/>
          <w:color w:val="auto"/>
        </w:rPr>
      </w:pPr>
    </w:p>
    <w:p>
      <w:pPr>
        <w:jc w:val="both"/>
        <w:ind w:left="1360" w:right="420" w:hanging="498"/>
        <w:spacing w:after="0" w:line="260"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00" w:lineRule="exact"/>
        <w:rPr>
          <w:rFonts w:ascii="Arial" w:cs="Arial" w:eastAsia="Arial" w:hAnsi="Arial"/>
          <w:sz w:val="17"/>
          <w:szCs w:val="17"/>
          <w:color w:val="auto"/>
        </w:rPr>
      </w:pPr>
    </w:p>
    <w:p>
      <w:pPr>
        <w:ind w:left="1360" w:right="180" w:hanging="498"/>
        <w:spacing w:after="0" w:line="272"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190" w:lineRule="exact"/>
        <w:rPr>
          <w:rFonts w:ascii="Arial" w:cs="Arial" w:eastAsia="Arial" w:hAnsi="Arial"/>
          <w:sz w:val="17"/>
          <w:szCs w:val="17"/>
          <w:color w:val="auto"/>
        </w:rPr>
      </w:pPr>
    </w:p>
    <w:p>
      <w:pPr>
        <w:ind w:left="1360" w:right="340" w:hanging="498"/>
        <w:spacing w:after="0" w:line="272"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190" w:lineRule="exact"/>
        <w:rPr>
          <w:rFonts w:ascii="Arial" w:cs="Arial" w:eastAsia="Arial" w:hAnsi="Arial"/>
          <w:sz w:val="17"/>
          <w:szCs w:val="17"/>
          <w:color w:val="auto"/>
        </w:rPr>
      </w:pPr>
    </w:p>
    <w:p>
      <w:pPr>
        <w:ind w:left="1360" w:hanging="498"/>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inability to obtain and maintain accurate, comprehensive or reliable data, could result in reduced demand for our platform;</w:t>
      </w:r>
    </w:p>
    <w:p>
      <w:pPr>
        <w:spacing w:after="0" w:line="235" w:lineRule="exact"/>
        <w:rPr>
          <w:rFonts w:ascii="Arial" w:cs="Arial" w:eastAsia="Arial" w:hAnsi="Arial"/>
          <w:sz w:val="17"/>
          <w:szCs w:val="17"/>
          <w:color w:val="auto"/>
        </w:rPr>
      </w:pPr>
    </w:p>
    <w:p>
      <w:pPr>
        <w:ind w:left="1360" w:hanging="498"/>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235" w:lineRule="exact"/>
        <w:rPr>
          <w:rFonts w:ascii="Arial" w:cs="Arial" w:eastAsia="Arial" w:hAnsi="Arial"/>
          <w:sz w:val="17"/>
          <w:szCs w:val="17"/>
          <w:color w:val="auto"/>
        </w:rPr>
      </w:pPr>
    </w:p>
    <w:p>
      <w:pPr>
        <w:ind w:left="1360" w:hanging="498"/>
        <w:spacing w:after="0"/>
        <w:tabs>
          <w:tab w:leader="none" w:pos="1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246" w:lineRule="exact"/>
        <w:rPr>
          <w:rFonts w:ascii="Arial" w:cs="Arial" w:eastAsia="Arial" w:hAnsi="Arial"/>
          <w:sz w:val="16"/>
          <w:szCs w:val="16"/>
          <w:color w:val="auto"/>
        </w:rPr>
      </w:pPr>
    </w:p>
    <w:p>
      <w:pPr>
        <w:ind w:left="1360" w:right="240" w:hanging="498"/>
        <w:spacing w:after="0" w:line="272"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190" w:lineRule="exact"/>
        <w:rPr>
          <w:rFonts w:ascii="Arial" w:cs="Arial" w:eastAsia="Arial" w:hAnsi="Arial"/>
          <w:sz w:val="17"/>
          <w:szCs w:val="17"/>
          <w:color w:val="auto"/>
        </w:rPr>
      </w:pPr>
    </w:p>
    <w:p>
      <w:pPr>
        <w:ind w:left="1360" w:right="520" w:hanging="498"/>
        <w:spacing w:after="0" w:line="272"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190" w:lineRule="exact"/>
        <w:rPr>
          <w:rFonts w:ascii="Arial" w:cs="Arial" w:eastAsia="Arial" w:hAnsi="Arial"/>
          <w:sz w:val="17"/>
          <w:szCs w:val="17"/>
          <w:color w:val="auto"/>
        </w:rPr>
      </w:pPr>
    </w:p>
    <w:p>
      <w:pPr>
        <w:ind w:left="1360" w:right="840" w:hanging="498"/>
        <w:spacing w:after="0" w:line="272"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190" w:lineRule="exact"/>
        <w:rPr>
          <w:rFonts w:ascii="Arial" w:cs="Arial" w:eastAsia="Arial" w:hAnsi="Arial"/>
          <w:sz w:val="17"/>
          <w:szCs w:val="17"/>
          <w:color w:val="auto"/>
        </w:rPr>
      </w:pPr>
    </w:p>
    <w:p>
      <w:pPr>
        <w:ind w:left="1360" w:right="240" w:hanging="498"/>
        <w:spacing w:after="0" w:line="272"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190" w:lineRule="exact"/>
        <w:rPr>
          <w:rFonts w:ascii="Arial" w:cs="Arial" w:eastAsia="Arial" w:hAnsi="Arial"/>
          <w:sz w:val="17"/>
          <w:szCs w:val="17"/>
          <w:color w:val="auto"/>
        </w:rPr>
      </w:pPr>
    </w:p>
    <w:p>
      <w:pPr>
        <w:ind w:left="1360" w:right="320" w:hanging="498"/>
        <w:spacing w:after="0" w:line="303" w:lineRule="auto"/>
        <w:tabs>
          <w:tab w:leader="none" w:pos="1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168" w:lineRule="exact"/>
        <w:rPr>
          <w:rFonts w:ascii="Arial" w:cs="Arial" w:eastAsia="Arial" w:hAnsi="Arial"/>
          <w:sz w:val="16"/>
          <w:szCs w:val="16"/>
          <w:color w:val="auto"/>
        </w:rPr>
      </w:pPr>
    </w:p>
    <w:p>
      <w:pPr>
        <w:ind w:left="1360" w:hanging="498"/>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780"/>
          </w:cols>
          <w:pgMar w:left="320" w:top="440" w:right="79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8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780"/>
          </w:cols>
          <w:pgMar w:left="320" w:top="440" w:right="7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USE OF PROCEEDS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estimate that the net proceeds to us from our sale of 11,000,000 shares of Class A common stock in this offering will be approximately</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$380,140,000, after deducting underwriting discounts and estimated expenses payable by us in connection with this offering. The underwriters also have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 option to purchase up to an additional 1,650,000 shares of Class A common stock from us. We estimate that the net proceeds to us, if the underwriters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exercise their right to purchase the maximum of 1,650,000 additional shares of Class A common stock from us, will be approximately $437,461,000,</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deducting underwriting discounts and estimated expenses payable by us in connection with this offering.</w:t>
      </w:r>
    </w:p>
    <w:p>
      <w:pPr>
        <w:spacing w:after="0" w:line="198"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We estimate that the offering expenses (other than the underwriting discounts) will be approximately $2.0 million. All of such offering expenses will be paid for or otherwise borne by Definitive OpCo.</w:t>
      </w:r>
    </w:p>
    <w:p>
      <w:pPr>
        <w:spacing w:after="0" w:line="165" w:lineRule="exact"/>
        <w:rPr>
          <w:sz w:val="20"/>
          <w:szCs w:val="20"/>
          <w:color w:val="auto"/>
        </w:rPr>
      </w:pPr>
    </w:p>
    <w:p>
      <w:pPr>
        <w:ind w:left="460" w:right="100" w:firstLine="413"/>
        <w:spacing w:after="0" w:line="285" w:lineRule="auto"/>
        <w:rPr>
          <w:sz w:val="20"/>
          <w:szCs w:val="20"/>
          <w:color w:val="auto"/>
        </w:rPr>
      </w:pPr>
      <w:r>
        <w:rPr>
          <w:rFonts w:ascii="Arial" w:cs="Arial" w:eastAsia="Arial" w:hAnsi="Arial"/>
          <w:sz w:val="15"/>
          <w:szCs w:val="15"/>
          <w:color w:val="auto"/>
        </w:rPr>
        <w:t>We intend to use the net proceeds from this offering (i) for acquisitions or investments and general corporate purposes, including purchasing 7,000,000 newly issued LLC Units from Definitive OpCo, and (ii) to repurchase an aggregate of 2,333,238 shares of Class A common stock and purchase 1,766,762 LLC Units from existing holders, including our Sponsors, officers, directors and their affiliates, in a “synthetic secondary” transaction, at a purchase price per share of Class A common stock and per LLC Unit, in each case, equal to the public offering price of Class A common stock less the underwriting discounts. After this offering, we intend to purchase 7,000,000 newly issued LLC Units using either the net proceeds from this offering or other assets or investments acquired using such net proceeds. In the event the underwriters exercise their option to purchase additional shares, we will use the net proceeds to repurchase additional shares of Class A common stock and to purchase LLC Units from existing holders. Definitive OpCo will not receive any proceeds from the repurchase of shares of Class A common stock or the purchase of LLC Units from existing holders by us. Selective strategic acquisitions and investments continue to be a part of our ongoing strategy, and while there can be no assurance that any potential acquisition or investment will be successful, we are actively pursuing potential strategic transactions. Our strategy to make selective acquisitions and investments to complement our platform depends on our ability to identify, and the availability of, suitable candidates. We may use some or all of the net primary proceeds of this offering for one or more potential transactions. Our completion of one or more potential acquisitions or investments is subject to numerous conditions and contingencies, including the completion to our satisfaction of our due diligence, agreement on the amount and type of consideration, the negotiation and execution of definitive agreements, and the satisfaction of closing conditions. See “Risk Factors—Risks Related to Our Business and Industry—As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165"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If the underwriters exercise their option to purchase additional shares of Class A common stock in full, we estimate that our additional net proceeds will be approximately $57,321,000. We will use the additional net proceeds we receive pursuant to any exercise of the underwriters’ option to repurchase additional shares of Class A common stock or purchase LLC Units from existing holders.</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760"/>
          </w:cols>
          <w:pgMar w:left="320" w:top="440" w:right="81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DIVIDEND POLICY</w:t>
      </w:r>
    </w:p>
    <w:p>
      <w:pPr>
        <w:spacing w:after="0" w:line="214" w:lineRule="exact"/>
        <w:rPr>
          <w:sz w:val="20"/>
          <w:szCs w:val="20"/>
          <w:color w:val="auto"/>
        </w:rPr>
      </w:pPr>
    </w:p>
    <w:p>
      <w:pPr>
        <w:ind w:left="460" w:right="20" w:firstLine="413"/>
        <w:spacing w:after="0" w:line="301" w:lineRule="auto"/>
        <w:rPr>
          <w:sz w:val="20"/>
          <w:szCs w:val="20"/>
          <w:color w:val="auto"/>
        </w:rPr>
      </w:pPr>
      <w:r>
        <w:rPr>
          <w:rFonts w:ascii="Arial" w:cs="Arial" w:eastAsia="Arial" w:hAnsi="Arial"/>
          <w:sz w:val="15"/>
          <w:szCs w:val="15"/>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4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81" w:lineRule="exact"/>
        <w:rPr>
          <w:sz w:val="20"/>
          <w:szCs w:val="20"/>
          <w:color w:val="auto"/>
        </w:rPr>
      </w:pPr>
    </w:p>
    <w:p>
      <w:pPr>
        <w:ind w:left="460" w:right="120" w:firstLine="413"/>
        <w:spacing w:after="0" w:line="301" w:lineRule="auto"/>
        <w:rPr>
          <w:sz w:val="20"/>
          <w:szCs w:val="20"/>
          <w:color w:val="auto"/>
        </w:rPr>
      </w:pPr>
      <w:r>
        <w:rPr>
          <w:rFonts w:ascii="Arial" w:cs="Arial" w:eastAsia="Arial" w:hAnsi="Arial"/>
          <w:sz w:val="15"/>
          <w:szCs w:val="15"/>
          <w:color w:val="auto"/>
        </w:rPr>
        <w:t>If Definitive OpCo makes such distributions, the holders of LLC Units will be entitled to receive equivalent distributions from Definitive OpCo. However, because we must pay taxes, make payments under the Tax Receivable Agreement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 Amended Definitive OpCo Agreement.”</w:t>
      </w:r>
    </w:p>
    <w:p>
      <w:pPr>
        <w:spacing w:after="0" w:line="148"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Under the Amended LLC Agreement, Definitive OpCo is generally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We may receive tax distributions significantly in excess of our tax liabilities and obligations to make payments under the Tax Receivable Agreement. Our board of directors, in its sole discretion, may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have no obligation to distribute such cash (or other available cash other than any declared dividend) to our stockholders. We also expect, if necessary, to undertake ameliorative actions, which may include pro rata or non-pro rata reclassifications, combinations, subdivisions or adjustments of outstanding LLC Units, to maintain 1:1 parity between LLC Units and shares of Class A common stock. See “Risk Factors—Risks Related to Our Organizational Structure—We are a holding company and our principal asset is our 62.5% economic ownership interest in Definitive OpCo, and we are accordingly dependent upon distributions from Definitive OpCo to pay dividends, if any, and taxes, make payments under the Tax Receivable Agreement and pay other expenses.”</w:t>
      </w:r>
    </w:p>
    <w:p>
      <w:pPr>
        <w:spacing w:after="0" w:line="176" w:lineRule="exact"/>
        <w:rPr>
          <w:sz w:val="20"/>
          <w:szCs w:val="20"/>
          <w:color w:val="auto"/>
        </w:rPr>
      </w:pPr>
    </w:p>
    <w:p>
      <w:pPr>
        <w:ind w:left="460" w:right="760" w:firstLine="413"/>
        <w:spacing w:after="0" w:line="272" w:lineRule="auto"/>
        <w:rPr>
          <w:sz w:val="20"/>
          <w:szCs w:val="20"/>
          <w:color w:val="auto"/>
        </w:rPr>
      </w:pPr>
      <w:r>
        <w:rPr>
          <w:rFonts w:ascii="Arial" w:cs="Arial" w:eastAsia="Arial" w:hAnsi="Arial"/>
          <w:sz w:val="17"/>
          <w:szCs w:val="17"/>
          <w:color w:val="auto"/>
        </w:rPr>
        <w:t>In 2020 and 2019, Definitive OpCo made cash distributions to its equity holders in aggregate amounts of $2.9 million and $7.0 million, respectively, in connection with equity holder tax obligations.</w:t>
      </w:r>
    </w:p>
    <w:p>
      <w:pPr>
        <w:spacing w:after="0" w:line="165"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See “Risk Factors—Risks Related to this Offering and Ownership of Our Class A Common Stock—We do not anticipate paying any dividends on our Class A common stock in the foreseeable future,” “Prospectus Summary—Organizational Structure,” “Management’s Discussion and Analysis of Financial Condition and Results of Operations— Liquidity and Capital Resources,” “Description of Material Indebtedness” and “Description of Capital Stock.”</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780"/>
          </w:cols>
          <w:pgMar w:left="320" w:top="440" w:right="79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CAPITALIZATION</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our cash and cash equivalents and our capitalization as of September 30, 2021:</w:t>
      </w:r>
    </w:p>
    <w:p>
      <w:pPr>
        <w:spacing w:after="0" w:line="121" w:lineRule="exact"/>
        <w:rPr>
          <w:sz w:val="20"/>
          <w:szCs w:val="20"/>
          <w:color w:val="auto"/>
        </w:rPr>
      </w:pPr>
    </w:p>
    <w:p>
      <w:pPr>
        <w:ind w:left="1360" w:hanging="498"/>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 an actual basis for Definitive Healthcare Corp.; and</w:t>
      </w:r>
    </w:p>
    <w:p>
      <w:pPr>
        <w:spacing w:after="0" w:line="121" w:lineRule="exact"/>
        <w:rPr>
          <w:rFonts w:ascii="Arial" w:cs="Arial" w:eastAsia="Arial" w:hAnsi="Arial"/>
          <w:sz w:val="17"/>
          <w:szCs w:val="17"/>
          <w:color w:val="auto"/>
        </w:rPr>
      </w:pPr>
    </w:p>
    <w:p>
      <w:pPr>
        <w:ind w:left="1360" w:right="520" w:hanging="498"/>
        <w:spacing w:after="0" w:line="272" w:lineRule="auto"/>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 an as adjusted basis after giving effect to this offering and the application of the net proceeds received by us from this offering as described under “Use of Proceeds.”</w:t>
      </w:r>
    </w:p>
    <w:p>
      <w:pPr>
        <w:spacing w:after="0" w:line="165" w:lineRule="exact"/>
        <w:rPr>
          <w:sz w:val="20"/>
          <w:szCs w:val="20"/>
          <w:color w:val="auto"/>
        </w:rPr>
      </w:pPr>
    </w:p>
    <w:p>
      <w:pPr>
        <w:jc w:val="both"/>
        <w:ind w:left="460" w:right="260" w:firstLine="413"/>
        <w:spacing w:after="0" w:line="260" w:lineRule="auto"/>
        <w:rPr>
          <w:sz w:val="20"/>
          <w:szCs w:val="20"/>
          <w:color w:val="auto"/>
        </w:rPr>
      </w:pPr>
      <w:r>
        <w:rPr>
          <w:rFonts w:ascii="Arial" w:cs="Arial" w:eastAsia="Arial" w:hAnsi="Arial"/>
          <w:sz w:val="17"/>
          <w:szCs w:val="17"/>
          <w:color w:val="auto"/>
        </w:rPr>
        <w:t>This table should be read in conjunction with “Use of Proceeds,” “Unaudited Pro Forma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193"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Definitive Healthcare</w:t>
      </w:r>
    </w:p>
    <w:p>
      <w:pPr>
        <w:jc w:val="center"/>
        <w:ind w:left="8140"/>
        <w:spacing w:after="0"/>
        <w:rPr>
          <w:sz w:val="20"/>
          <w:szCs w:val="20"/>
          <w:color w:val="auto"/>
        </w:rPr>
      </w:pPr>
      <w:r>
        <w:rPr>
          <w:rFonts w:ascii="Arial" w:cs="Arial" w:eastAsia="Arial" w:hAnsi="Arial"/>
          <w:sz w:val="13"/>
          <w:szCs w:val="13"/>
          <w:b w:val="1"/>
          <w:bCs w:val="1"/>
          <w:color w:val="auto"/>
        </w:rPr>
        <w:t>Corp.</w:t>
      </w:r>
    </w:p>
    <w:tbl>
      <w:tblPr>
        <w:tblLayout w:type="fixed"/>
        <w:tblInd w:w="460" w:type="dxa"/>
        <w:tblCellMar>
          <w:top w:w="0" w:type="dxa"/>
          <w:left w:w="0" w:type="dxa"/>
          <w:bottom w:w="0" w:type="dxa"/>
          <w:right w:w="0" w:type="dxa"/>
        </w:tblCellMar>
      </w:tblPr>
      <w:tr>
        <w:trPr>
          <w:trHeight w:val="132"/>
        </w:trPr>
        <w:tc>
          <w:tcPr>
            <w:tcW w:w="8260" w:type="dxa"/>
            <w:vAlign w:val="bottom"/>
            <w:gridSpan w:val="4"/>
            <w:vMerge w:val="restart"/>
          </w:tcPr>
          <w:p>
            <w:pPr>
              <w:spacing w:after="0"/>
              <w:rPr>
                <w:sz w:val="20"/>
                <w:szCs w:val="20"/>
                <w:color w:val="auto"/>
              </w:rPr>
            </w:pPr>
            <w:r>
              <w:rPr>
                <w:rFonts w:ascii="Arial" w:cs="Arial" w:eastAsia="Arial" w:hAnsi="Arial"/>
                <w:sz w:val="13"/>
                <w:szCs w:val="13"/>
                <w:color w:val="auto"/>
              </w:rPr>
              <w:t>(in thousands)</w:t>
            </w:r>
          </w:p>
        </w:tc>
        <w:tc>
          <w:tcPr>
            <w:tcW w:w="120" w:type="dxa"/>
            <w:vAlign w:val="bottom"/>
            <w:tcBorders>
              <w:top w:val="single" w:sz="8" w:color="auto"/>
              <w:bottom w:val="single" w:sz="8" w:color="auto"/>
            </w:tcBorders>
          </w:tcPr>
          <w:p>
            <w:pPr>
              <w:spacing w:after="0"/>
              <w:rPr>
                <w:sz w:val="11"/>
                <w:szCs w:val="11"/>
                <w:color w:val="auto"/>
              </w:rPr>
            </w:pPr>
          </w:p>
        </w:tc>
        <w:tc>
          <w:tcPr>
            <w:tcW w:w="1840" w:type="dxa"/>
            <w:vAlign w:val="bottom"/>
            <w:tcBorders>
              <w:top w:val="single" w:sz="8" w:color="auto"/>
              <w:bottom w:val="single" w:sz="8" w:color="auto"/>
            </w:tcBorders>
            <w:gridSpan w:val="5"/>
          </w:tcPr>
          <w:p>
            <w:pPr>
              <w:jc w:val="right"/>
              <w:ind w:right="176"/>
              <w:spacing w:after="0" w:line="132" w:lineRule="exact"/>
              <w:rPr>
                <w:sz w:val="20"/>
                <w:szCs w:val="20"/>
                <w:color w:val="auto"/>
              </w:rPr>
            </w:pPr>
            <w:r>
              <w:rPr>
                <w:rFonts w:ascii="Arial" w:cs="Arial" w:eastAsia="Arial" w:hAnsi="Arial"/>
                <w:sz w:val="13"/>
                <w:szCs w:val="13"/>
                <w:b w:val="1"/>
                <w:bCs w:val="1"/>
                <w:color w:val="auto"/>
                <w:w w:val="99"/>
              </w:rPr>
              <w:t>As of September 30, 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2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Actual</w:t>
            </w:r>
          </w:p>
        </w:tc>
        <w:tc>
          <w:tcPr>
            <w:tcW w:w="12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As Adjusted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8240" w:type="dxa"/>
            <w:vAlign w:val="bottom"/>
            <w:gridSpan w:val="3"/>
            <w:shd w:val="clear" w:color="auto" w:fill="CCEEFF"/>
          </w:tcPr>
          <w:p>
            <w:pPr>
              <w:spacing w:after="0" w:line="188" w:lineRule="exact"/>
              <w:rPr>
                <w:sz w:val="20"/>
                <w:szCs w:val="20"/>
                <w:color w:val="auto"/>
              </w:rPr>
            </w:pPr>
            <w:r>
              <w:rPr>
                <w:rFonts w:ascii="Arial" w:cs="Arial" w:eastAsia="Arial" w:hAnsi="Arial"/>
                <w:sz w:val="17"/>
                <w:szCs w:val="17"/>
                <w:color w:val="auto"/>
              </w:rPr>
              <w:t>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189,752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432,932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60" w:type="dxa"/>
            <w:vAlign w:val="bottom"/>
            <w:gridSpan w:val="4"/>
            <w:vMerge w:val="restart"/>
          </w:tcPr>
          <w:p>
            <w:pPr>
              <w:spacing w:after="0"/>
              <w:rPr>
                <w:sz w:val="20"/>
                <w:szCs w:val="20"/>
                <w:color w:val="auto"/>
              </w:rPr>
            </w:pPr>
            <w:r>
              <w:rPr>
                <w:rFonts w:ascii="Arial" w:cs="Arial" w:eastAsia="Arial" w:hAnsi="Arial"/>
                <w:sz w:val="17"/>
                <w:szCs w:val="17"/>
                <w:color w:val="auto"/>
              </w:rPr>
              <w:t>Debt, including current and long-term (1):</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Term Facility</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272,263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272,263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gridSpan w:val="3"/>
          </w:tcPr>
          <w:p>
            <w:pPr>
              <w:spacing w:after="0"/>
              <w:rPr>
                <w:sz w:val="20"/>
                <w:szCs w:val="20"/>
                <w:color w:val="auto"/>
              </w:rPr>
            </w:pPr>
            <w:r>
              <w:rPr>
                <w:rFonts w:ascii="Arial" w:cs="Arial" w:eastAsia="Arial" w:hAnsi="Arial"/>
                <w:sz w:val="17"/>
                <w:szCs w:val="17"/>
                <w:color w:val="auto"/>
              </w:rPr>
              <w:t>Revolving Credit Facility</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Total debt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272,263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272,263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60" w:type="dxa"/>
            <w:vAlign w:val="bottom"/>
            <w:gridSpan w:val="4"/>
          </w:tcPr>
          <w:p>
            <w:pPr>
              <w:spacing w:after="0"/>
              <w:rPr>
                <w:sz w:val="20"/>
                <w:szCs w:val="20"/>
                <w:color w:val="auto"/>
              </w:rPr>
            </w:pPr>
            <w:r>
              <w:rPr>
                <w:rFonts w:ascii="Arial" w:cs="Arial" w:eastAsia="Arial" w:hAnsi="Arial"/>
                <w:sz w:val="17"/>
                <w:szCs w:val="17"/>
                <w:color w:val="auto"/>
              </w:rPr>
              <w:t>Equity:</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40" w:type="dxa"/>
            <w:vAlign w:val="bottom"/>
            <w:gridSpan w:val="3"/>
            <w:shd w:val="clear" w:color="auto" w:fill="CCEEFF"/>
          </w:tcPr>
          <w:p>
            <w:pPr>
              <w:ind w:left="320"/>
              <w:spacing w:after="0" w:line="190" w:lineRule="exact"/>
              <w:rPr>
                <w:sz w:val="20"/>
                <w:szCs w:val="20"/>
                <w:color w:val="auto"/>
              </w:rPr>
            </w:pPr>
            <w:r>
              <w:rPr>
                <w:rFonts w:ascii="Arial" w:cs="Arial" w:eastAsia="Arial" w:hAnsi="Arial"/>
                <w:sz w:val="17"/>
                <w:szCs w:val="17"/>
                <w:color w:val="auto"/>
                <w:w w:val="98"/>
              </w:rPr>
              <w:t>Class A Common Stock, par value $0.001, 600,000,000 shares authorized, 88,263,333 shares issued, and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outstanding at September 30, 2021, and 97,030,095 shares issued and outstanding as adjusted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gridSpan w:val="3"/>
          </w:tcPr>
          <w:p>
            <w:pPr>
              <w:ind w:left="320"/>
              <w:spacing w:after="0" w:line="190" w:lineRule="exact"/>
              <w:rPr>
                <w:sz w:val="20"/>
                <w:szCs w:val="20"/>
                <w:color w:val="auto"/>
              </w:rPr>
            </w:pPr>
            <w:r>
              <w:rPr>
                <w:rFonts w:ascii="Arial" w:cs="Arial" w:eastAsia="Arial" w:hAnsi="Arial"/>
                <w:sz w:val="17"/>
                <w:szCs w:val="17"/>
                <w:color w:val="auto"/>
                <w:w w:val="93"/>
              </w:rPr>
              <w:t>Class B Common Stock, no par value, 65,000,000 shares authorized, 60,020,525 shares issued and 57,220,661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gridSpan w:val="3"/>
          </w:tcPr>
          <w:p>
            <w:pPr>
              <w:ind w:left="480"/>
              <w:spacing w:after="0"/>
              <w:rPr>
                <w:sz w:val="20"/>
                <w:szCs w:val="20"/>
                <w:color w:val="auto"/>
              </w:rPr>
            </w:pPr>
            <w:r>
              <w:rPr>
                <w:rFonts w:ascii="Arial" w:cs="Arial" w:eastAsia="Arial" w:hAnsi="Arial"/>
                <w:sz w:val="17"/>
                <w:szCs w:val="17"/>
                <w:color w:val="auto"/>
                <w:w w:val="95"/>
              </w:rPr>
              <w:t>outstanding at September 30, 2021, and 58,244,627 shares issued and 55,475,777 outstanding as adjusted</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40" w:type="dxa"/>
            <w:vAlign w:val="bottom"/>
            <w:gridSpan w:val="3"/>
            <w:shd w:val="clear" w:color="auto" w:fill="CCEEFF"/>
          </w:tcPr>
          <w:p>
            <w:pPr>
              <w:ind w:left="320"/>
              <w:spacing w:after="0" w:line="190" w:lineRule="exact"/>
              <w:rPr>
                <w:sz w:val="20"/>
                <w:szCs w:val="20"/>
                <w:color w:val="auto"/>
              </w:rPr>
            </w:pPr>
            <w:r>
              <w:rPr>
                <w:rFonts w:ascii="Arial" w:cs="Arial" w:eastAsia="Arial" w:hAnsi="Arial"/>
                <w:sz w:val="17"/>
                <w:szCs w:val="17"/>
                <w:color w:val="auto"/>
                <w:w w:val="91"/>
              </w:rPr>
              <w:t>Preferred common stock, $0.001 par value per share, 10,000,000 shares authorized, as adjusted, no shares issued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and outstanding, actual and as adjusted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700,773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885,857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Arial" w:cs="Arial" w:eastAsia="Arial" w:hAnsi="Arial"/>
                <w:sz w:val="17"/>
                <w:szCs w:val="17"/>
                <w:color w:val="auto"/>
              </w:rPr>
              <w:t>Noncontrolling interest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590,177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634,295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(7,978)</w:t>
            </w:r>
          </w:p>
        </w:tc>
        <w:tc>
          <w:tcPr>
            <w:tcW w:w="0" w:type="dxa"/>
            <w:vAlign w:val="bottom"/>
          </w:tcPr>
          <w:p>
            <w:pPr>
              <w:spacing w:after="0"/>
              <w:rPr>
                <w:sz w:val="1"/>
                <w:szCs w:val="1"/>
                <w:color w:val="auto"/>
              </w:rPr>
            </w:pPr>
          </w:p>
        </w:tc>
      </w:tr>
      <w:tr>
        <w:trPr>
          <w:trHeight w:val="213"/>
        </w:trPr>
        <w:tc>
          <w:tcPr>
            <w:tcW w:w="8260" w:type="dxa"/>
            <w:vAlign w:val="bottom"/>
            <w:gridSpan w:val="4"/>
          </w:tcPr>
          <w:p>
            <w:pPr>
              <w:spacing w:after="0"/>
              <w:rPr>
                <w:sz w:val="20"/>
                <w:szCs w:val="20"/>
                <w:color w:val="auto"/>
              </w:rPr>
            </w:pPr>
            <w:r>
              <w:rPr>
                <w:rFonts w:ascii="Arial" w:cs="Arial" w:eastAsia="Arial" w:hAnsi="Arial"/>
                <w:sz w:val="17"/>
                <w:szCs w:val="17"/>
                <w:color w:val="auto"/>
              </w:rPr>
              <w:t>Total equity</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1,283,084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1,512,295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1,555,347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1,784,558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60" w:right="180" w:hanging="403"/>
        <w:spacing w:after="0" w:line="272" w:lineRule="auto"/>
        <w:tabs>
          <w:tab w:leader="none" w:pos="8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For a description of our debt, see “Description of Material Indebtedness.” For a description of our debt refinancing, see “Prospectus Summary— Debt Refinancing.”</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800"/>
          </w:cols>
          <w:pgMar w:left="320" w:top="440" w:right="7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214" w:lineRule="exact"/>
        <w:rPr>
          <w:sz w:val="20"/>
          <w:szCs w:val="20"/>
          <w:color w:val="auto"/>
        </w:rPr>
      </w:pPr>
    </w:p>
    <w:p>
      <w:pPr>
        <w:ind w:left="460" w:right="60" w:firstLine="413"/>
        <w:spacing w:after="0" w:line="289" w:lineRule="auto"/>
        <w:rPr>
          <w:sz w:val="20"/>
          <w:szCs w:val="20"/>
          <w:color w:val="auto"/>
        </w:rPr>
      </w:pPr>
      <w:r>
        <w:rPr>
          <w:rFonts w:ascii="Arial" w:cs="Arial" w:eastAsia="Arial" w:hAnsi="Arial"/>
          <w:sz w:val="15"/>
          <w:szCs w:val="15"/>
          <w:color w:val="auto"/>
        </w:rPr>
        <w:t>The following unaudited pro forma consolidated statements of operations for the year ended December 31, 2020 and nine months ended September 30, 2021 give effect to the pro forma adjustments related to (i) the Reorganization Transactions, which we refer to as the “Transactions Adjustments,” (ii) the sale of 17,888,888 shares of Class A common stock in our IPO and (iii) the sale of 11,000,000 shares of Class A common stock and the application of the net proceeds from this offering, which we refer to as the “Offering Adjustments.” We refer to the Reorganization Transactions and the Offering Adjustments collectively as the “Transactions.” The unaudited pro forma consolidated statements of operations for the year ended December 31, 2020 and nine months ended September 30, 2021 give pro forma effect to the Transactions as if they had occurred on January 1, 2020.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57" w:lineRule="exact"/>
        <w:rPr>
          <w:sz w:val="20"/>
          <w:szCs w:val="20"/>
          <w:color w:val="auto"/>
        </w:rPr>
      </w:pPr>
    </w:p>
    <w:p>
      <w:pPr>
        <w:ind w:left="460" w:right="200" w:firstLine="413"/>
        <w:spacing w:after="0" w:line="340" w:lineRule="auto"/>
        <w:rPr>
          <w:sz w:val="20"/>
          <w:szCs w:val="20"/>
          <w:color w:val="auto"/>
        </w:rPr>
      </w:pPr>
      <w:r>
        <w:rPr>
          <w:rFonts w:ascii="Arial" w:cs="Arial" w:eastAsia="Arial" w:hAnsi="Arial"/>
          <w:sz w:val="15"/>
          <w:szCs w:val="15"/>
          <w:color w:val="auto"/>
        </w:rPr>
        <w:t>Our historical financial information as of September 30, 2021 and for the year ended December 31, 2020 and nine months ended September 30, 2021 has been derived from Definitive OpCo’s consolidated financial statements and accompanying notes included elsewhere in this prospectus.</w:t>
      </w:r>
    </w:p>
    <w:p>
      <w:pPr>
        <w:spacing w:after="0" w:line="119" w:lineRule="exact"/>
        <w:rPr>
          <w:sz w:val="20"/>
          <w:szCs w:val="20"/>
          <w:color w:val="auto"/>
        </w:rPr>
      </w:pPr>
    </w:p>
    <w:p>
      <w:pPr>
        <w:ind w:left="460" w:right="60" w:firstLine="413"/>
        <w:spacing w:after="0" w:line="274" w:lineRule="auto"/>
        <w:rPr>
          <w:sz w:val="20"/>
          <w:szCs w:val="20"/>
          <w:color w:val="auto"/>
        </w:rPr>
      </w:pPr>
      <w:r>
        <w:rPr>
          <w:rFonts w:ascii="Arial" w:cs="Arial" w:eastAsia="Arial" w:hAnsi="Arial"/>
          <w:sz w:val="16"/>
          <w:szCs w:val="16"/>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65" w:lineRule="exact"/>
        <w:rPr>
          <w:sz w:val="20"/>
          <w:szCs w:val="20"/>
          <w:color w:val="auto"/>
        </w:rPr>
      </w:pPr>
    </w:p>
    <w:p>
      <w:pPr>
        <w:ind w:left="460" w:right="840" w:firstLine="413"/>
        <w:spacing w:after="0" w:line="272" w:lineRule="auto"/>
        <w:rPr>
          <w:sz w:val="20"/>
          <w:szCs w:val="20"/>
          <w:color w:val="auto"/>
        </w:rPr>
      </w:pPr>
      <w:r>
        <w:rPr>
          <w:rFonts w:ascii="Arial" w:cs="Arial" w:eastAsia="Arial" w:hAnsi="Arial"/>
          <w:sz w:val="17"/>
          <w:szCs w:val="17"/>
          <w:color w:val="auto"/>
        </w:rPr>
        <w:t>The pro forma adjustments, which we refer to as the “Transactions Adjustments” are described in the notes to the unaudited pro forma consolidated financial information and primarily include:</w:t>
      </w:r>
    </w:p>
    <w:p>
      <w:pPr>
        <w:spacing w:after="0" w:line="76" w:lineRule="exact"/>
        <w:rPr>
          <w:sz w:val="20"/>
          <w:szCs w:val="20"/>
          <w:color w:val="auto"/>
        </w:rPr>
      </w:pPr>
    </w:p>
    <w:p>
      <w:pPr>
        <w:ind w:left="1360" w:right="80" w:hanging="498"/>
        <w:spacing w:after="0" w:line="272" w:lineRule="auto"/>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recognition of a non-controlling interest in Definitive OpCo held by the Unitholders, which will be exchangeable for shares of Class A common stock on a one-for-one basis in accordance with the terms of the Amended LLC Agreement; and</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provision for federal and state income taxes of Definitive Healthcare Corp. as a taxable corporation;</w:t>
      </w:r>
    </w:p>
    <w:p>
      <w:pPr>
        <w:spacing w:after="0" w:line="210"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pro forma adjustments related to the adjustments relating to this offering, which we refer to as the “Offering Adjustments,” are described in the notes to the unaudited pro forma consolidated financial information and primarily include:</w:t>
      </w:r>
    </w:p>
    <w:p>
      <w:pPr>
        <w:spacing w:after="0" w:line="76" w:lineRule="exact"/>
        <w:rPr>
          <w:sz w:val="20"/>
          <w:szCs w:val="20"/>
          <w:color w:val="auto"/>
        </w:rPr>
      </w:pPr>
    </w:p>
    <w:p>
      <w:pPr>
        <w:ind w:left="1360" w:right="480" w:hanging="498"/>
        <w:spacing w:after="0" w:line="272"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issuance of shares of our Class A common stock to the purchasers in this offering in exchange for net proceeds of approximately $382,140,000, after deducting underwriting discounts but before offering expenses;</w:t>
      </w:r>
    </w:p>
    <w:p>
      <w:pPr>
        <w:spacing w:after="0" w:line="76" w:lineRule="exact"/>
        <w:rPr>
          <w:rFonts w:ascii="Arial" w:cs="Arial" w:eastAsia="Arial" w:hAnsi="Arial"/>
          <w:sz w:val="17"/>
          <w:szCs w:val="17"/>
          <w:color w:val="auto"/>
        </w:rPr>
      </w:pPr>
    </w:p>
    <w:p>
      <w:pPr>
        <w:jc w:val="both"/>
        <w:ind w:left="1360" w:right="240" w:hanging="498"/>
        <w:spacing w:after="0" w:line="260"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application by Definitive Healthcare Corp. and Definitive OpCo of the net proceeds from this offering to purchase 7,000,000 newly issued LLC Units of Definitive OpCo using either the net proceeds from this offering or other assets or investments acquired using such net proceeds; and</w:t>
      </w:r>
    </w:p>
    <w:p>
      <w:pPr>
        <w:spacing w:after="0" w:line="86"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application by Definitive OpCo of a portion of the proceeds of the sale of LLC Units to Definitive Healthcare Corp. as set forth in “Use of Proceeds.”</w:t>
      </w:r>
    </w:p>
    <w:p>
      <w:pPr>
        <w:spacing w:after="0" w:line="165" w:lineRule="exact"/>
        <w:rPr>
          <w:sz w:val="20"/>
          <w:szCs w:val="20"/>
          <w:color w:val="auto"/>
        </w:rPr>
      </w:pPr>
    </w:p>
    <w:p>
      <w:pPr>
        <w:ind w:left="460" w:right="680" w:firstLine="413"/>
        <w:spacing w:after="0" w:line="272" w:lineRule="auto"/>
        <w:rPr>
          <w:sz w:val="20"/>
          <w:szCs w:val="20"/>
          <w:color w:val="auto"/>
        </w:rPr>
      </w:pPr>
      <w:r>
        <w:rPr>
          <w:rFonts w:ascii="Arial" w:cs="Arial" w:eastAsia="Arial" w:hAnsi="Arial"/>
          <w:sz w:val="17"/>
          <w:szCs w:val="17"/>
          <w:color w:val="auto"/>
        </w:rPr>
        <w:t>We are in the process of implementing additional procedures and processes for the purpose of addressing the standards and requirements applicable to public companies. We expect to incur additional annual expenses</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780"/>
          </w:cols>
          <w:pgMar w:left="320" w:top="440" w:right="79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60"/>
        <w:spacing w:after="0" w:line="254" w:lineRule="auto"/>
        <w:rPr>
          <w:sz w:val="20"/>
          <w:szCs w:val="20"/>
          <w:color w:val="auto"/>
        </w:rPr>
      </w:pPr>
      <w:r>
        <w:rPr>
          <w:rFonts w:ascii="Arial" w:cs="Arial" w:eastAsia="Arial" w:hAnsi="Arial"/>
          <w:sz w:val="17"/>
          <w:szCs w:val="17"/>
          <w:color w:val="auto"/>
        </w:rPr>
        <w:t>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81" w:lineRule="exact"/>
        <w:rPr>
          <w:sz w:val="20"/>
          <w:szCs w:val="20"/>
          <w:color w:val="auto"/>
        </w:rPr>
      </w:pPr>
    </w:p>
    <w:p>
      <w:pPr>
        <w:jc w:val="both"/>
        <w:ind w:left="460" w:right="180" w:firstLine="413"/>
        <w:spacing w:after="0" w:line="260" w:lineRule="auto"/>
        <w:rPr>
          <w:sz w:val="20"/>
          <w:szCs w:val="20"/>
          <w:color w:val="auto"/>
        </w:rPr>
      </w:pPr>
      <w:r>
        <w:rPr>
          <w:rFonts w:ascii="Arial" w:cs="Arial" w:eastAsia="Arial" w:hAnsi="Arial"/>
          <w:sz w:val="17"/>
          <w:szCs w:val="17"/>
          <w:color w:val="auto"/>
        </w:rPr>
        <w:t>Because Definitive Healthcare Corp. was formed on May 5, 2021 and had no material assets or results of operations until the completion of the IPO, its historical financial information is not included in the unaudited pro forma consolidated financial information for the year ended December 31, 2020 and nine months ended September 30, 2021.</w:t>
      </w:r>
    </w:p>
    <w:p>
      <w:pPr>
        <w:spacing w:after="0" w:line="175"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48"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The unaudited pro forma consolidated financial information should be read together with “Prospectus Summary—Organizational Structure,” “Capitalization,” “Management’s Discussion and Analysis of Financial Condition and Results of Operations” and our historical financial statements and related notes thereto included elsewhere in this prospectus.</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800"/>
          </w:cols>
          <w:pgMar w:left="320" w:top="440" w:right="7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UNAUDITED PRO FORMA CONSOLIDATED STATEMENT OF OPERATIONS Nine Months Ended September 30, 2021</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rPr>
              <w:t>Definitive</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Pro forma</w:t>
            </w: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Transaction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4"/>
              </w:rPr>
              <w:t>Offering</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Definitive</w:t>
            </w: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9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Healthcare</w:t>
            </w:r>
          </w:p>
        </w:tc>
        <w:tc>
          <w:tcPr>
            <w:tcW w:w="9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80"/>
              <w:spacing w:after="0" w:line="139" w:lineRule="exact"/>
              <w:rPr>
                <w:sz w:val="20"/>
                <w:szCs w:val="20"/>
                <w:color w:val="auto"/>
              </w:rPr>
            </w:pPr>
            <w:r>
              <w:rPr>
                <w:rFonts w:ascii="Arial" w:cs="Arial" w:eastAsia="Arial" w:hAnsi="Arial"/>
                <w:sz w:val="13"/>
                <w:szCs w:val="13"/>
                <w:b w:val="1"/>
                <w:bCs w:val="1"/>
                <w:color w:val="auto"/>
              </w:rPr>
              <w:t>Definitive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6"/>
              </w:rPr>
              <w:t>Healthcare</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Corp.</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5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Healthcare Corp.</w:t>
            </w:r>
          </w:p>
        </w:tc>
        <w:tc>
          <w:tcPr>
            <w:tcW w:w="1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Adjustment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Corp.</w:t>
            </w:r>
          </w:p>
        </w:tc>
        <w:tc>
          <w:tcPr>
            <w:tcW w:w="0" w:type="dxa"/>
            <w:vAlign w:val="bottom"/>
          </w:tcPr>
          <w:p>
            <w:pPr>
              <w:spacing w:after="0"/>
              <w:rPr>
                <w:sz w:val="1"/>
                <w:szCs w:val="1"/>
                <w:color w:val="auto"/>
              </w:rPr>
            </w:pPr>
          </w:p>
        </w:tc>
      </w:tr>
      <w:tr>
        <w:trPr>
          <w:trHeight w:val="170"/>
        </w:trPr>
        <w:tc>
          <w:tcPr>
            <w:tcW w:w="43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 in thousands, except per share data)</w:t>
            </w: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119,841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119,841</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119,841</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Cost of revenue exclusive of amortization shown below</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13,895</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13,895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13,895</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15,896</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15,896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15,896</w:t>
            </w:r>
          </w:p>
        </w:tc>
        <w:tc>
          <w:tcPr>
            <w:tcW w:w="0" w:type="dxa"/>
            <w:vAlign w:val="bottom"/>
          </w:tcPr>
          <w:p>
            <w:pPr>
              <w:spacing w:after="0"/>
              <w:rPr>
                <w:sz w:val="1"/>
                <w:szCs w:val="1"/>
                <w:color w:val="auto"/>
              </w:rPr>
            </w:pPr>
          </w:p>
        </w:tc>
      </w:tr>
      <w:tr>
        <w:trPr>
          <w:trHeight w:val="195"/>
        </w:trPr>
        <w:tc>
          <w:tcPr>
            <w:tcW w:w="4320" w:type="dxa"/>
            <w:vAlign w:val="bottom"/>
          </w:tcPr>
          <w:p>
            <w:pPr>
              <w:ind w:left="64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90,050</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39,003</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39,003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39,003</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Product development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12,817</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12,817</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18,891</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18,891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18,891</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28,814</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28,814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28,814</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3,332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3,332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9,459</w:t>
            </w:r>
          </w:p>
        </w:tc>
        <w:tc>
          <w:tcPr>
            <w:tcW w:w="56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12,791</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operating expenses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102,857</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102,857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9,459</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112,316</w:t>
            </w:r>
          </w:p>
        </w:tc>
        <w:tc>
          <w:tcPr>
            <w:tcW w:w="0" w:type="dxa"/>
            <w:vAlign w:val="bottom"/>
          </w:tcPr>
          <w:p>
            <w:pPr>
              <w:spacing w:after="0"/>
              <w:rPr>
                <w:sz w:val="1"/>
                <w:szCs w:val="1"/>
                <w:color w:val="auto"/>
              </w:rPr>
            </w:pPr>
          </w:p>
        </w:tc>
      </w:tr>
      <w:tr>
        <w:trPr>
          <w:trHeight w:val="190"/>
        </w:trPr>
        <w:tc>
          <w:tcPr>
            <w:tcW w:w="4320" w:type="dxa"/>
            <w:vAlign w:val="bottom"/>
          </w:tcPr>
          <w:p>
            <w:pPr>
              <w:ind w:left="960"/>
              <w:spacing w:after="0"/>
              <w:rPr>
                <w:sz w:val="20"/>
                <w:szCs w:val="20"/>
                <w:color w:val="auto"/>
              </w:rPr>
            </w:pPr>
            <w:r>
              <w:rPr>
                <w:rFonts w:ascii="Arial" w:cs="Arial" w:eastAsia="Arial" w:hAnsi="Arial"/>
                <w:sz w:val="16"/>
                <w:szCs w:val="16"/>
                <w:color w:val="auto"/>
              </w:rPr>
              <w:t>(Loss) income from operations</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(12,807)</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(12,807)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(9,459)</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(22,266)</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Foreign currency transactions loss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(23,956)</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18,502</w:t>
            </w:r>
          </w:p>
        </w:tc>
        <w:tc>
          <w:tcPr>
            <w:tcW w:w="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(9,873)</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(9,873)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9,873</w:t>
            </w:r>
          </w:p>
        </w:tc>
        <w:tc>
          <w:tcPr>
            <w:tcW w:w="56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expense, net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(33,686)</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(33,686)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18,502</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(5,311)</w:t>
            </w:r>
          </w:p>
        </w:tc>
        <w:tc>
          <w:tcPr>
            <w:tcW w:w="0" w:type="dxa"/>
            <w:vAlign w:val="bottom"/>
          </w:tcPr>
          <w:p>
            <w:pPr>
              <w:spacing w:after="0"/>
              <w:rPr>
                <w:sz w:val="1"/>
                <w:szCs w:val="1"/>
                <w:color w:val="auto"/>
              </w:rPr>
            </w:pPr>
          </w:p>
        </w:tc>
      </w:tr>
      <w:tr>
        <w:trPr>
          <w:trHeight w:val="195"/>
        </w:trPr>
        <w:tc>
          <w:tcPr>
            <w:tcW w:w="4320" w:type="dxa"/>
            <w:vAlign w:val="bottom"/>
          </w:tcPr>
          <w:p>
            <w:pPr>
              <w:ind w:left="640"/>
              <w:spacing w:after="0"/>
              <w:rPr>
                <w:sz w:val="20"/>
                <w:szCs w:val="20"/>
                <w:color w:val="auto"/>
              </w:rPr>
            </w:pPr>
            <w:r>
              <w:rPr>
                <w:rFonts w:ascii="Arial" w:cs="Arial" w:eastAsia="Arial" w:hAnsi="Arial"/>
                <w:sz w:val="16"/>
                <w:szCs w:val="16"/>
                <w:b w:val="1"/>
                <w:bCs w:val="1"/>
                <w:color w:val="auto"/>
              </w:rPr>
              <w:t>Loss before income taxes</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(46,493)</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(46,493)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9,043</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320" w:type="dxa"/>
            <w:vAlign w:val="bottom"/>
          </w:tcPr>
          <w:p>
            <w:pPr>
              <w:ind w:left="32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(46,493)</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(46,493)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9,043</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interests</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(5,172)</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20,667</w:t>
            </w: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(25,839)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15,808</w:t>
            </w:r>
          </w:p>
        </w:tc>
        <w:tc>
          <w:tcPr>
            <w:tcW w:w="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(10,032)</w:t>
            </w:r>
          </w:p>
        </w:tc>
        <w:tc>
          <w:tcPr>
            <w:tcW w:w="0" w:type="dxa"/>
            <w:vAlign w:val="bottom"/>
          </w:tcPr>
          <w:p>
            <w:pPr>
              <w:spacing w:after="0"/>
              <w:rPr>
                <w:sz w:val="1"/>
                <w:szCs w:val="1"/>
                <w:color w:val="auto"/>
              </w:rPr>
            </w:pPr>
          </w:p>
        </w:tc>
      </w:tr>
      <w:tr>
        <w:trPr>
          <w:trHeight w:val="195"/>
        </w:trPr>
        <w:tc>
          <w:tcPr>
            <w:tcW w:w="4320" w:type="dxa"/>
            <w:vAlign w:val="bottom"/>
          </w:tcPr>
          <w:p>
            <w:pPr>
              <w:ind w:left="320"/>
              <w:spacing w:after="0"/>
              <w:rPr>
                <w:sz w:val="20"/>
                <w:szCs w:val="20"/>
                <w:color w:val="auto"/>
              </w:rPr>
            </w:pPr>
            <w:r>
              <w:rPr>
                <w:rFonts w:ascii="Arial" w:cs="Arial" w:eastAsia="Arial" w:hAnsi="Arial"/>
                <w:sz w:val="16"/>
                <w:szCs w:val="16"/>
                <w:color w:val="auto"/>
              </w:rPr>
              <w:t>Net loss attributable to Definitive Healthcare Corp.</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(41,321</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w w:val="84"/>
              </w:rPr>
              <w:t>(20,667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(20,654)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(6,765</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5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3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Pro forma net loss per share data</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20" w:type="dxa"/>
            <w:vAlign w:val="bottom"/>
          </w:tcPr>
          <w:p>
            <w:pPr>
              <w:spacing w:after="0" w:line="172" w:lineRule="exact"/>
              <w:rPr>
                <w:sz w:val="20"/>
                <w:szCs w:val="20"/>
                <w:color w:val="auto"/>
              </w:rPr>
            </w:pPr>
            <w:r>
              <w:rPr>
                <w:rFonts w:ascii="Arial" w:cs="Arial" w:eastAsia="Arial" w:hAnsi="Arial"/>
                <w:sz w:val="16"/>
                <w:szCs w:val="16"/>
                <w:color w:val="auto"/>
                <w:w w:val="97"/>
              </w:rPr>
              <w:t>Pro forma weighted-average shares of Class A common stock</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160"/>
              <w:spacing w:after="0"/>
              <w:rPr>
                <w:sz w:val="20"/>
                <w:szCs w:val="20"/>
                <w:color w:val="auto"/>
              </w:rPr>
            </w:pPr>
            <w:r>
              <w:rPr>
                <w:rFonts w:ascii="Arial" w:cs="Arial" w:eastAsia="Arial" w:hAnsi="Arial"/>
                <w:sz w:val="16"/>
                <w:szCs w:val="16"/>
                <w:color w:val="auto"/>
              </w:rPr>
              <w:t>outstanding (3)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97,030,095</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97,030,095</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of Class A common stock</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See accompanying notes to unaudited pro forma financial information.</w:t>
      </w:r>
    </w:p>
    <w:p>
      <w:pPr>
        <w:spacing w:after="0" w:line="146" w:lineRule="exact"/>
        <w:rPr>
          <w:sz w:val="20"/>
          <w:szCs w:val="20"/>
          <w:color w:val="auto"/>
        </w:rPr>
      </w:pPr>
    </w:p>
    <w:p>
      <w:pPr>
        <w:jc w:val="center"/>
        <w:ind w:right="-6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00"/>
          </w:cols>
          <w:pgMar w:left="320" w:top="440" w:right="7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UNAUDITED PRO FORMA CONSOLIDATED STATEMENT OF OPERATIONS For the Year Ended December 31, 2020</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7"/>
              </w:rPr>
              <w:t>Historical</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Pro forma</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Pro forma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Transaction</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5"/>
              </w:rPr>
              <w:t>Definitive</w:t>
            </w:r>
          </w:p>
        </w:tc>
        <w:tc>
          <w:tcPr>
            <w:tcW w:w="10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94"/>
              </w:rPr>
              <w:t>Offering</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5"/>
              </w:rPr>
              <w:t>Definitive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5"/>
              </w:rPr>
              <w:t>Definitive</w:t>
            </w:r>
          </w:p>
        </w:tc>
        <w:tc>
          <w:tcPr>
            <w:tcW w:w="4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6"/>
              </w:rPr>
              <w:t>Healthcare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6"/>
              </w:rPr>
              <w:t>Healthcare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OpCo</w:t>
            </w:r>
          </w:p>
        </w:tc>
        <w:tc>
          <w:tcPr>
            <w:tcW w:w="42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Corp.</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Corp.</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 in thousands, except per share data)</w:t>
            </w: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Revenue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81"/>
              </w:rPr>
              <w:t>$ 118,317</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w w:val="92"/>
              </w:rPr>
              <w:t>$ 118,317</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118,317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Cost of revenue exclusive of amortization shown below</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11,085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11,085</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11,085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19,383</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19,383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19,383</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Gross profit</w:t>
            </w: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87,849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87,849</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87,849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Sales and marketing</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34,332</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34,332</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34,332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11,062</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11,062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12,927</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12,927</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12,927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40,197</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40,197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Transaction expenses</w:t>
            </w:r>
          </w:p>
        </w:tc>
        <w:tc>
          <w:tcPr>
            <w:tcW w:w="640" w:type="dxa"/>
            <w:vAlign w:val="bottom"/>
          </w:tcPr>
          <w:p>
            <w:pPr>
              <w:jc w:val="right"/>
              <w:spacing w:after="0"/>
              <w:rPr>
                <w:sz w:val="20"/>
                <w:szCs w:val="20"/>
                <w:color w:val="auto"/>
              </w:rPr>
            </w:pPr>
            <w:r>
              <w:rPr>
                <w:rFonts w:ascii="Arial" w:cs="Arial" w:eastAsia="Arial" w:hAnsi="Arial"/>
                <w:sz w:val="17"/>
                <w:szCs w:val="17"/>
                <w:color w:val="auto"/>
              </w:rPr>
              <w:t>3,776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3,776</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13,348</w:t>
            </w:r>
          </w:p>
        </w:tc>
        <w:tc>
          <w:tcPr>
            <w:tcW w:w="3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17,124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operating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102,294</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102,294</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13,348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(Loss) income from operations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(14,445)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(14,445)</w:t>
            </w: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(13,348)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(27,793)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Foreign currency transaction gain (loss)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(222)</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(36,490)</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(36,490)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29,097</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(9,873)</w:t>
            </w:r>
          </w:p>
        </w:tc>
        <w:tc>
          <w:tcPr>
            <w:tcW w:w="36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(9,873)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other expense, net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(36,712)</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(36,712)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19,224</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(17,488)</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before income taxes</w:t>
            </w: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gridSpan w:val="2"/>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(51,157)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(51,157)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5,876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(45,281)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7"/>
                <w:szCs w:val="17"/>
                <w:color w:val="auto"/>
              </w:rPr>
              <w:t>Net loss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(51,157)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(51,157)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5,876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(45,281)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(22,740)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6,269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320"/>
              <w:spacing w:after="0"/>
              <w:rPr>
                <w:sz w:val="20"/>
                <w:szCs w:val="20"/>
                <w:color w:val="auto"/>
              </w:rPr>
            </w:pPr>
            <w:r>
              <w:rPr>
                <w:rFonts w:ascii="Arial" w:cs="Arial" w:eastAsia="Arial" w:hAnsi="Arial"/>
                <w:sz w:val="17"/>
                <w:szCs w:val="17"/>
                <w:color w:val="auto"/>
              </w:rPr>
              <w:t>Net loss attributable to Definitive Healthcare Corp.</w:t>
            </w: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 (51,157)</w:t>
            </w:r>
          </w:p>
        </w:tc>
        <w:tc>
          <w:tcPr>
            <w:tcW w:w="58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(22,740)</w:t>
            </w:r>
          </w:p>
        </w:tc>
        <w:tc>
          <w:tcPr>
            <w:tcW w:w="3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w w:val="98"/>
              </w:rPr>
              <w:t>$ (28,417)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(393)</w:t>
            </w:r>
          </w:p>
        </w:tc>
        <w:tc>
          <w:tcPr>
            <w:tcW w:w="3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(28,810)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Pro forma net loss per share data</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60" w:type="dxa"/>
            <w:vAlign w:val="bottom"/>
          </w:tcPr>
          <w:p>
            <w:pPr>
              <w:spacing w:after="0" w:line="190" w:lineRule="exact"/>
              <w:rPr>
                <w:sz w:val="20"/>
                <w:szCs w:val="20"/>
                <w:color w:val="auto"/>
              </w:rPr>
            </w:pPr>
            <w:r>
              <w:rPr>
                <w:rFonts w:ascii="Arial" w:cs="Arial" w:eastAsia="Arial" w:hAnsi="Arial"/>
                <w:sz w:val="17"/>
                <w:szCs w:val="17"/>
                <w:color w:val="auto"/>
                <w:w w:val="99"/>
              </w:rPr>
              <w:t>Pro forma weighted-average shares of Class A common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outstanding (3)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6"/>
              </w:rPr>
              <w:t>97,030,095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97,030,095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of Class A common stock</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See accompanying notes to unaudited pro forma financial information.</w:t>
      </w:r>
    </w:p>
    <w:p>
      <w:pPr>
        <w:spacing w:after="0" w:line="146" w:lineRule="exact"/>
        <w:rPr>
          <w:sz w:val="20"/>
          <w:szCs w:val="20"/>
          <w:color w:val="auto"/>
        </w:rPr>
      </w:pPr>
    </w:p>
    <w:p>
      <w:pPr>
        <w:jc w:val="center"/>
        <w:ind w:right="-65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800"/>
          </w:cols>
          <w:pgMar w:left="320" w:top="440" w:right="7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right="260"/>
        <w:spacing w:after="0" w:line="276" w:lineRule="auto"/>
        <w:rPr>
          <w:sz w:val="20"/>
          <w:szCs w:val="20"/>
          <w:color w:val="auto"/>
        </w:rPr>
      </w:pPr>
      <w:r>
        <w:rPr>
          <w:rFonts w:ascii="Arial" w:cs="Arial" w:eastAsia="Arial" w:hAnsi="Arial"/>
          <w:sz w:val="17"/>
          <w:szCs w:val="17"/>
          <w:b w:val="1"/>
          <w:bCs w:val="1"/>
          <w:color w:val="auto"/>
        </w:rPr>
        <w:t>Notes to Unaudited Pro Forma Consolidated Financial Information (Year Ended December 31, 2020 and the Nine Months Ended September 30, 2021)</w:t>
      </w:r>
    </w:p>
    <w:p>
      <w:pPr>
        <w:spacing w:after="0" w:line="74" w:lineRule="exact"/>
        <w:rPr>
          <w:sz w:val="20"/>
          <w:szCs w:val="20"/>
          <w:color w:val="auto"/>
        </w:rPr>
      </w:pPr>
    </w:p>
    <w:p>
      <w:pPr>
        <w:ind w:left="860" w:right="140" w:hanging="403"/>
        <w:spacing w:after="0" w:line="252" w:lineRule="auto"/>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Following the Reorganization Transactions, Definitive Healthcare Corp. became subject to U.S. federal, state, local and foreign income taxes. Definitive OpCo is, and will continue to be, taxed as a partnership for federal income tax purposes and applicable state and local income tax purposes, and, as a result, its members, including Definitive Healthcare Corp., pays income taxes with respect to their allocable shares of its taxable income. The pro forma adjustment for income tax expense represents tax expense on income that is taxable in jurisdictions after our corporate reorganization that previously had not been taxable. As a result, the pro forma statement of operations reflects an adjustment to income tax expense for corporate income taxes of $0.4 million for the year ended December 31, 2020 and $0.2 million for the nine months ended September 30, 2021.</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2"/>
          </w:tcPr>
          <w:p>
            <w:pPr>
              <w:jc w:val="right"/>
              <w:ind w:right="1400"/>
              <w:spacing w:after="0"/>
              <w:rPr>
                <w:sz w:val="20"/>
                <w:szCs w:val="20"/>
                <w:color w:val="auto"/>
              </w:rPr>
            </w:pPr>
            <w:r>
              <w:rPr>
                <w:rFonts w:ascii="Arial" w:cs="Arial" w:eastAsia="Arial" w:hAnsi="Arial"/>
                <w:sz w:val="13"/>
                <w:szCs w:val="13"/>
                <w:b w:val="1"/>
                <w:bCs w:val="1"/>
                <w:color w:val="auto"/>
                <w:w w:val="92"/>
              </w:rPr>
              <w:t>Twelve Months</w:t>
            </w:r>
          </w:p>
        </w:tc>
        <w:tc>
          <w:tcPr>
            <w:tcW w:w="14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Nine Months</w:t>
            </w:r>
          </w:p>
        </w:tc>
      </w:tr>
      <w:tr>
        <w:trPr>
          <w:trHeight w:val="139"/>
        </w:trPr>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right"/>
              <w:ind w:right="1640"/>
              <w:spacing w:after="0" w:line="139" w:lineRule="exact"/>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160" w:type="dxa"/>
            <w:vAlign w:val="bottom"/>
            <w:gridSpan w:val="2"/>
          </w:tcPr>
          <w:p>
            <w:pPr>
              <w:jc w:val="right"/>
              <w:ind w:right="560"/>
              <w:spacing w:after="0" w:line="139" w:lineRule="exact"/>
              <w:rPr>
                <w:sz w:val="20"/>
                <w:szCs w:val="20"/>
                <w:color w:val="auto"/>
              </w:rPr>
            </w:pPr>
            <w:r>
              <w:rPr>
                <w:rFonts w:ascii="Arial" w:cs="Arial" w:eastAsia="Arial" w:hAnsi="Arial"/>
                <w:sz w:val="13"/>
                <w:szCs w:val="13"/>
                <w:b w:val="1"/>
                <w:bCs w:val="1"/>
                <w:color w:val="auto"/>
              </w:rPr>
              <w:t>Ended</w:t>
            </w:r>
          </w:p>
        </w:tc>
      </w:tr>
      <w:tr>
        <w:trPr>
          <w:trHeight w:val="160"/>
        </w:trPr>
        <w:tc>
          <w:tcPr>
            <w:tcW w:w="3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80" w:type="dxa"/>
            <w:vAlign w:val="bottom"/>
            <w:gridSpan w:val="3"/>
          </w:tcPr>
          <w:p>
            <w:pPr>
              <w:spacing w:after="0"/>
              <w:rPr>
                <w:sz w:val="20"/>
                <w:szCs w:val="20"/>
                <w:color w:val="auto"/>
              </w:rPr>
            </w:pPr>
            <w:r>
              <w:rPr>
                <w:rFonts w:ascii="Arial" w:cs="Arial" w:eastAsia="Arial" w:hAnsi="Arial"/>
                <w:sz w:val="13"/>
                <w:szCs w:val="13"/>
                <w:b w:val="1"/>
                <w:bCs w:val="1"/>
                <w:color w:val="auto"/>
              </w:rPr>
              <w:t>December 31, 2020</w:t>
            </w: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September 30, 2021</w:t>
            </w:r>
          </w:p>
        </w:tc>
      </w:tr>
      <w:tr>
        <w:trPr>
          <w:trHeight w:val="195"/>
        </w:trPr>
        <w:tc>
          <w:tcPr>
            <w:tcW w:w="34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Income tax expense</w:t>
            </w: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80" w:type="dxa"/>
            <w:vAlign w:val="bottom"/>
            <w:tcBorders>
              <w:top w:val="single" w:sz="8" w:color="CCEEFF"/>
            </w:tcBorders>
            <w:shd w:val="clear" w:color="auto" w:fill="CCEEFF"/>
          </w:tcPr>
          <w:p>
            <w:pPr>
              <w:spacing w:after="0"/>
              <w:rPr>
                <w:sz w:val="16"/>
                <w:szCs w:val="16"/>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7"/>
                <w:szCs w:val="17"/>
                <w:color w:val="auto"/>
              </w:rPr>
              <w:t>Ownership % of the controlling interest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right"/>
              <w:ind w:right="1140"/>
              <w:spacing w:after="0"/>
              <w:rPr>
                <w:sz w:val="20"/>
                <w:szCs w:val="20"/>
                <w:color w:val="auto"/>
              </w:rPr>
            </w:pPr>
            <w:r>
              <w:rPr>
                <w:rFonts w:ascii="Arial" w:cs="Arial" w:eastAsia="Arial" w:hAnsi="Arial"/>
                <w:sz w:val="17"/>
                <w:szCs w:val="17"/>
                <w:color w:val="auto"/>
              </w:rPr>
              <w:t>55.5%</w:t>
            </w:r>
          </w:p>
        </w:tc>
        <w:tc>
          <w:tcPr>
            <w:tcW w:w="14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55.5%</w:t>
            </w:r>
          </w:p>
        </w:tc>
      </w:tr>
      <w:tr>
        <w:trPr>
          <w:trHeight w:val="190"/>
        </w:trPr>
        <w:tc>
          <w:tcPr>
            <w:tcW w:w="34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Pro forma income attributable to the</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5"/>
        </w:trPr>
        <w:tc>
          <w:tcPr>
            <w:tcW w:w="3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controlling interest</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8"/>
                <w:szCs w:val="18"/>
                <w:color w:val="auto"/>
              </w:rPr>
            </w:pPr>
          </w:p>
        </w:tc>
      </w:tr>
    </w:tbl>
    <w:p>
      <w:pPr>
        <w:spacing w:after="0" w:line="114" w:lineRule="exact"/>
        <w:rPr>
          <w:sz w:val="20"/>
          <w:szCs w:val="20"/>
          <w:color w:val="auto"/>
        </w:rPr>
      </w:pPr>
    </w:p>
    <w:p>
      <w:pPr>
        <w:ind w:left="860" w:right="20" w:hanging="403"/>
        <w:spacing w:after="0" w:line="289" w:lineRule="auto"/>
        <w:tabs>
          <w:tab w:leader="none" w:pos="8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are the sole managing member of Definitive OpCo pursuant to the Amended LLC Agreement. As a result, while we own less than 100% of the economic interest in Definitive OpCo, we have 100% of the voting power and control the management of Definitive OpCo. Because we manage and operate the business and control the strategic decisions and day-to-day operations of Definitive OpCo and also have a substantial financial interest in Definitive OpCo, we consolidate the financial results of Definitive OpCo, and a portion of our net income (loss) is allocated to the noncontrolling interest to reflect the entitlement of Unitholders to a portion of Definitive OpCo’s net income (loss). We hold approximately 63.6% of Definitive OpCo’s outstanding LLC Units, exclusive of unvested incentive units as of the IPO date (or approximately 64.1% if the underwriters exercise their option to purchase additional shares of Class A common stock in full), and the remaining LLC Units of Definitive OpCo are held by the Unitholders. Immediately following the Transactions, the ownership percentage held by the noncontrolling interest was approximately 36.4%. Net loss attributable to the noncontrolling interest will represent approximately 36.4% of net loss.</w:t>
      </w:r>
    </w:p>
    <w:p>
      <w:pPr>
        <w:spacing w:after="0" w:line="68" w:lineRule="exact"/>
        <w:rPr>
          <w:rFonts w:ascii="Arial" w:cs="Arial" w:eastAsia="Arial" w:hAnsi="Arial"/>
          <w:sz w:val="15"/>
          <w:szCs w:val="15"/>
          <w:color w:val="auto"/>
        </w:rPr>
      </w:pPr>
    </w:p>
    <w:p>
      <w:pPr>
        <w:ind w:left="860" w:right="300" w:hanging="403"/>
        <w:spacing w:after="0" w:line="301" w:lineRule="auto"/>
        <w:tabs>
          <w:tab w:leader="none" w:pos="8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155"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jc w:val="right"/>
              <w:ind w:right="881"/>
              <w:spacing w:after="0"/>
              <w:rPr>
                <w:sz w:val="20"/>
                <w:szCs w:val="20"/>
                <w:color w:val="auto"/>
              </w:rPr>
            </w:pPr>
            <w:r>
              <w:rPr>
                <w:rFonts w:ascii="Arial" w:cs="Arial" w:eastAsia="Arial" w:hAnsi="Arial"/>
                <w:sz w:val="13"/>
                <w:szCs w:val="13"/>
                <w:b w:val="1"/>
                <w:bCs w:val="1"/>
                <w:color w:val="auto"/>
                <w:w w:val="92"/>
              </w:rPr>
              <w:t>For the Twelve Months</w:t>
            </w:r>
          </w:p>
        </w:tc>
        <w:tc>
          <w:tcPr>
            <w:tcW w:w="1400" w:type="dxa"/>
            <w:vAlign w:val="bottom"/>
            <w:gridSpan w:val="3"/>
          </w:tcPr>
          <w:p>
            <w:pPr>
              <w:ind w:left="1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2900" w:type="dxa"/>
            <w:vAlign w:val="bottom"/>
            <w:vMerge w:val="restart"/>
          </w:tcPr>
          <w:p>
            <w:pPr>
              <w:spacing w:after="0"/>
              <w:rPr>
                <w:sz w:val="20"/>
                <w:szCs w:val="20"/>
                <w:color w:val="auto"/>
              </w:rPr>
            </w:pPr>
            <w:r>
              <w:rPr>
                <w:rFonts w:ascii="Arial" w:cs="Arial" w:eastAsia="Arial" w:hAnsi="Arial"/>
                <w:sz w:val="13"/>
                <w:szCs w:val="13"/>
                <w:b w:val="1"/>
                <w:bCs w:val="1"/>
                <w:color w:val="auto"/>
                <w:w w:val="91"/>
              </w:rPr>
              <w:t>Pro forma loss per share of Class A common stock</w:t>
            </w:r>
          </w:p>
        </w:tc>
        <w:tc>
          <w:tcPr>
            <w:tcW w:w="276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2380" w:type="dxa"/>
            <w:vAlign w:val="bottom"/>
            <w:gridSpan w:val="2"/>
          </w:tcPr>
          <w:p>
            <w:pPr>
              <w:ind w:left="20"/>
              <w:spacing w:after="0"/>
              <w:rPr>
                <w:sz w:val="20"/>
                <w:szCs w:val="20"/>
                <w:color w:val="auto"/>
              </w:rPr>
            </w:pPr>
            <w:r>
              <w:rPr>
                <w:rFonts w:ascii="Arial" w:cs="Arial" w:eastAsia="Arial" w:hAnsi="Arial"/>
                <w:sz w:val="13"/>
                <w:szCs w:val="13"/>
                <w:b w:val="1"/>
                <w:bCs w:val="1"/>
                <w:color w:val="auto"/>
              </w:rPr>
              <w:t>Ended December 31, 2020</w:t>
            </w:r>
          </w:p>
        </w:tc>
        <w:tc>
          <w:tcPr>
            <w:tcW w:w="1400" w:type="dxa"/>
            <w:vAlign w:val="bottom"/>
            <w:gridSpan w:val="3"/>
          </w:tcPr>
          <w:p>
            <w:pPr>
              <w:ind w:left="140"/>
              <w:spacing w:after="0"/>
              <w:rPr>
                <w:sz w:val="20"/>
                <w:szCs w:val="20"/>
                <w:color w:val="auto"/>
              </w:rPr>
            </w:pPr>
            <w:r>
              <w:rPr>
                <w:rFonts w:ascii="Arial" w:cs="Arial" w:eastAsia="Arial" w:hAnsi="Arial"/>
                <w:sz w:val="13"/>
                <w:szCs w:val="13"/>
                <w:b w:val="1"/>
                <w:bCs w:val="1"/>
                <w:color w:val="auto"/>
              </w:rPr>
              <w:t>September 30, 2021</w:t>
            </w:r>
          </w:p>
        </w:tc>
        <w:tc>
          <w:tcPr>
            <w:tcW w:w="0" w:type="dxa"/>
            <w:vAlign w:val="bottom"/>
          </w:tcPr>
          <w:p>
            <w:pPr>
              <w:spacing w:after="0"/>
              <w:rPr>
                <w:sz w:val="1"/>
                <w:szCs w:val="1"/>
                <w:color w:val="auto"/>
              </w:rPr>
            </w:pPr>
          </w:p>
        </w:tc>
      </w:tr>
      <w:tr>
        <w:trPr>
          <w:trHeight w:val="139"/>
        </w:trPr>
        <w:tc>
          <w:tcPr>
            <w:tcW w:w="2900" w:type="dxa"/>
            <w:vAlign w:val="bottom"/>
            <w:tcBorders>
              <w:bottom w:val="single" w:sz="8" w:color="auto"/>
            </w:tcBorders>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tcPr>
          <w:p>
            <w:pPr>
              <w:jc w:val="right"/>
              <w:ind w:right="41"/>
              <w:spacing w:after="0" w:line="119" w:lineRule="exact"/>
              <w:rPr>
                <w:sz w:val="20"/>
                <w:szCs w:val="20"/>
                <w:color w:val="auto"/>
              </w:rPr>
            </w:pPr>
            <w:r>
              <w:rPr>
                <w:rFonts w:ascii="Arial" w:cs="Arial" w:eastAsia="Arial" w:hAnsi="Arial"/>
                <w:sz w:val="13"/>
                <w:szCs w:val="13"/>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6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Numerator:</w:t>
            </w: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gridSpan w:val="2"/>
          </w:tcPr>
          <w:p>
            <w:pPr>
              <w:spacing w:after="0" w:line="190" w:lineRule="exact"/>
              <w:rPr>
                <w:sz w:val="20"/>
                <w:szCs w:val="20"/>
                <w:color w:val="auto"/>
              </w:rPr>
            </w:pPr>
            <w:r>
              <w:rPr>
                <w:rFonts w:ascii="Arial" w:cs="Arial" w:eastAsia="Arial" w:hAnsi="Arial"/>
                <w:sz w:val="17"/>
                <w:szCs w:val="17"/>
                <w:color w:val="auto"/>
                <w:w w:val="98"/>
              </w:rPr>
              <w:t>Pro forma net loss attributable to the Issuer’s Class A common stockholders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gridSpan w:val="2"/>
          </w:tcPr>
          <w:p>
            <w:pPr>
              <w:ind w:left="160"/>
              <w:spacing w:after="0"/>
              <w:rPr>
                <w:sz w:val="20"/>
                <w:szCs w:val="20"/>
                <w:color w:val="auto"/>
              </w:rPr>
            </w:pPr>
            <w:r>
              <w:rPr>
                <w:rFonts w:ascii="Arial" w:cs="Arial" w:eastAsia="Arial" w:hAnsi="Arial"/>
                <w:sz w:val="17"/>
                <w:szCs w:val="17"/>
                <w:color w:val="auto"/>
              </w:rPr>
              <w:t>(basic and diluted)</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2280" w:type="dxa"/>
            <w:vAlign w:val="bottom"/>
          </w:tcPr>
          <w:p>
            <w:pPr>
              <w:jc w:val="right"/>
              <w:ind w:right="721"/>
              <w:spacing w:after="0"/>
              <w:rPr>
                <w:sz w:val="20"/>
                <w:szCs w:val="20"/>
                <w:color w:val="auto"/>
              </w:rPr>
            </w:pPr>
            <w:r>
              <w:rPr>
                <w:rFonts w:ascii="Arial" w:cs="Arial" w:eastAsia="Arial" w:hAnsi="Arial"/>
                <w:sz w:val="17"/>
                <w:szCs w:val="17"/>
                <w:color w:val="auto"/>
              </w:rPr>
              <w:t>(28,810)</w:t>
            </w:r>
          </w:p>
        </w:tc>
        <w:tc>
          <w:tcPr>
            <w:tcW w:w="360" w:type="dxa"/>
            <w:vAlign w:val="bottom"/>
          </w:tcPr>
          <w:p>
            <w:pPr>
              <w:ind w:left="1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(17,545)</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60" w:type="dxa"/>
            <w:vAlign w:val="bottom"/>
            <w:gridSpan w:val="2"/>
          </w:tcPr>
          <w:p>
            <w:pPr>
              <w:spacing w:after="0" w:line="190" w:lineRule="exact"/>
              <w:rPr>
                <w:sz w:val="20"/>
                <w:szCs w:val="20"/>
                <w:color w:val="auto"/>
              </w:rPr>
            </w:pPr>
            <w:r>
              <w:rPr>
                <w:rFonts w:ascii="Arial" w:cs="Arial" w:eastAsia="Arial" w:hAnsi="Arial"/>
                <w:sz w:val="17"/>
                <w:szCs w:val="17"/>
                <w:color w:val="auto"/>
                <w:w w:val="97"/>
              </w:rPr>
              <w:t>Pro forma weighted average of shares of Class A common stock outstanding</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gridSpan w:val="2"/>
          </w:tcPr>
          <w:p>
            <w:pPr>
              <w:ind w:left="160"/>
              <w:spacing w:after="0"/>
              <w:rPr>
                <w:sz w:val="20"/>
                <w:szCs w:val="20"/>
                <w:color w:val="auto"/>
              </w:rPr>
            </w:pPr>
            <w:r>
              <w:rPr>
                <w:rFonts w:ascii="Arial" w:cs="Arial" w:eastAsia="Arial" w:hAnsi="Arial"/>
                <w:sz w:val="17"/>
                <w:szCs w:val="17"/>
                <w:color w:val="auto"/>
              </w:rPr>
              <w:t>(basic)</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781"/>
              <w:spacing w:after="0"/>
              <w:rPr>
                <w:sz w:val="20"/>
                <w:szCs w:val="20"/>
                <w:color w:val="auto"/>
              </w:rPr>
            </w:pPr>
            <w:r>
              <w:rPr>
                <w:rFonts w:ascii="Arial" w:cs="Arial" w:eastAsia="Arial" w:hAnsi="Arial"/>
                <w:sz w:val="17"/>
                <w:szCs w:val="17"/>
                <w:color w:val="auto"/>
              </w:rPr>
              <w:t>97,030,095</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97,030,095</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 forma basic loss per share</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228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rPr>
              <w:t>(0.30)</w:t>
            </w:r>
          </w:p>
        </w:tc>
        <w:tc>
          <w:tcPr>
            <w:tcW w:w="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18"/>
        </w:trPr>
        <w:tc>
          <w:tcPr>
            <w:tcW w:w="5660" w:type="dxa"/>
            <w:vAlign w:val="bottom"/>
            <w:gridSpan w:val="2"/>
          </w:tcPr>
          <w:p>
            <w:pPr>
              <w:spacing w:after="0"/>
              <w:rPr>
                <w:sz w:val="20"/>
                <w:szCs w:val="20"/>
                <w:color w:val="auto"/>
              </w:rPr>
            </w:pPr>
            <w:r>
              <w:rPr>
                <w:rFonts w:ascii="Arial" w:cs="Arial" w:eastAsia="Arial" w:hAnsi="Arial"/>
                <w:sz w:val="17"/>
                <w:szCs w:val="17"/>
                <w:b w:val="1"/>
                <w:bCs w:val="1"/>
                <w:color w:val="auto"/>
              </w:rPr>
              <w:t>Antidilutive shares excluded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781"/>
              <w:spacing w:after="0"/>
              <w:rPr>
                <w:sz w:val="20"/>
                <w:szCs w:val="20"/>
                <w:color w:val="auto"/>
              </w:rPr>
            </w:pPr>
            <w:r>
              <w:rPr>
                <w:rFonts w:ascii="Arial" w:cs="Arial" w:eastAsia="Arial" w:hAnsi="Arial"/>
                <w:sz w:val="17"/>
                <w:szCs w:val="17"/>
                <w:color w:val="auto"/>
              </w:rPr>
              <w:t>55,475,777</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55,475,777</w:t>
            </w:r>
          </w:p>
        </w:tc>
        <w:tc>
          <w:tcPr>
            <w:tcW w:w="0" w:type="dxa"/>
            <w:vAlign w:val="bottom"/>
          </w:tcPr>
          <w:p>
            <w:pPr>
              <w:spacing w:after="0"/>
              <w:rPr>
                <w:sz w:val="1"/>
                <w:szCs w:val="1"/>
                <w:color w:val="auto"/>
              </w:rPr>
            </w:pPr>
          </w:p>
        </w:tc>
      </w:tr>
      <w:tr>
        <w:trPr>
          <w:trHeight w:val="325"/>
        </w:trPr>
        <w:tc>
          <w:tcPr>
            <w:tcW w:w="5660" w:type="dxa"/>
            <w:vAlign w:val="bottom"/>
            <w:gridSpan w:val="2"/>
          </w:tcPr>
          <w:p>
            <w:pPr>
              <w:ind w:left="4760"/>
              <w:spacing w:after="0"/>
              <w:rPr>
                <w:sz w:val="20"/>
                <w:szCs w:val="20"/>
                <w:color w:val="auto"/>
              </w:rPr>
            </w:pPr>
            <w:r>
              <w:rPr>
                <w:rFonts w:ascii="Arial" w:cs="Arial" w:eastAsia="Arial" w:hAnsi="Arial"/>
                <w:sz w:val="17"/>
                <w:szCs w:val="17"/>
                <w:color w:val="auto"/>
              </w:rPr>
              <w:t>76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Reflects the effects of the following equity-based compensation expenses:</w:t>
      </w:r>
    </w:p>
    <w:p>
      <w:pPr>
        <w:spacing w:after="0" w:line="121" w:lineRule="exact"/>
        <w:rPr>
          <w:rFonts w:ascii="Arial" w:cs="Arial" w:eastAsia="Arial" w:hAnsi="Arial"/>
          <w:sz w:val="17"/>
          <w:szCs w:val="17"/>
          <w:color w:val="auto"/>
        </w:rPr>
      </w:pPr>
    </w:p>
    <w:p>
      <w:pPr>
        <w:jc w:val="both"/>
        <w:ind w:left="1360" w:right="200" w:hanging="498"/>
        <w:spacing w:after="0" w:line="254" w:lineRule="auto"/>
        <w:tabs>
          <w:tab w:leader="none" w:pos="13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$8.8 million and $6.2 million of equity-based compensation expense for the year ended December 31, 2020 and the nine months ended September 30, 2021, respectively, in relation to new awards under the Definitive Healthcare Corp. 2021 Equity Incentive Plan issued to certain key personnel in connection with the IPO and vesting over periods greater than one year commencing on the awards’ grant date, which for pro forma purposes would be January 1, 2020. Such awards were granted by Definitive Healthcare Corp., accordingly none of the related expense is attributable to non-controlling interests.</w:t>
      </w:r>
    </w:p>
    <w:p>
      <w:pPr>
        <w:spacing w:after="0" w:line="92" w:lineRule="exact"/>
        <w:rPr>
          <w:rFonts w:ascii="Arial" w:cs="Arial" w:eastAsia="Arial" w:hAnsi="Arial"/>
          <w:sz w:val="17"/>
          <w:szCs w:val="17"/>
          <w:color w:val="auto"/>
        </w:rPr>
      </w:pPr>
    </w:p>
    <w:p>
      <w:pPr>
        <w:jc w:val="both"/>
        <w:ind w:left="1360" w:right="300" w:hanging="498"/>
        <w:spacing w:after="0" w:line="311" w:lineRule="auto"/>
        <w:tabs>
          <w:tab w:leader="none" w:pos="1360" w:val="left"/>
        </w:tabs>
        <w:numPr>
          <w:ilvl w:val="1"/>
          <w:numId w:val="59"/>
        </w:numPr>
        <w:rPr>
          <w:rFonts w:ascii="Arial" w:cs="Arial" w:eastAsia="Arial" w:hAnsi="Arial"/>
          <w:sz w:val="15"/>
          <w:szCs w:val="15"/>
          <w:color w:val="auto"/>
        </w:rPr>
      </w:pPr>
      <w:r>
        <w:rPr>
          <w:rFonts w:ascii="Arial" w:cs="Arial" w:eastAsia="Arial" w:hAnsi="Arial"/>
          <w:sz w:val="15"/>
          <w:szCs w:val="15"/>
          <w:color w:val="auto"/>
        </w:rPr>
        <w:t>$1.6 million and $1.0 million of equity-based compensation expense for the year ended December 31, 2020 and the nine months ended September 30, 2021, for awards under the 2019 Equity Incentive Plan will be recorded in periods following this offering in accordance with the performance-based vesting criteria which can be exchanged for our Class A common stock after an initial public offering.</w:t>
      </w:r>
    </w:p>
    <w:p>
      <w:pPr>
        <w:spacing w:after="0" w:line="51" w:lineRule="exact"/>
        <w:rPr>
          <w:rFonts w:ascii="Arial" w:cs="Arial" w:eastAsia="Arial" w:hAnsi="Arial"/>
          <w:sz w:val="15"/>
          <w:szCs w:val="15"/>
          <w:color w:val="auto"/>
        </w:rPr>
      </w:pPr>
    </w:p>
    <w:p>
      <w:pPr>
        <w:ind w:left="1360" w:right="160" w:hanging="498"/>
        <w:spacing w:after="0" w:line="260" w:lineRule="auto"/>
        <w:tabs>
          <w:tab w:leader="none" w:pos="13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$3.0 million and $2.2 million of equity-based compensation expense for the year ended December 31, 2020 and the nine months ended September 30, 2021, respectively, in relation to the modification of certain pre-IPO equity-based awards under the 2019 Equity Incentive Plan to remove certain forfeiture terms.</w:t>
      </w:r>
    </w:p>
    <w:p>
      <w:pPr>
        <w:spacing w:after="0" w:line="86" w:lineRule="exact"/>
        <w:rPr>
          <w:rFonts w:ascii="Arial" w:cs="Arial" w:eastAsia="Arial" w:hAnsi="Arial"/>
          <w:sz w:val="17"/>
          <w:szCs w:val="17"/>
          <w:color w:val="auto"/>
        </w:rPr>
      </w:pPr>
    </w:p>
    <w:p>
      <w:pPr>
        <w:ind w:left="1360" w:right="220" w:hanging="498"/>
        <w:spacing w:after="0" w:line="260" w:lineRule="auto"/>
        <w:tabs>
          <w:tab w:leader="none" w:pos="13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awards under the 2021 Equity Incentive Plan and 2019 Equity Incentive Plan are estimated to have total unrecognized equity-based compensation expense of $39.1 million and $18.4 million, respectively at the time of this offering, to be recognized over the remaining vesting terms.</w:t>
      </w:r>
    </w:p>
    <w:p>
      <w:pPr>
        <w:spacing w:after="0" w:line="86" w:lineRule="exact"/>
        <w:rPr>
          <w:rFonts w:ascii="Arial" w:cs="Arial" w:eastAsia="Arial" w:hAnsi="Arial"/>
          <w:sz w:val="17"/>
          <w:szCs w:val="17"/>
          <w:color w:val="auto"/>
        </w:rPr>
      </w:pPr>
    </w:p>
    <w:p>
      <w:pPr>
        <w:ind w:left="860" w:hanging="403"/>
        <w:spacing w:after="0" w:line="253" w:lineRule="auto"/>
        <w:tabs>
          <w:tab w:leader="none" w:pos="8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Definitive OpCo used a portion of the proceeds from the issuance of LLC Units to Definitive Healthcare Corp. to repay $195.4 million of our indebtedness. The interest rate of the outstanding debt prior to refinancing was 6.25%. The remaining outstanding debt balance was refinanced at a lower interest rate, which was 2.37% at September 30, 2021. As such, interest expense will be reduced by $29.1 million and $18.5 million resulting from both the lower borrowings outstanding and the lower interest rate for the year ended December 31, 2020 and nine months ended September 30, 2021, respectively. A loss of $9.9 million for the extinguishment of debt is recorded for the year ended December 31, 2020, as a result of the refinancing of our credit agreements.</w:t>
      </w:r>
    </w:p>
    <w:p>
      <w:pPr>
        <w:spacing w:after="0" w:line="1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780"/>
          </w:cols>
          <w:pgMar w:left="320" w:top="440" w:right="79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88" w:lineRule="exact"/>
        <w:rPr>
          <w:sz w:val="20"/>
          <w:szCs w:val="20"/>
          <w:color w:val="auto"/>
        </w:rPr>
      </w:pPr>
    </w:p>
    <w:p>
      <w:pPr>
        <w:ind w:left="460" w:right="80" w:firstLine="413"/>
        <w:spacing w:after="0" w:line="270" w:lineRule="auto"/>
        <w:rPr>
          <w:sz w:val="20"/>
          <w:szCs w:val="20"/>
          <w:color w:val="auto"/>
        </w:rPr>
      </w:pPr>
      <w:r>
        <w:rPr>
          <w:rFonts w:ascii="Arial" w:cs="Arial" w:eastAsia="Arial" w:hAnsi="Arial"/>
          <w:sz w:val="16"/>
          <w:szCs w:val="16"/>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does not give effect to pro forma adjustments. As a result, the following discussion does not reflect the significant impact that such events will have on us. See “Prospectus Summary—Organizational Structure” and “Unaudited Pro Forma Consolidated Financial Information” for more information.</w:t>
      </w:r>
    </w:p>
    <w:p>
      <w:pPr>
        <w:spacing w:after="0" w:line="172"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Information presented for the nine-month periods ended September 30, 2021 and 2020 is derived from our unaudited condensed consolidated financial statements included elsewhere in this prospectus. We assume no obligation to update any of these forward-looking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87"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2,700 customers as of September 30, 2021. We define a customer as a company that maintains one or more active paid subscriptions to our platform.</w:t>
      </w:r>
    </w:p>
    <w:p>
      <w:pPr>
        <w:spacing w:after="0" w:line="8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40"/>
          </w:cols>
          <w:pgMar w:left="320" w:top="440" w:right="8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firstLine="413"/>
        <w:spacing w:after="0" w:line="284" w:lineRule="auto"/>
        <w:rPr>
          <w:sz w:val="20"/>
          <w:szCs w:val="20"/>
          <w:color w:val="auto"/>
        </w:rPr>
      </w:pPr>
      <w:r>
        <w:rPr>
          <w:rFonts w:ascii="Arial" w:cs="Arial" w:eastAsia="Arial" w:hAnsi="Arial"/>
          <w:sz w:val="16"/>
          <w:szCs w:val="16"/>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123825</wp:posOffset>
            </wp:positionV>
            <wp:extent cx="4414520" cy="21710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414520" cy="2171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view these attributes as key to our financial model:</w:t>
      </w:r>
    </w:p>
    <w:p>
      <w:pPr>
        <w:spacing w:after="0" w:line="121" w:lineRule="exact"/>
        <w:rPr>
          <w:sz w:val="20"/>
          <w:szCs w:val="20"/>
          <w:color w:val="auto"/>
        </w:rPr>
      </w:pPr>
    </w:p>
    <w:p>
      <w:pPr>
        <w:ind w:left="860" w:hanging="301"/>
        <w:spacing w:after="0" w:line="260" w:lineRule="auto"/>
        <w:tabs>
          <w:tab w:leader="none" w:pos="86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an increase of 38%. We generated revenue of $119.8 million and $84.7 million in the nine months ended September 30, 2021 and 2020, respectively, representing an increase of 41%.</w:t>
      </w:r>
    </w:p>
    <w:p>
      <w:pPr>
        <w:spacing w:after="0" w:line="86" w:lineRule="exact"/>
        <w:rPr>
          <w:rFonts w:ascii="Arial" w:cs="Arial" w:eastAsia="Arial" w:hAnsi="Arial"/>
          <w:sz w:val="17"/>
          <w:szCs w:val="17"/>
          <w:color w:val="auto"/>
        </w:rPr>
      </w:pPr>
    </w:p>
    <w:p>
      <w:pPr>
        <w:ind w:left="860" w:hanging="301"/>
        <w:spacing w:after="0" w:line="252" w:lineRule="auto"/>
        <w:tabs>
          <w:tab w:leader="none" w:pos="86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Subscription-based Business Model with Significant Visibility. </w:t>
      </w:r>
      <w:r>
        <w:rPr>
          <w:rFonts w:ascii="Arial" w:cs="Arial" w:eastAsia="Arial" w:hAnsi="Arial"/>
          <w:sz w:val="17"/>
          <w:szCs w:val="17"/>
          <w:color w:val="auto"/>
        </w:rPr>
        <w:t>We offer access to our platform on a subscription basis and we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substantially all of our revenue from subscription fees, which accounted for 99% of revenue for 2020 and the nine months ended September 30, 2021. Subscriptions generally range from 1 to 3 years and are non-cancellable during the subscription term. Over 60% of our ARR as of September 30, 2021 was from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91" w:lineRule="exact"/>
        <w:rPr>
          <w:rFonts w:ascii="Arial" w:cs="Arial" w:eastAsia="Arial" w:hAnsi="Arial"/>
          <w:sz w:val="17"/>
          <w:szCs w:val="17"/>
          <w:color w:val="auto"/>
        </w:rPr>
      </w:pPr>
    </w:p>
    <w:p>
      <w:pPr>
        <w:ind w:left="860" w:right="120" w:hanging="301"/>
        <w:spacing w:after="0" w:line="270" w:lineRule="auto"/>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Diversified Customer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2,700 companies use our platform to help sell into or compete in the healthcare ecosystem as of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In the nine months ended September 30, 2021,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September 30, 2021, as measured by ARR, 49% of our customers operated in Life Sciences; 20% of our customers operated in HCIT; 7% of our customers were Healthcare Providers; and 24% of our customers operated in non-healthcare focused areas. At year-end 2020, as measured by ARR, 48% of our customers operated in Life Sciences; 21% of our customers operated in HCIT; 6% of our customers were Healthcare Providers; and 24% of our customers operated in diversified areas.</w:t>
      </w:r>
    </w:p>
    <w:p>
      <w:pPr>
        <w:spacing w:after="0" w:line="83" w:lineRule="exact"/>
        <w:rPr>
          <w:rFonts w:ascii="Arial" w:cs="Arial" w:eastAsia="Arial" w:hAnsi="Arial"/>
          <w:sz w:val="16"/>
          <w:szCs w:val="16"/>
          <w:color w:val="auto"/>
        </w:rPr>
      </w:pPr>
    </w:p>
    <w:p>
      <w:pPr>
        <w:ind w:left="860" w:hanging="301"/>
        <w:spacing w:after="0" w:line="256" w:lineRule="auto"/>
        <w:tabs>
          <w:tab w:leader="none" w:pos="86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Retention and Growth of Existing Customers. </w:t>
      </w:r>
      <w:r>
        <w:rPr>
          <w:rFonts w:ascii="Arial" w:cs="Arial" w:eastAsia="Arial" w:hAnsi="Arial"/>
          <w:sz w:val="17"/>
          <w:szCs w:val="17"/>
          <w:color w:val="auto"/>
        </w:rPr>
        <w:t>Our ability to grow customer relationships is reflected in our Net Dollar Retention Rate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Enterprise Customers. For 2020, our NDR for all</w:t>
      </w:r>
    </w:p>
    <w:p>
      <w:pPr>
        <w:ind w:left="860"/>
        <w:spacing w:after="0"/>
        <w:rPr>
          <w:rFonts w:ascii="Arial" w:cs="Arial" w:eastAsia="Arial" w:hAnsi="Arial"/>
          <w:sz w:val="17"/>
          <w:szCs w:val="17"/>
          <w:color w:val="auto"/>
        </w:rPr>
      </w:pPr>
      <w:r>
        <w:rPr>
          <w:rFonts w:ascii="Arial" w:cs="Arial" w:eastAsia="Arial" w:hAnsi="Arial"/>
          <w:sz w:val="17"/>
          <w:szCs w:val="17"/>
          <w:color w:val="auto"/>
        </w:rPr>
        <w:t>customers over $17,500 in ARR was 107%. For the year ended December 31, 2020, our NDR for Enterprise</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780"/>
          </w:cols>
          <w:pgMar w:left="320" w:top="440" w:right="79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spacing w:after="0" w:line="256" w:lineRule="auto"/>
        <w:rPr>
          <w:sz w:val="20"/>
          <w:szCs w:val="20"/>
          <w:color w:val="auto"/>
        </w:rPr>
      </w:pPr>
      <w:r>
        <w:rPr>
          <w:rFonts w:ascii="Arial" w:cs="Arial" w:eastAsia="Arial" w:hAnsi="Arial"/>
          <w:sz w:val="17"/>
          <w:szCs w:val="17"/>
          <w:color w:val="auto"/>
        </w:rPr>
        <w:t>Customers was 124%. For the trailing twelve months ended June 30, 2021, our NDR for Enterprise Customers was 125% and our NDR for all customers over $17,500 in ARR was 111%. In 2020, 292 customers generated more than $100,000 in ARR, representing 53% of our total ARR. In the trailing twelve months ended June 30, 2021, 349 customers generated more than $100,000 in ARR, representing 54% of our total ARR. See “—Key Metrics-Net Dollar Retention Rate” below.</w:t>
      </w:r>
    </w:p>
    <w:p>
      <w:pPr>
        <w:spacing w:after="0" w:line="90" w:lineRule="exact"/>
        <w:rPr>
          <w:sz w:val="20"/>
          <w:szCs w:val="20"/>
          <w:color w:val="auto"/>
        </w:rPr>
      </w:pPr>
    </w:p>
    <w:p>
      <w:pPr>
        <w:ind w:left="860" w:right="300" w:hanging="301"/>
        <w:spacing w:after="0" w:line="301" w:lineRule="auto"/>
        <w:tabs>
          <w:tab w:leader="none" w:pos="860" w:val="left"/>
        </w:tabs>
        <w:numPr>
          <w:ilvl w:val="0"/>
          <w:numId w:val="6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Efficient Go-to-Market Engine. </w:t>
      </w:r>
      <w:r>
        <w:rPr>
          <w:rFonts w:ascii="Arial" w:cs="Arial" w:eastAsia="Arial" w:hAnsi="Arial"/>
          <w:sz w:val="15"/>
          <w:szCs w:val="15"/>
          <w:color w:val="auto"/>
        </w:rPr>
        <w:t>We have developed a highly efficient and effective go-to-market engine that combines effective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 Only approximately one-third of a sales representative’s day is spent selling.</w:t>
      </w:r>
    </w:p>
    <w:p>
      <w:pPr>
        <w:spacing w:after="0" w:line="59" w:lineRule="exact"/>
        <w:rPr>
          <w:rFonts w:ascii="Arial" w:cs="Arial" w:eastAsia="Arial" w:hAnsi="Arial"/>
          <w:sz w:val="15"/>
          <w:szCs w:val="15"/>
          <w:color w:val="auto"/>
        </w:rPr>
      </w:pPr>
    </w:p>
    <w:p>
      <w:pPr>
        <w:ind w:left="860" w:right="80" w:hanging="301"/>
        <w:spacing w:after="0" w:line="293" w:lineRule="auto"/>
        <w:tabs>
          <w:tab w:leader="none" w:pos="860" w:val="left"/>
        </w:tabs>
        <w:numPr>
          <w:ilvl w:val="0"/>
          <w:numId w:val="6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History of Strong Financial Performance. </w:t>
      </w:r>
      <w:r>
        <w:rPr>
          <w:rFonts w:ascii="Arial" w:cs="Arial" w:eastAsia="Arial" w:hAnsi="Arial"/>
          <w:sz w:val="15"/>
          <w:szCs w:val="15"/>
          <w:color w:val="auto"/>
        </w:rPr>
        <w:t>Our net loss was $51.2 million for the year ended December 31, 2020 as compared to a net loss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$49.3 million for the period from July 16, 2019 to December 31, 2019 and net income of $12.9 million for the period from January 1, 2019 to July 15, 2019. Our net loss was $46.5 million and $35.3 million for the nine months ended September 30, 2021 and 2020, respectively. Our Net (Loss) Income Margin was (43)% for the year ended December 31, 2020 as compared to (123)% for the period from July 16, 2019 to December 31, 2019 and 28% for the period from January 1, 2019 to July 15, 2019. Our Gross Margin was 74% for the year ended December 31, 2020 as compared to 67% for the period from July 16, 2019 to December 31, 2019 and 88% for the period from January 1, 2019 to July 15, 2019.</w:t>
      </w:r>
    </w:p>
    <w:p>
      <w:pPr>
        <w:spacing w:after="0" w:line="155"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and $105.3 million for the nine months ended September 30, 2021, as compared to $76.7 million for the nine months ended September 30, 2020, resulting in Adjusted Gross Margins of 91% and 89%, for fiscal 2020 and 2019 respectively, and 88% and 91%, for the nine months ended September 30, 2021 and 2020, respectively. Our Adjusted EBITDA was $53.5 million for the year ended December 31, 2020, as compared to $42.3 million in 2019, and $42.9 million for the nine months ended September 30, 2021 and</w:t>
      </w:r>
    </w:p>
    <w:p>
      <w:pPr>
        <w:spacing w:after="0" w:line="3" w:lineRule="exact"/>
        <w:rPr>
          <w:sz w:val="20"/>
          <w:szCs w:val="20"/>
          <w:color w:val="auto"/>
        </w:rPr>
      </w:pPr>
    </w:p>
    <w:p>
      <w:pPr>
        <w:ind w:left="460" w:right="140"/>
        <w:spacing w:after="0" w:line="272" w:lineRule="auto"/>
        <w:rPr>
          <w:sz w:val="20"/>
          <w:szCs w:val="20"/>
          <w:color w:val="auto"/>
        </w:rPr>
      </w:pPr>
      <w:r>
        <w:rPr>
          <w:rFonts w:ascii="Arial" w:cs="Arial" w:eastAsia="Arial" w:hAnsi="Arial"/>
          <w:sz w:val="16"/>
          <w:szCs w:val="16"/>
          <w:color w:val="auto"/>
        </w:rPr>
        <w:t>$40.7 million for the nine months ended September 30, 2020, reflecting Adjusted EBITDA Margins of 45% and 49%, for 2020 and 2019, respectively, and 36% and 48% for the nine months ended September 30, 2021 and 2020, respectively. We delivered strong financial performance even as we invested for growth and scalability. See “Summary Historical and Pro Forma Consolidated Financial and Other Data” and “—Key Metrics” below for additional information regarding our non-GAAP numbers and a reconciliation to the corresponding GAAP metric.</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believe that the growth and future success of our business depends on many factors, including the following:</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Acquiring New Customers</w:t>
      </w:r>
    </w:p>
    <w:p>
      <w:pPr>
        <w:spacing w:after="0" w:line="108" w:lineRule="exact"/>
        <w:rPr>
          <w:sz w:val="20"/>
          <w:szCs w:val="20"/>
          <w:color w:val="auto"/>
        </w:rPr>
      </w:pPr>
    </w:p>
    <w:p>
      <w:pPr>
        <w:ind w:left="460" w:right="20" w:firstLine="413"/>
        <w:spacing w:after="0" w:line="291" w:lineRule="auto"/>
        <w:rPr>
          <w:sz w:val="20"/>
          <w:szCs w:val="20"/>
          <w:color w:val="auto"/>
        </w:rPr>
      </w:pPr>
      <w:r>
        <w:rPr>
          <w:rFonts w:ascii="Arial" w:cs="Arial" w:eastAsia="Arial" w:hAnsi="Arial"/>
          <w:sz w:val="15"/>
          <w:szCs w:val="15"/>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September 30, 2021, we had over 2,700 customers.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9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80"/>
          </w:cols>
          <w:pgMar w:left="320" w:top="440" w:right="79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Expanding Relationships with Existing Customers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82"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Our platform currently offers 14 intelligence modules. As of September 30, 2021, 76%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 For the trailing twelve months ended June 30, 2021, our NDR for Enterprise Customers was 125% and our NDR for all customers over $17,500 in ARR was 111%.</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Continuing to Innovate and Expand Our Platform</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Impact of the COVID-19 Pandemic</w:t>
      </w:r>
    </w:p>
    <w:p>
      <w:pPr>
        <w:spacing w:after="0" w:line="112" w:lineRule="exact"/>
        <w:rPr>
          <w:sz w:val="20"/>
          <w:szCs w:val="20"/>
          <w:color w:val="auto"/>
        </w:rPr>
      </w:pPr>
    </w:p>
    <w:p>
      <w:pPr>
        <w:ind w:left="460" w:right="60" w:firstLine="413"/>
        <w:spacing w:after="0" w:line="289" w:lineRule="auto"/>
        <w:rPr>
          <w:sz w:val="20"/>
          <w:szCs w:val="20"/>
          <w:color w:val="auto"/>
        </w:rPr>
      </w:pPr>
      <w:r>
        <w:rPr>
          <w:rFonts w:ascii="Arial" w:cs="Arial" w:eastAsia="Arial" w:hAnsi="Arial"/>
          <w:sz w:val="15"/>
          <w:szCs w:val="15"/>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Key Metrics</w:t>
      </w:r>
    </w:p>
    <w:p>
      <w:pPr>
        <w:spacing w:after="0" w:line="112"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We monitor the following key metrics to help us evaluate our business performance, identify financial trends, formulate business plans and make strategic operational decisions.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108"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We define Adjusted Gross Profit as revenue less cost of revenue (excluding acquisition-related depreciation and amortization) and a small quantity of stock based compensation. Adjusted Gross Profit differs from Gross</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780"/>
          </w:cols>
          <w:pgMar w:left="320" w:top="440" w:right="79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60"/>
        <w:spacing w:after="0" w:line="284" w:lineRule="auto"/>
        <w:rPr>
          <w:sz w:val="20"/>
          <w:szCs w:val="20"/>
          <w:color w:val="auto"/>
        </w:rPr>
      </w:pPr>
      <w:r>
        <w:rPr>
          <w:rFonts w:ascii="Arial" w:cs="Arial" w:eastAsia="Arial" w:hAnsi="Arial"/>
          <w:sz w:val="16"/>
          <w:szCs w:val="16"/>
          <w:color w:val="auto"/>
        </w:rPr>
        <w:t>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a reconciliation of Gross Profit to Adjusted Gross Profit and Adjusted Gross Margin for the periods presented:</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1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gridSpan w:val="6"/>
            <w:vMerge w:val="restart"/>
          </w:tcPr>
          <w:p>
            <w:pPr>
              <w:jc w:val="center"/>
              <w:ind w:right="600"/>
              <w:spacing w:after="0"/>
              <w:rPr>
                <w:sz w:val="20"/>
                <w:szCs w:val="20"/>
                <w:color w:val="auto"/>
              </w:rPr>
            </w:pPr>
            <w:r>
              <w:rPr>
                <w:rFonts w:ascii="Arial" w:cs="Arial" w:eastAsia="Arial" w:hAnsi="Arial"/>
                <w:sz w:val="13"/>
                <w:szCs w:val="13"/>
                <w:b w:val="1"/>
                <w:bCs w:val="1"/>
                <w:color w:val="auto"/>
                <w:w w:val="96"/>
              </w:rPr>
              <w:t>Definitive OpCo</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11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right="24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6"/>
          </w:tcPr>
          <w:p>
            <w:pPr>
              <w:jc w:val="center"/>
              <w:ind w:right="580"/>
              <w:spacing w:after="0" w:line="139" w:lineRule="exact"/>
              <w:rPr>
                <w:sz w:val="20"/>
                <w:szCs w:val="20"/>
                <w:color w:val="auto"/>
              </w:rPr>
            </w:pPr>
            <w:r>
              <w:rPr>
                <w:rFonts w:ascii="Arial" w:cs="Arial" w:eastAsia="Arial" w:hAnsi="Arial"/>
                <w:sz w:val="13"/>
                <w:szCs w:val="13"/>
                <w:b w:val="1"/>
                <w:bCs w:val="1"/>
                <w:color w:val="auto"/>
              </w:rPr>
              <w:t>(AIDH TopCo, LLC)</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3"/>
                <w:szCs w:val="13"/>
                <w:b w:val="1"/>
                <w:bCs w:val="1"/>
                <w:color w:val="auto"/>
                <w:w w:val="90"/>
              </w:rPr>
              <w:t>Successor Company</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94"/>
              </w:rPr>
              <w:t>Company</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1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20" w:type="dxa"/>
            <w:vAlign w:val="bottom"/>
            <w:gridSpan w:val="6"/>
            <w:vMerge w:val="restart"/>
          </w:tcPr>
          <w:p>
            <w:pPr>
              <w:jc w:val="right"/>
              <w:ind w:right="78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9"/>
                <w:szCs w:val="9"/>
                <w:color w:val="auto"/>
              </w:rPr>
            </w:pPr>
          </w:p>
        </w:tc>
        <w:tc>
          <w:tcPr>
            <w:tcW w:w="1240" w:type="dxa"/>
            <w:vAlign w:val="bottom"/>
            <w:gridSpan w:val="3"/>
            <w:vMerge w:val="restart"/>
          </w:tcPr>
          <w:p>
            <w:pPr>
              <w:jc w:val="right"/>
              <w:ind w:right="520"/>
              <w:spacing w:after="0"/>
              <w:rPr>
                <w:sz w:val="20"/>
                <w:szCs w:val="20"/>
                <w:color w:val="auto"/>
              </w:rPr>
            </w:pPr>
            <w:r>
              <w:rPr>
                <w:rFonts w:ascii="Arial" w:cs="Arial" w:eastAsia="Arial" w:hAnsi="Arial"/>
                <w:sz w:val="13"/>
                <w:szCs w:val="13"/>
                <w:b w:val="1"/>
                <w:bCs w:val="1"/>
                <w:color w:val="auto"/>
                <w:w w:val="99"/>
              </w:rPr>
              <w:t>Year ended</w:t>
            </w:r>
          </w:p>
        </w:tc>
        <w:tc>
          <w:tcPr>
            <w:tcW w:w="100" w:type="dxa"/>
            <w:vAlign w:val="bottom"/>
          </w:tcPr>
          <w:p>
            <w:pPr>
              <w:spacing w:after="0"/>
              <w:rPr>
                <w:sz w:val="9"/>
                <w:szCs w:val="9"/>
                <w:color w:val="auto"/>
              </w:rPr>
            </w:pPr>
          </w:p>
        </w:tc>
        <w:tc>
          <w:tcPr>
            <w:tcW w:w="800" w:type="dxa"/>
            <w:vAlign w:val="bottom"/>
          </w:tcPr>
          <w:p>
            <w:pPr>
              <w:jc w:val="center"/>
              <w:ind w:right="21"/>
              <w:spacing w:after="0" w:line="112" w:lineRule="exact"/>
              <w:rPr>
                <w:sz w:val="20"/>
                <w:szCs w:val="20"/>
                <w:color w:val="auto"/>
              </w:rPr>
            </w:pPr>
            <w:r>
              <w:rPr>
                <w:rFonts w:ascii="Arial" w:cs="Arial" w:eastAsia="Arial" w:hAnsi="Arial"/>
                <w:sz w:val="12"/>
                <w:szCs w:val="12"/>
                <w:b w:val="1"/>
                <w:bCs w:val="1"/>
                <w:color w:val="auto"/>
              </w:rPr>
              <w:t>Period from</w:t>
            </w:r>
          </w:p>
        </w:tc>
        <w:tc>
          <w:tcPr>
            <w:tcW w:w="56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3"/>
              </w:rPr>
              <w:t>Period from</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60" w:type="dxa"/>
            <w:vAlign w:val="bottom"/>
            <w:tcBorders>
              <w:right w:val="single" w:sz="8" w:color="auto"/>
            </w:tcBorders>
            <w:gridSpan w:val="3"/>
          </w:tcPr>
          <w:p>
            <w:pPr>
              <w:jc w:val="center"/>
              <w:ind w:right="56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2"/>
                <w:szCs w:val="12"/>
                <w:color w:val="auto"/>
              </w:rPr>
            </w:pPr>
          </w:p>
        </w:tc>
        <w:tc>
          <w:tcPr>
            <w:tcW w:w="12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460" w:type="dxa"/>
            <w:vAlign w:val="bottom"/>
            <w:tcBorders>
              <w:right w:val="single" w:sz="8" w:color="auto"/>
            </w:tcBorders>
            <w:gridSpan w:val="3"/>
          </w:tcPr>
          <w:p>
            <w:pPr>
              <w:jc w:val="center"/>
              <w:ind w:right="56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5"/>
              </w:rPr>
              <w:t>January 1, 2019 to</w:t>
            </w:r>
          </w:p>
        </w:tc>
        <w:tc>
          <w:tcPr>
            <w:tcW w:w="0" w:type="dxa"/>
            <w:vAlign w:val="bottom"/>
          </w:tcPr>
          <w:p>
            <w:pPr>
              <w:spacing w:after="0"/>
              <w:rPr>
                <w:sz w:val="1"/>
                <w:szCs w:val="1"/>
                <w:color w:val="auto"/>
              </w:rPr>
            </w:pPr>
          </w:p>
        </w:tc>
      </w:tr>
      <w:tr>
        <w:trPr>
          <w:trHeight w:val="160"/>
        </w:trPr>
        <w:tc>
          <w:tcPr>
            <w:tcW w:w="3120" w:type="dxa"/>
            <w:vAlign w:val="bottom"/>
            <w:gridSpan w:val="2"/>
          </w:tcPr>
          <w:p>
            <w:pPr>
              <w:spacing w:after="0"/>
              <w:rPr>
                <w:sz w:val="20"/>
                <w:szCs w:val="20"/>
                <w:color w:val="auto"/>
              </w:rPr>
            </w:pPr>
            <w:r>
              <w:rPr>
                <w:rFonts w:ascii="Arial" w:cs="Arial" w:eastAsia="Arial" w:hAnsi="Arial"/>
                <w:sz w:val="13"/>
                <w:szCs w:val="13"/>
                <w:color w:val="auto"/>
              </w:rPr>
              <w:t>(in thousands)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2019</w:t>
            </w:r>
          </w:p>
        </w:tc>
        <w:tc>
          <w:tcPr>
            <w:tcW w:w="5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95"/>
        </w:trPr>
        <w:tc>
          <w:tcPr>
            <w:tcW w:w="3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Reported gross profit</w:t>
            </w: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90,050</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62,505</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87,849</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26,763</w:t>
            </w:r>
          </w:p>
        </w:tc>
        <w:tc>
          <w:tcPr>
            <w:tcW w:w="56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40,130</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line="190" w:lineRule="exact"/>
              <w:rPr>
                <w:sz w:val="20"/>
                <w:szCs w:val="20"/>
                <w:color w:val="auto"/>
              </w:rPr>
            </w:pPr>
            <w:r>
              <w:rPr>
                <w:rFonts w:ascii="Arial" w:cs="Arial" w:eastAsia="Arial" w:hAnsi="Arial"/>
                <w:sz w:val="17"/>
                <w:szCs w:val="17"/>
                <w:color w:val="auto"/>
                <w:w w:val="98"/>
              </w:rPr>
              <w:t>Amortization of intangible assets resulting</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20" w:type="dxa"/>
            <w:vAlign w:val="bottom"/>
            <w:gridSpan w:val="2"/>
          </w:tcPr>
          <w:p>
            <w:pPr>
              <w:ind w:left="160"/>
              <w:spacing w:after="0"/>
              <w:rPr>
                <w:sz w:val="20"/>
                <w:szCs w:val="20"/>
                <w:color w:val="auto"/>
              </w:rPr>
            </w:pPr>
            <w:r>
              <w:rPr>
                <w:rFonts w:ascii="Arial" w:cs="Arial" w:eastAsia="Arial" w:hAnsi="Arial"/>
                <w:sz w:val="17"/>
                <w:szCs w:val="17"/>
                <w:color w:val="auto"/>
              </w:rPr>
              <w:t>from acquisition-related purchase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ind w:left="160"/>
              <w:spacing w:after="0"/>
              <w:rPr>
                <w:sz w:val="20"/>
                <w:szCs w:val="20"/>
                <w:color w:val="auto"/>
              </w:rPr>
            </w:pPr>
            <w:r>
              <w:rPr>
                <w:rFonts w:ascii="Arial" w:cs="Arial" w:eastAsia="Arial" w:hAnsi="Arial"/>
                <w:sz w:val="17"/>
                <w:szCs w:val="17"/>
                <w:color w:val="auto"/>
              </w:rPr>
              <w:t>accounting adjustments</w:t>
            </w:r>
            <w:r>
              <w:rPr>
                <w:rFonts w:ascii="Arial" w:cs="Arial" w:eastAsia="Arial" w:hAnsi="Arial"/>
                <w:sz w:val="14"/>
                <w:szCs w:val="14"/>
                <w:color w:val="auto"/>
              </w:rPr>
              <w:t>(a)</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15,125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14,175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19,169</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8,602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compensation costs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Adjusted Gross Profit</w:t>
            </w: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gridSpan w:val="2"/>
            <w:vMerge w:val="continue"/>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105,254</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76,726</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107,080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35,393</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119,841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84,659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118,317</w:t>
            </w:r>
          </w:p>
        </w:tc>
        <w:tc>
          <w:tcPr>
            <w:tcW w:w="100" w:type="dxa"/>
            <w:vAlign w:val="bottom"/>
            <w:shd w:val="clear" w:color="auto" w:fill="CCEEFF"/>
          </w:tcPr>
          <w:p>
            <w:pPr>
              <w:spacing w:after="0"/>
              <w:rPr>
                <w:sz w:val="17"/>
                <w:szCs w:val="17"/>
                <w:color w:val="auto"/>
              </w:rPr>
            </w:pPr>
          </w:p>
        </w:tc>
        <w:tc>
          <w:tcPr>
            <w:tcW w:w="13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40,045</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Adjusted Gross Margin</w:t>
            </w: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7"/>
                <w:szCs w:val="17"/>
                <w:color w:val="auto"/>
              </w:rPr>
              <w:t>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40" w:type="dxa"/>
            <w:vAlign w:val="bottom"/>
            <w:tcBorders>
              <w:bottom w:val="single" w:sz="8" w:color="auto"/>
            </w:tcBorders>
          </w:tcPr>
          <w:p>
            <w:pPr>
              <w:spacing w:after="0"/>
              <w:rPr>
                <w:sz w:val="10"/>
                <w:szCs w:val="10"/>
                <w:color w:val="auto"/>
              </w:rPr>
            </w:pPr>
          </w:p>
        </w:tc>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5718175</wp:posOffset>
            </wp:positionH>
            <wp:positionV relativeFrom="paragraph">
              <wp:posOffset>-264795</wp:posOffset>
            </wp:positionV>
            <wp:extent cx="241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6" w:lineRule="exact"/>
        <w:rPr>
          <w:sz w:val="20"/>
          <w:szCs w:val="20"/>
          <w:color w:val="auto"/>
        </w:rPr>
      </w:pPr>
    </w:p>
    <w:p>
      <w:pPr>
        <w:ind w:left="960" w:right="420" w:hanging="503"/>
        <w:spacing w:after="0" w:line="272" w:lineRule="auto"/>
        <w:tabs>
          <w:tab w:leader="none" w:pos="9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800"/>
          </w:cols>
          <w:pgMar w:left="320" w:top="440" w:right="7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840" w:firstLine="413"/>
        <w:spacing w:after="0" w:line="272"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The following table presents a reconciliation of gross margin to Adjusted Gross Margin for the periods presented:</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gridSpan w:val="3"/>
            <w:vMerge w:val="restart"/>
          </w:tcPr>
          <w:p>
            <w:pPr>
              <w:jc w:val="center"/>
              <w:ind w:left="79"/>
              <w:spacing w:after="0"/>
              <w:rPr>
                <w:sz w:val="20"/>
                <w:szCs w:val="20"/>
                <w:color w:val="auto"/>
              </w:rPr>
            </w:pPr>
            <w:r>
              <w:rPr>
                <w:rFonts w:ascii="Arial" w:cs="Arial" w:eastAsia="Arial" w:hAnsi="Arial"/>
                <w:sz w:val="13"/>
                <w:szCs w:val="13"/>
                <w:b w:val="1"/>
                <w:bCs w:val="1"/>
                <w:color w:val="auto"/>
                <w:w w:val="96"/>
              </w:rPr>
              <w:t>Definitive OpCo</w:t>
            </w: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3"/>
          </w:tcPr>
          <w:p>
            <w:pPr>
              <w:jc w:val="center"/>
              <w:ind w:left="59"/>
              <w:spacing w:after="0" w:line="139" w:lineRule="exact"/>
              <w:rPr>
                <w:sz w:val="20"/>
                <w:szCs w:val="20"/>
                <w:color w:val="auto"/>
              </w:rPr>
            </w:pPr>
            <w:r>
              <w:rPr>
                <w:rFonts w:ascii="Arial" w:cs="Arial" w:eastAsia="Arial" w:hAnsi="Arial"/>
                <w:sz w:val="13"/>
                <w:szCs w:val="13"/>
                <w:b w:val="1"/>
                <w:bCs w:val="1"/>
                <w:color w:val="auto"/>
              </w:rPr>
              <w:t>(AIDH TopCo, LLC)</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3"/>
          </w:tcPr>
          <w:p>
            <w:pPr>
              <w:jc w:val="center"/>
              <w:ind w:left="59"/>
              <w:spacing w:after="0"/>
              <w:rPr>
                <w:sz w:val="20"/>
                <w:szCs w:val="20"/>
                <w:color w:val="auto"/>
              </w:rPr>
            </w:pPr>
            <w:r>
              <w:rPr>
                <w:rFonts w:ascii="Arial" w:cs="Arial" w:eastAsia="Arial" w:hAnsi="Arial"/>
                <w:sz w:val="13"/>
                <w:szCs w:val="13"/>
                <w:b w:val="1"/>
                <w:bCs w:val="1"/>
                <w:color w:val="auto"/>
                <w:w w:val="90"/>
              </w:rPr>
              <w:t>Successor Company</w:t>
            </w: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800" w:type="dxa"/>
            <w:vAlign w:val="bottom"/>
            <w:tcBorders>
              <w:top w:val="single" w:sz="8" w:color="auto"/>
            </w:tcBorders>
            <w:gridSpan w:val="4"/>
            <w:vMerge w:val="restart"/>
          </w:tcPr>
          <w:p>
            <w:pPr>
              <w:ind w:left="480"/>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Year ended</w:t>
            </w: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18"/>
              <w:spacing w:after="0" w:line="112" w:lineRule="exact"/>
              <w:rPr>
                <w:sz w:val="20"/>
                <w:szCs w:val="20"/>
                <w:color w:val="auto"/>
              </w:rPr>
            </w:pPr>
            <w:r>
              <w:rPr>
                <w:rFonts w:ascii="Arial" w:cs="Arial" w:eastAsia="Arial" w:hAnsi="Arial"/>
                <w:sz w:val="12"/>
                <w:szCs w:val="12"/>
                <w:b w:val="1"/>
                <w:bCs w:val="1"/>
                <w:color w:val="auto"/>
              </w:rPr>
              <w:t>Period from</w:t>
            </w:r>
          </w:p>
        </w:tc>
        <w:tc>
          <w:tcPr>
            <w:tcW w:w="62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right w:val="single" w:sz="8" w:color="auto"/>
            </w:tcBorders>
            <w:gridSpan w:val="2"/>
          </w:tcPr>
          <w:p>
            <w:pPr>
              <w:jc w:val="right"/>
              <w:ind w:right="720"/>
              <w:spacing w:after="0" w:line="139" w:lineRule="exact"/>
              <w:rPr>
                <w:sz w:val="20"/>
                <w:szCs w:val="20"/>
                <w:color w:val="auto"/>
              </w:rPr>
            </w:pPr>
            <w:r>
              <w:rPr>
                <w:rFonts w:ascii="Arial" w:cs="Arial" w:eastAsia="Arial" w:hAnsi="Arial"/>
                <w:sz w:val="13"/>
                <w:szCs w:val="13"/>
                <w:b w:val="1"/>
                <w:bCs w:val="1"/>
                <w:color w:val="auto"/>
                <w:w w:val="91"/>
              </w:rPr>
              <w:t>July 16, 2019 to</w:t>
            </w:r>
          </w:p>
        </w:tc>
        <w:tc>
          <w:tcPr>
            <w:tcW w:w="320" w:type="dxa"/>
            <w:vAlign w:val="bottom"/>
          </w:tcPr>
          <w:p>
            <w:pPr>
              <w:spacing w:after="0"/>
              <w:rPr>
                <w:sz w:val="12"/>
                <w:szCs w:val="12"/>
                <w:color w:val="auto"/>
              </w:rPr>
            </w:pPr>
          </w:p>
        </w:tc>
        <w:tc>
          <w:tcPr>
            <w:tcW w:w="142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1780" w:type="dxa"/>
            <w:vAlign w:val="bottom"/>
            <w:gridSpan w:val="2"/>
          </w:tcPr>
          <w:p>
            <w:pPr>
              <w:spacing w:after="0"/>
              <w:rPr>
                <w:sz w:val="20"/>
                <w:szCs w:val="20"/>
                <w:color w:val="auto"/>
              </w:rPr>
            </w:pPr>
            <w:r>
              <w:rPr>
                <w:rFonts w:ascii="Arial" w:cs="Arial" w:eastAsia="Arial" w:hAnsi="Arial"/>
                <w:sz w:val="13"/>
                <w:szCs w:val="13"/>
                <w:color w:val="auto"/>
              </w:rPr>
              <w:t>(in thousands)</w:t>
            </w:r>
          </w:p>
        </w:tc>
        <w:tc>
          <w:tcPr>
            <w:tcW w:w="22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Arial" w:cs="Arial" w:eastAsia="Arial" w:hAnsi="Arial"/>
                <w:sz w:val="13"/>
                <w:szCs w:val="13"/>
                <w:b w:val="1"/>
                <w:bCs w:val="1"/>
                <w:color w:val="auto"/>
              </w:rPr>
              <w:t>September 30, 2021</w:t>
            </w:r>
          </w:p>
        </w:tc>
        <w:tc>
          <w:tcPr>
            <w:tcW w:w="20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September 30, 2020</w:t>
            </w:r>
          </w:p>
        </w:tc>
        <w:tc>
          <w:tcPr>
            <w:tcW w:w="1420" w:type="dxa"/>
            <w:vAlign w:val="bottom"/>
            <w:gridSpan w:val="3"/>
          </w:tcPr>
          <w:p>
            <w:pPr>
              <w:spacing w:after="0"/>
              <w:rPr>
                <w:sz w:val="20"/>
                <w:szCs w:val="20"/>
                <w:color w:val="auto"/>
              </w:rPr>
            </w:pPr>
            <w:r>
              <w:rPr>
                <w:rFonts w:ascii="Arial" w:cs="Arial" w:eastAsia="Arial" w:hAnsi="Arial"/>
                <w:sz w:val="13"/>
                <w:szCs w:val="13"/>
                <w:b w:val="1"/>
                <w:bCs w:val="1"/>
                <w:color w:val="auto"/>
              </w:rPr>
              <w:t>December 31, 2020</w:t>
            </w:r>
          </w:p>
        </w:tc>
        <w:tc>
          <w:tcPr>
            <w:tcW w:w="180" w:type="dxa"/>
            <w:vAlign w:val="bottom"/>
          </w:tcPr>
          <w:p>
            <w:pPr>
              <w:spacing w:after="0"/>
              <w:rPr>
                <w:sz w:val="13"/>
                <w:szCs w:val="13"/>
                <w:color w:val="auto"/>
              </w:rPr>
            </w:pPr>
          </w:p>
        </w:tc>
        <w:tc>
          <w:tcPr>
            <w:tcW w:w="172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2019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119,841</w:t>
            </w: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84,659</w:t>
            </w:r>
          </w:p>
        </w:tc>
        <w:tc>
          <w:tcPr>
            <w:tcW w:w="5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620" w:type="dxa"/>
            <w:vAlign w:val="bottom"/>
            <w:tcBorders>
              <w:top w:val="single" w:sz="8" w:color="CCEEFF"/>
              <w:right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29,791</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22,154</w:t>
            </w:r>
          </w:p>
        </w:tc>
        <w:tc>
          <w:tcPr>
            <w:tcW w:w="4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7"/>
                <w:szCs w:val="17"/>
                <w:color w:val="auto"/>
              </w:rPr>
              <w:t>13,282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90,050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62,505</w:t>
            </w: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26,763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b w:val="1"/>
                <w:bCs w:val="1"/>
                <w:color w:val="auto"/>
              </w:rPr>
              <w:t>Gross margin</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color w:val="auto"/>
              </w:rPr>
              <w:t>74%</w:t>
            </w:r>
          </w:p>
        </w:tc>
        <w:tc>
          <w:tcPr>
            <w:tcW w:w="4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7"/>
                <w:szCs w:val="17"/>
                <w:color w:val="auto"/>
              </w:rPr>
              <w:t>67%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119,841</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84,659</w:t>
            </w: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40,045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29,791</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22,154</w:t>
            </w:r>
          </w:p>
        </w:tc>
        <w:tc>
          <w:tcPr>
            <w:tcW w:w="4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7"/>
                <w:szCs w:val="17"/>
                <w:color w:val="auto"/>
              </w:rPr>
              <w:t>13,282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90,050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62,505</w:t>
            </w: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26,763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60" w:type="dxa"/>
            <w:vAlign w:val="bottom"/>
          </w:tcPr>
          <w:p>
            <w:pPr>
              <w:spacing w:after="0" w:line="190" w:lineRule="exact"/>
              <w:rPr>
                <w:sz w:val="20"/>
                <w:szCs w:val="20"/>
                <w:color w:val="auto"/>
              </w:rPr>
            </w:pPr>
            <w:r>
              <w:rPr>
                <w:rFonts w:ascii="Arial" w:cs="Arial" w:eastAsia="Arial" w:hAnsi="Arial"/>
                <w:sz w:val="17"/>
                <w:szCs w:val="17"/>
                <w:color w:val="auto"/>
              </w:rPr>
              <w:t>Amortization of</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intangible assets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resulting from</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acquisition-related</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purchase accounting</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adjustments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15,125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14,175</w:t>
            </w:r>
          </w:p>
        </w:tc>
        <w:tc>
          <w:tcPr>
            <w:tcW w:w="4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19,169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7"/>
                <w:szCs w:val="17"/>
                <w:color w:val="auto"/>
              </w:rPr>
              <w:t>8,602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Equity compensation</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46</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b w:val="1"/>
                <w:bCs w:val="1"/>
                <w:color w:val="auto"/>
                <w:w w:val="99"/>
              </w:rPr>
              <w:t>Adjusted Gross Profit</w:t>
            </w:r>
          </w:p>
        </w:tc>
        <w:tc>
          <w:tcPr>
            <w:tcW w:w="5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105,254</w:t>
            </w:r>
          </w:p>
        </w:tc>
        <w:tc>
          <w:tcPr>
            <w:tcW w:w="6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76,726</w:t>
            </w:r>
          </w:p>
        </w:tc>
        <w:tc>
          <w:tcPr>
            <w:tcW w:w="4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107,080</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16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7"/>
                <w:szCs w:val="17"/>
                <w:color w:val="auto"/>
              </w:rPr>
              <w:t>35,393</w:t>
            </w:r>
          </w:p>
        </w:tc>
        <w:tc>
          <w:tcPr>
            <w:tcW w:w="3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119,841</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84,659</w:t>
            </w: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40,045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60" w:type="dxa"/>
            <w:vAlign w:val="bottom"/>
          </w:tcPr>
          <w:p>
            <w:pPr>
              <w:spacing w:after="0" w:line="186" w:lineRule="exact"/>
              <w:rPr>
                <w:sz w:val="20"/>
                <w:szCs w:val="20"/>
                <w:color w:val="auto"/>
              </w:rPr>
            </w:pPr>
            <w:r>
              <w:rPr>
                <w:rFonts w:ascii="Arial" w:cs="Arial" w:eastAsia="Arial" w:hAnsi="Arial"/>
                <w:sz w:val="17"/>
                <w:szCs w:val="17"/>
                <w:b w:val="1"/>
                <w:bCs w:val="1"/>
                <w:color w:val="auto"/>
              </w:rPr>
              <w:t>Adjusted Gross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60" w:type="dxa"/>
            <w:vAlign w:val="bottom"/>
          </w:tcPr>
          <w:p>
            <w:pPr>
              <w:ind w:left="140"/>
              <w:spacing w:after="0"/>
              <w:rPr>
                <w:sz w:val="20"/>
                <w:szCs w:val="20"/>
                <w:color w:val="auto"/>
              </w:rPr>
            </w:pPr>
            <w:r>
              <w:rPr>
                <w:rFonts w:ascii="Arial" w:cs="Arial" w:eastAsia="Arial" w:hAnsi="Arial"/>
                <w:sz w:val="17"/>
                <w:szCs w:val="17"/>
                <w:b w:val="1"/>
                <w:bCs w:val="1"/>
                <w:color w:val="auto"/>
              </w:rPr>
              <w:t>Margin</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color w:val="auto"/>
              </w:rPr>
              <w:t>91%</w:t>
            </w:r>
          </w:p>
        </w:tc>
        <w:tc>
          <w:tcPr>
            <w:tcW w:w="4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7"/>
                <w:szCs w:val="17"/>
                <w:color w:val="auto"/>
              </w:rPr>
              <w:t>88%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08" w:lineRule="exact"/>
        <w:rPr>
          <w:sz w:val="20"/>
          <w:szCs w:val="20"/>
          <w:color w:val="auto"/>
        </w:rPr>
      </w:pPr>
    </w:p>
    <w:p>
      <w:pPr>
        <w:ind w:left="460" w:right="120" w:firstLine="413"/>
        <w:spacing w:after="0" w:line="287" w:lineRule="auto"/>
        <w:rPr>
          <w:sz w:val="20"/>
          <w:szCs w:val="20"/>
          <w:color w:val="auto"/>
        </w:rPr>
      </w:pPr>
      <w:r>
        <w:rPr>
          <w:rFonts w:ascii="Arial" w:cs="Arial" w:eastAsia="Arial" w:hAnsi="Arial"/>
          <w:sz w:val="15"/>
          <w:szCs w:val="15"/>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1" w:lineRule="exact"/>
        <w:rPr>
          <w:sz w:val="20"/>
          <w:szCs w:val="20"/>
          <w:color w:val="auto"/>
        </w:rPr>
      </w:pPr>
    </w:p>
    <w:p>
      <w:pPr>
        <w:ind w:left="460" w:right="440" w:hanging="3"/>
        <w:spacing w:after="0" w:line="323" w:lineRule="auto"/>
        <w:tabs>
          <w:tab w:leader="none" w:pos="746" w:val="left"/>
        </w:tabs>
        <w:numPr>
          <w:ilvl w:val="0"/>
          <w:numId w:val="63"/>
        </w:numPr>
        <w:rPr>
          <w:rFonts w:ascii="Arial" w:cs="Arial" w:eastAsia="Arial" w:hAnsi="Arial"/>
          <w:sz w:val="15"/>
          <w:szCs w:val="15"/>
          <w:color w:val="auto"/>
        </w:rPr>
      </w:pPr>
      <w:r>
        <w:rPr>
          <w:rFonts w:ascii="Arial" w:cs="Arial" w:eastAsia="Arial" w:hAnsi="Arial"/>
          <w:sz w:val="15"/>
          <w:szCs w:val="15"/>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6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800"/>
          </w:cols>
          <w:pgMar w:left="320" w:top="440" w:right="7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presents a reconciliation of Net (Loss) Income to Adjusted EBITDA for the periods presented:</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Adjusted EBITDA</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gridSpan w:val="3"/>
            <w:vMerge w:val="restart"/>
          </w:tcPr>
          <w:p>
            <w:pPr>
              <w:jc w:val="center"/>
              <w:ind w:left="59"/>
              <w:spacing w:after="0"/>
              <w:rPr>
                <w:sz w:val="20"/>
                <w:szCs w:val="20"/>
                <w:color w:val="auto"/>
              </w:rPr>
            </w:pPr>
            <w:r>
              <w:rPr>
                <w:rFonts w:ascii="Arial" w:cs="Arial" w:eastAsia="Arial" w:hAnsi="Arial"/>
                <w:sz w:val="13"/>
                <w:szCs w:val="13"/>
                <w:b w:val="1"/>
                <w:bCs w:val="1"/>
                <w:color w:val="auto"/>
                <w:w w:val="96"/>
              </w:rPr>
              <w:t>Definitive OpCo</w:t>
            </w: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center"/>
              <w:ind w:right="18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3"/>
          </w:tcPr>
          <w:p>
            <w:pPr>
              <w:jc w:val="center"/>
              <w:ind w:left="59"/>
              <w:spacing w:after="0" w:line="139" w:lineRule="exact"/>
              <w:rPr>
                <w:sz w:val="20"/>
                <w:szCs w:val="20"/>
                <w:color w:val="auto"/>
              </w:rPr>
            </w:pPr>
            <w:r>
              <w:rPr>
                <w:rFonts w:ascii="Arial" w:cs="Arial" w:eastAsia="Arial" w:hAnsi="Arial"/>
                <w:sz w:val="13"/>
                <w:szCs w:val="13"/>
                <w:b w:val="1"/>
                <w:bCs w:val="1"/>
                <w:color w:val="auto"/>
              </w:rPr>
              <w:t>(AIDH TopCo, LLC)</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gridSpan w:val="3"/>
          </w:tcPr>
          <w:p>
            <w:pPr>
              <w:jc w:val="center"/>
              <w:ind w:left="79"/>
              <w:spacing w:after="0"/>
              <w:rPr>
                <w:sz w:val="20"/>
                <w:szCs w:val="20"/>
                <w:color w:val="auto"/>
              </w:rPr>
            </w:pPr>
            <w:r>
              <w:rPr>
                <w:rFonts w:ascii="Arial" w:cs="Arial" w:eastAsia="Arial" w:hAnsi="Arial"/>
                <w:sz w:val="13"/>
                <w:szCs w:val="13"/>
                <w:b w:val="1"/>
                <w:bCs w:val="1"/>
                <w:color w:val="auto"/>
                <w:w w:val="90"/>
              </w:rPr>
              <w:t>Successor Company</w:t>
            </w: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740" w:type="dxa"/>
            <w:vAlign w:val="bottom"/>
            <w:tcBorders>
              <w:top w:val="single" w:sz="8" w:color="auto"/>
            </w:tcBorders>
            <w:gridSpan w:val="3"/>
            <w:vMerge w:val="restart"/>
          </w:tcPr>
          <w:p>
            <w:pPr>
              <w:ind w:left="460"/>
              <w:spacing w:after="0"/>
              <w:rPr>
                <w:sz w:val="20"/>
                <w:szCs w:val="20"/>
                <w:color w:val="auto"/>
              </w:rPr>
            </w:pPr>
            <w:r>
              <w:rPr>
                <w:rFonts w:ascii="Arial" w:cs="Arial" w:eastAsia="Arial" w:hAnsi="Arial"/>
                <w:sz w:val="13"/>
                <w:szCs w:val="13"/>
                <w:b w:val="1"/>
                <w:bCs w:val="1"/>
                <w:color w:val="auto"/>
              </w:rPr>
              <w:t>Nine Months Ended</w:t>
            </w:r>
          </w:p>
        </w:tc>
        <w:tc>
          <w:tcPr>
            <w:tcW w:w="6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18"/>
              <w:spacing w:after="0" w:line="112"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right w:val="single" w:sz="8" w:color="auto"/>
            </w:tcBorders>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260" w:type="dxa"/>
            <w:vAlign w:val="bottom"/>
          </w:tcPr>
          <w:p>
            <w:pPr>
              <w:spacing w:after="0"/>
              <w:rPr>
                <w:sz w:val="12"/>
                <w:szCs w:val="12"/>
                <w:color w:val="auto"/>
              </w:rPr>
            </w:pPr>
          </w:p>
        </w:tc>
        <w:tc>
          <w:tcPr>
            <w:tcW w:w="142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2220" w:type="dxa"/>
            <w:vAlign w:val="bottom"/>
            <w:gridSpan w:val="3"/>
          </w:tcPr>
          <w:p>
            <w:pPr>
              <w:spacing w:after="0"/>
              <w:rPr>
                <w:sz w:val="20"/>
                <w:szCs w:val="20"/>
                <w:color w:val="auto"/>
              </w:rPr>
            </w:pPr>
            <w:r>
              <w:rPr>
                <w:rFonts w:ascii="Arial" w:cs="Arial" w:eastAsia="Arial" w:hAnsi="Arial"/>
                <w:sz w:val="13"/>
                <w:szCs w:val="13"/>
                <w:color w:val="auto"/>
              </w:rPr>
              <w:t>(in thousands)</w:t>
            </w:r>
          </w:p>
        </w:tc>
        <w:tc>
          <w:tcPr>
            <w:tcW w:w="1580" w:type="dxa"/>
            <w:vAlign w:val="bottom"/>
            <w:gridSpan w:val="3"/>
          </w:tcPr>
          <w:p>
            <w:pPr>
              <w:spacing w:after="0"/>
              <w:rPr>
                <w:sz w:val="20"/>
                <w:szCs w:val="20"/>
                <w:color w:val="auto"/>
              </w:rPr>
            </w:pPr>
            <w:r>
              <w:rPr>
                <w:rFonts w:ascii="Arial" w:cs="Arial" w:eastAsia="Arial" w:hAnsi="Arial"/>
                <w:sz w:val="13"/>
                <w:szCs w:val="13"/>
                <w:b w:val="1"/>
                <w:bCs w:val="1"/>
                <w:color w:val="auto"/>
              </w:rPr>
              <w:t>September 30, 2021</w:t>
            </w:r>
          </w:p>
        </w:tc>
        <w:tc>
          <w:tcPr>
            <w:tcW w:w="1620" w:type="dxa"/>
            <w:vAlign w:val="bottom"/>
            <w:gridSpan w:val="3"/>
          </w:tcPr>
          <w:p>
            <w:pPr>
              <w:spacing w:after="0"/>
              <w:rPr>
                <w:sz w:val="20"/>
                <w:szCs w:val="20"/>
                <w:color w:val="auto"/>
              </w:rPr>
            </w:pPr>
            <w:r>
              <w:rPr>
                <w:rFonts w:ascii="Arial" w:cs="Arial" w:eastAsia="Arial" w:hAnsi="Arial"/>
                <w:sz w:val="13"/>
                <w:szCs w:val="13"/>
                <w:b w:val="1"/>
                <w:bCs w:val="1"/>
                <w:color w:val="auto"/>
              </w:rPr>
              <w:t>September 30, 2020</w:t>
            </w:r>
          </w:p>
        </w:tc>
        <w:tc>
          <w:tcPr>
            <w:tcW w:w="1560" w:type="dxa"/>
            <w:vAlign w:val="bottom"/>
            <w:gridSpan w:val="3"/>
          </w:tcPr>
          <w:p>
            <w:pPr>
              <w:spacing w:after="0"/>
              <w:rPr>
                <w:sz w:val="20"/>
                <w:szCs w:val="20"/>
                <w:color w:val="auto"/>
              </w:rPr>
            </w:pPr>
            <w:r>
              <w:rPr>
                <w:rFonts w:ascii="Arial" w:cs="Arial" w:eastAsia="Arial" w:hAnsi="Arial"/>
                <w:sz w:val="13"/>
                <w:szCs w:val="13"/>
                <w:b w:val="1"/>
                <w:bCs w:val="1"/>
                <w:color w:val="auto"/>
              </w:rPr>
              <w:t>December 31, 2020</w:t>
            </w:r>
          </w:p>
        </w:tc>
        <w:tc>
          <w:tcPr>
            <w:tcW w:w="168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3"/>
                <w:szCs w:val="13"/>
                <w:b w:val="1"/>
                <w:bCs w:val="1"/>
                <w:color w:val="auto"/>
                <w:w w:val="93"/>
              </w:rPr>
              <w:t>December 31, 2019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(46,493)</w:t>
            </w:r>
          </w:p>
        </w:tc>
        <w:tc>
          <w:tcPr>
            <w:tcW w:w="4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(35,295)</w:t>
            </w:r>
          </w:p>
        </w:tc>
        <w:tc>
          <w:tcPr>
            <w:tcW w:w="4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58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7"/>
                <w:szCs w:val="17"/>
                <w:color w:val="auto"/>
              </w:rPr>
              <w:t>23,956</w:t>
            </w:r>
          </w:p>
        </w:tc>
        <w:tc>
          <w:tcPr>
            <w:tcW w:w="4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27,802</w:t>
            </w:r>
          </w:p>
        </w:tc>
        <w:tc>
          <w:tcPr>
            <w:tcW w:w="4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36,490</w:t>
            </w:r>
          </w:p>
        </w:tc>
        <w:tc>
          <w:tcPr>
            <w:tcW w:w="10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18,204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Loss from extinguishment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of debt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9,873</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Depreciation</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1,193</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817</w:t>
            </w:r>
          </w:p>
        </w:tc>
        <w:tc>
          <w:tcPr>
            <w:tcW w:w="4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1,152</w:t>
            </w:r>
          </w:p>
        </w:tc>
        <w:tc>
          <w:tcPr>
            <w:tcW w:w="10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456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Amortization of intangible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43,517</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43,498</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58,428</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30,617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0"/>
        </w:trPr>
        <w:tc>
          <w:tcPr>
            <w:tcW w:w="22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EBITDA</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2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7"/>
                <w:szCs w:val="17"/>
                <w:color w:val="auto"/>
              </w:rPr>
              <w:t>32,046</w:t>
            </w:r>
          </w:p>
        </w:tc>
        <w:tc>
          <w:tcPr>
            <w:tcW w:w="4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36,822</w:t>
            </w:r>
          </w:p>
        </w:tc>
        <w:tc>
          <w:tcPr>
            <w:tcW w:w="4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44,913</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15,498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Other (income) expense,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w:t>
            </w:r>
            <w:r>
              <w:rPr>
                <w:rFonts w:ascii="Arial" w:cs="Arial" w:eastAsia="Arial" w:hAnsi="Arial"/>
                <w:sz w:val="14"/>
                <w:szCs w:val="14"/>
                <w:color w:val="auto"/>
              </w:rPr>
              <w:t>(a)</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(143)</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gridSpan w:val="2"/>
          </w:tcPr>
          <w:p>
            <w:pPr>
              <w:spacing w:after="0" w:line="189" w:lineRule="exact"/>
              <w:rPr>
                <w:sz w:val="20"/>
                <w:szCs w:val="20"/>
                <w:color w:val="auto"/>
              </w:rPr>
            </w:pPr>
            <w:r>
              <w:rPr>
                <w:rFonts w:ascii="Arial" w:cs="Arial" w:eastAsia="Arial" w:hAnsi="Arial"/>
                <w:sz w:val="17"/>
                <w:szCs w:val="17"/>
                <w:color w:val="auto"/>
              </w:rPr>
              <w:t>Equity compensation</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tcPr>
          <w:p>
            <w:pPr>
              <w:ind w:left="140"/>
              <w:spacing w:after="0"/>
              <w:rPr>
                <w:sz w:val="20"/>
                <w:szCs w:val="20"/>
                <w:color w:val="auto"/>
              </w:rPr>
            </w:pPr>
            <w:r>
              <w:rPr>
                <w:rFonts w:ascii="Arial" w:cs="Arial" w:eastAsia="Arial" w:hAnsi="Arial"/>
                <w:sz w:val="17"/>
                <w:szCs w:val="17"/>
                <w:color w:val="auto"/>
              </w:rPr>
              <w:t>costs</w:t>
            </w:r>
            <w:r>
              <w:rPr>
                <w:rFonts w:ascii="Arial" w:cs="Arial" w:eastAsia="Arial" w:hAnsi="Arial"/>
                <w:sz w:val="14"/>
                <w:szCs w:val="14"/>
                <w:color w:val="auto"/>
              </w:rPr>
              <w:t>(b)</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4,338</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1,330</w:t>
            </w:r>
          </w:p>
        </w:tc>
        <w:tc>
          <w:tcPr>
            <w:tcW w:w="4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1,747</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744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5,807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Acquisition related</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expenses</w:t>
            </w:r>
            <w:r>
              <w:rPr>
                <w:rFonts w:ascii="Arial" w:cs="Arial" w:eastAsia="Arial" w:hAnsi="Arial"/>
                <w:sz w:val="14"/>
                <w:szCs w:val="14"/>
                <w:color w:val="auto"/>
              </w:rPr>
              <w:t>(c)</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3,332</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748</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3,776</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14,703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gridSpan w:val="2"/>
          </w:tcPr>
          <w:p>
            <w:pPr>
              <w:spacing w:after="0" w:line="189" w:lineRule="exact"/>
              <w:rPr>
                <w:sz w:val="20"/>
                <w:szCs w:val="20"/>
                <w:color w:val="auto"/>
              </w:rPr>
            </w:pPr>
            <w:r>
              <w:rPr>
                <w:rFonts w:ascii="Arial" w:cs="Arial" w:eastAsia="Arial" w:hAnsi="Arial"/>
                <w:sz w:val="17"/>
                <w:szCs w:val="17"/>
                <w:color w:val="auto"/>
              </w:rPr>
              <w:t>Non-recurring and one-time</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tcPr>
          <w:p>
            <w:pPr>
              <w:ind w:left="140"/>
              <w:spacing w:after="0"/>
              <w:rPr>
                <w:sz w:val="20"/>
                <w:szCs w:val="20"/>
                <w:color w:val="auto"/>
              </w:rPr>
            </w:pPr>
            <w:r>
              <w:rPr>
                <w:rFonts w:ascii="Arial" w:cs="Arial" w:eastAsia="Arial" w:hAnsi="Arial"/>
                <w:sz w:val="17"/>
                <w:szCs w:val="17"/>
                <w:color w:val="auto"/>
              </w:rPr>
              <w:t>adjustments</w:t>
            </w:r>
            <w:r>
              <w:rPr>
                <w:rFonts w:ascii="Arial" w:cs="Arial" w:eastAsia="Arial" w:hAnsi="Arial"/>
                <w:sz w:val="14"/>
                <w:szCs w:val="14"/>
                <w:color w:val="auto"/>
              </w:rPr>
              <w:t>(d)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3,313</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1,804</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2,847</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3,193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42,886</w:t>
            </w: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40,704</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53,505</w:t>
            </w:r>
          </w:p>
        </w:tc>
        <w:tc>
          <w:tcPr>
            <w:tcW w:w="10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18,651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32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7"/>
                <w:szCs w:val="17"/>
                <w:color w:val="auto"/>
              </w:rPr>
              <w:t>119,841</w:t>
            </w:r>
          </w:p>
        </w:tc>
        <w:tc>
          <w:tcPr>
            <w:tcW w:w="4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84,659</w:t>
            </w:r>
          </w:p>
        </w:tc>
        <w:tc>
          <w:tcPr>
            <w:tcW w:w="4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118,317</w:t>
            </w:r>
          </w:p>
        </w:tc>
        <w:tc>
          <w:tcPr>
            <w:tcW w:w="10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40,045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Adjusted EBITDA Margin</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36%</w:t>
            </w: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48%</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5726430</wp:posOffset>
            </wp:positionH>
            <wp:positionV relativeFrom="paragraph">
              <wp:posOffset>-264795</wp:posOffset>
            </wp:positionV>
            <wp:extent cx="241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6" w:lineRule="exact"/>
        <w:rPr>
          <w:sz w:val="20"/>
          <w:szCs w:val="20"/>
          <w:color w:val="auto"/>
        </w:rPr>
      </w:pPr>
    </w:p>
    <w:p>
      <w:pPr>
        <w:ind w:left="860" w:hanging="403"/>
        <w:spacing w:after="0"/>
        <w:tabs>
          <w:tab w:leader="none" w:pos="8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8" w:lineRule="exact"/>
        <w:rPr>
          <w:rFonts w:ascii="Arial" w:cs="Arial" w:eastAsia="Arial" w:hAnsi="Arial"/>
          <w:sz w:val="17"/>
          <w:szCs w:val="17"/>
          <w:color w:val="auto"/>
        </w:rPr>
      </w:pPr>
    </w:p>
    <w:p>
      <w:pPr>
        <w:ind w:left="860" w:right="480" w:hanging="403"/>
        <w:spacing w:after="0" w:line="248" w:lineRule="auto"/>
        <w:tabs>
          <w:tab w:leader="none" w:pos="8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60" w:right="20" w:hanging="403"/>
        <w:spacing w:after="0" w:line="248" w:lineRule="auto"/>
        <w:tabs>
          <w:tab w:leader="none" w:pos="8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jc w:val="both"/>
        <w:ind w:left="860" w:right="40" w:hanging="403"/>
        <w:spacing w:after="0" w:line="295" w:lineRule="auto"/>
        <w:tabs>
          <w:tab w:leader="none" w:pos="8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Dollar Retention Rate</w:t>
      </w:r>
    </w:p>
    <w:p>
      <w:pPr>
        <w:spacing w:after="0" w:line="108" w:lineRule="exact"/>
        <w:rPr>
          <w:sz w:val="20"/>
          <w:szCs w:val="20"/>
          <w:color w:val="auto"/>
        </w:rPr>
      </w:pPr>
    </w:p>
    <w:p>
      <w:pPr>
        <w:ind w:left="460" w:right="140" w:firstLine="413"/>
        <w:spacing w:after="0" w:line="254" w:lineRule="auto"/>
        <w:rPr>
          <w:sz w:val="20"/>
          <w:szCs w:val="20"/>
          <w:color w:val="auto"/>
        </w:rPr>
      </w:pPr>
      <w:r>
        <w:rPr>
          <w:rFonts w:ascii="Arial" w:cs="Arial" w:eastAsia="Arial" w:hAnsi="Arial"/>
          <w:sz w:val="17"/>
          <w:szCs w:val="17"/>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800"/>
          </w:cols>
          <w:pgMar w:left="320" w:top="440" w:right="77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157480</wp:posOffset>
            </wp:positionV>
            <wp:extent cx="4495165" cy="17691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95165" cy="176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Remaining Performance Obligations</w:t>
      </w:r>
    </w:p>
    <w:p>
      <w:pPr>
        <w:spacing w:after="0" w:line="108" w:lineRule="exact"/>
        <w:rPr>
          <w:sz w:val="20"/>
          <w:szCs w:val="20"/>
          <w:color w:val="auto"/>
        </w:rPr>
      </w:pPr>
    </w:p>
    <w:p>
      <w:pPr>
        <w:ind w:left="460" w:right="80" w:firstLine="413"/>
        <w:spacing w:after="0" w:line="296" w:lineRule="auto"/>
        <w:rPr>
          <w:sz w:val="20"/>
          <w:szCs w:val="20"/>
          <w:color w:val="auto"/>
        </w:rPr>
      </w:pPr>
      <w:r>
        <w:rPr>
          <w:rFonts w:ascii="Arial" w:cs="Arial" w:eastAsia="Arial" w:hAnsi="Arial"/>
          <w:sz w:val="15"/>
          <w:szCs w:val="15"/>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presents cRPO as of September 30, 2021, December 31, 2020 and December 31, 2019:</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880" w:type="dxa"/>
            <w:vAlign w:val="bottom"/>
            <w:gridSpan w:val="2"/>
            <w:vMerge w:val="restart"/>
          </w:tcPr>
          <w:p>
            <w:pPr>
              <w:spacing w:after="0"/>
              <w:rPr>
                <w:sz w:val="20"/>
                <w:szCs w:val="20"/>
                <w:color w:val="auto"/>
              </w:rPr>
            </w:pPr>
            <w:r>
              <w:rPr>
                <w:rFonts w:ascii="Arial" w:cs="Arial" w:eastAsia="Arial" w:hAnsi="Arial"/>
                <w:sz w:val="13"/>
                <w:szCs w:val="13"/>
                <w:color w:val="auto"/>
              </w:rPr>
              <w:t>($ in thousands)</w:t>
            </w:r>
          </w:p>
        </w:tc>
        <w:tc>
          <w:tcPr>
            <w:tcW w:w="2820" w:type="dxa"/>
            <w:vAlign w:val="bottom"/>
            <w:gridSpan w:val="2"/>
          </w:tcPr>
          <w:p>
            <w:pPr>
              <w:jc w:val="center"/>
              <w:ind w:left="1933"/>
              <w:spacing w:after="0"/>
              <w:rPr>
                <w:sz w:val="20"/>
                <w:szCs w:val="20"/>
                <w:color w:val="auto"/>
              </w:rPr>
            </w:pPr>
            <w:r>
              <w:rPr>
                <w:rFonts w:ascii="Arial" w:cs="Arial" w:eastAsia="Arial" w:hAnsi="Arial"/>
                <w:sz w:val="13"/>
                <w:szCs w:val="13"/>
                <w:b w:val="1"/>
                <w:bCs w:val="1"/>
                <w:color w:val="auto"/>
                <w:w w:val="92"/>
              </w:rPr>
              <w:t>September 30,</w:t>
            </w:r>
          </w:p>
        </w:tc>
        <w:tc>
          <w:tcPr>
            <w:tcW w:w="1460" w:type="dxa"/>
            <w:vAlign w:val="bottom"/>
            <w:gridSpan w:val="2"/>
          </w:tcPr>
          <w:p>
            <w:pPr>
              <w:ind w:left="680"/>
              <w:spacing w:after="0"/>
              <w:rPr>
                <w:sz w:val="20"/>
                <w:szCs w:val="20"/>
                <w:color w:val="auto"/>
              </w:rPr>
            </w:pPr>
            <w:r>
              <w:rPr>
                <w:rFonts w:ascii="Arial" w:cs="Arial" w:eastAsia="Arial" w:hAnsi="Arial"/>
                <w:sz w:val="13"/>
                <w:szCs w:val="13"/>
                <w:b w:val="1"/>
                <w:bCs w:val="1"/>
                <w:color w:val="auto"/>
                <w:w w:val="89"/>
              </w:rPr>
              <w:t>December 31,</w:t>
            </w:r>
          </w:p>
        </w:tc>
        <w:tc>
          <w:tcPr>
            <w:tcW w:w="15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2"/>
        </w:trPr>
        <w:tc>
          <w:tcPr>
            <w:tcW w:w="2880" w:type="dxa"/>
            <w:vAlign w:val="bottom"/>
            <w:gridSpan w:val="2"/>
            <w:vMerge w:val="continue"/>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6"/>
              </w:rPr>
              <w:t>2021</w:t>
            </w:r>
          </w:p>
        </w:tc>
        <w:tc>
          <w:tcPr>
            <w:tcW w:w="680" w:type="dxa"/>
            <w:vAlign w:val="bottom"/>
          </w:tcPr>
          <w:p>
            <w:pPr>
              <w:spacing w:after="0"/>
              <w:rPr>
                <w:sz w:val="11"/>
                <w:szCs w:val="11"/>
                <w:color w:val="auto"/>
              </w:rPr>
            </w:pPr>
          </w:p>
        </w:tc>
        <w:tc>
          <w:tcPr>
            <w:tcW w:w="780" w:type="dxa"/>
            <w:vAlign w:val="bottom"/>
            <w:tcBorders>
              <w:top w:val="single" w:sz="8" w:color="auto"/>
            </w:tcBorders>
          </w:tcPr>
          <w:p>
            <w:pPr>
              <w:jc w:val="right"/>
              <w:ind w:right="184"/>
              <w:spacing w:after="0" w:line="132" w:lineRule="exact"/>
              <w:rPr>
                <w:sz w:val="20"/>
                <w:szCs w:val="20"/>
                <w:color w:val="auto"/>
              </w:rPr>
            </w:pPr>
            <w:r>
              <w:rPr>
                <w:rFonts w:ascii="Arial" w:cs="Arial" w:eastAsia="Arial" w:hAnsi="Arial"/>
                <w:sz w:val="13"/>
                <w:szCs w:val="13"/>
                <w:b w:val="1"/>
                <w:bCs w:val="1"/>
                <w:color w:val="auto"/>
              </w:rPr>
              <w:t>2020</w:t>
            </w:r>
          </w:p>
        </w:tc>
        <w:tc>
          <w:tcPr>
            <w:tcW w:w="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4"/>
              <w:spacing w:after="0" w:line="132"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Current</w:t>
            </w:r>
          </w:p>
        </w:tc>
        <w:tc>
          <w:tcPr>
            <w:tcW w:w="20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  128,653</w:t>
            </w:r>
          </w:p>
        </w:tc>
        <w:tc>
          <w:tcPr>
            <w:tcW w:w="6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  114,284</w:t>
            </w: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Impact of Acquisitions</w:t>
      </w:r>
    </w:p>
    <w:p>
      <w:pPr>
        <w:spacing w:after="0" w:line="112"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 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Impact of the Advent Acquisition</w:t>
      </w:r>
    </w:p>
    <w:p>
      <w:pPr>
        <w:spacing w:after="0" w:line="112"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On July 16, 2019, Advent acquired us for $1,699.6 million, consisting of $1,129.3 million of cash and $570.3 million in equity. The acquisition was accounted for as a business combination. Accordingly, we applied</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780"/>
          </w:cols>
          <w:pgMar w:left="320" w:top="440" w:right="79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291" w:lineRule="auto"/>
        <w:rPr>
          <w:sz w:val="20"/>
          <w:szCs w:val="20"/>
          <w:color w:val="auto"/>
        </w:rPr>
      </w:pPr>
      <w:r>
        <w:rPr>
          <w:rFonts w:ascii="Arial" w:cs="Arial" w:eastAsia="Arial" w:hAnsi="Arial"/>
          <w:sz w:val="15"/>
          <w:szCs w:val="15"/>
          <w:color w:val="auto"/>
        </w:rPr>
        <w:t>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2019 Credit Agreement which provided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 We repaid the indebtedness outstanding under the credit agreement using the proceeds from the IPO and the Senior Credit Facilities (as defined herein).</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108"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For the nine months ended September 30, 2021 and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8" w:lineRule="exact"/>
        <w:rPr>
          <w:sz w:val="20"/>
          <w:szCs w:val="20"/>
          <w:color w:val="auto"/>
        </w:rPr>
      </w:pPr>
    </w:p>
    <w:p>
      <w:pPr>
        <w:ind w:left="460" w:right="80" w:firstLine="413"/>
        <w:spacing w:after="0" w:line="293"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excluding amortization of acquired technology and data, consists of direct expenses related to the support and</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and expenses related to third party subscription services that manage our billing.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55"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i w:val="1"/>
          <w:iCs w:val="1"/>
          <w:color w:val="auto"/>
        </w:rPr>
        <w:t>Amortization</w:t>
      </w:r>
      <w:r>
        <w:rPr>
          <w:rFonts w:ascii="Arial" w:cs="Arial" w:eastAsia="Arial" w:hAnsi="Arial"/>
          <w:sz w:val="17"/>
          <w:szCs w:val="17"/>
          <w:color w:val="auto"/>
        </w:rPr>
        <w:t>. Includes amortization expense for technology and data acquired in business combinations and asset purchase agreements. We</w:t>
      </w:r>
      <w:r>
        <w:rPr>
          <w:rFonts w:ascii="Arial" w:cs="Arial" w:eastAsia="Arial" w:hAnsi="Arial"/>
          <w:sz w:val="17"/>
          <w:szCs w:val="17"/>
          <w:i w:val="1"/>
          <w:iCs w:val="1"/>
          <w:color w:val="auto"/>
        </w:rPr>
        <w:t xml:space="preserve"> </w:t>
      </w:r>
      <w:r>
        <w:rPr>
          <w:rFonts w:ascii="Arial" w:cs="Arial" w:eastAsia="Arial" w:hAnsi="Arial"/>
          <w:sz w:val="17"/>
          <w:szCs w:val="17"/>
          <w:color w:val="auto"/>
        </w:rPr>
        <w:t>anticipate that amortization will only increase if we make additional acquisitions in the future.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Gross Profit</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1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780"/>
          </w:cols>
          <w:pgMar w:left="320" w:top="440" w:right="79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8"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50"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Sales and marketing expenses primarily consist of personnel costs such as salaries, bonuses, sales commissions,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14"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i w:val="1"/>
          <w:iCs w:val="1"/>
          <w:color w:val="auto"/>
        </w:rPr>
        <w:t>Product development</w:t>
      </w:r>
      <w:r>
        <w:rPr>
          <w:rFonts w:ascii="Arial" w:cs="Arial" w:eastAsia="Arial" w:hAnsi="Arial"/>
          <w:sz w:val="15"/>
          <w:szCs w:val="15"/>
          <w:color w:val="auto"/>
        </w:rPr>
        <w:t>. Product development expenses primarily consist of personnel costs such as salaries, bonuses, stock-based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17" w:lineRule="exact"/>
        <w:rPr>
          <w:sz w:val="20"/>
          <w:szCs w:val="20"/>
          <w:color w:val="auto"/>
        </w:rPr>
      </w:pPr>
    </w:p>
    <w:p>
      <w:pPr>
        <w:ind w:left="460" w:right="200" w:firstLine="413"/>
        <w:spacing w:after="0" w:line="290"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General and administrative expenses primarily consist of personnel costs such as salaries, bonuses,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executive, finance, legal, human resources, IT and operations, and administrative teams, as well as non-personnel costs including overhead costs, professional fees, third party payment processor fees and other corporate expenses including expenses associated with preparation for this public offering. We anticipate that general and administrative costs will significantly increase relative to prior periods due to the incremental costs associated with operating as a public company, including incremental costs arising from higher stock-based compensation,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131" w:lineRule="exact"/>
        <w:rPr>
          <w:sz w:val="20"/>
          <w:szCs w:val="20"/>
          <w:color w:val="auto"/>
        </w:rPr>
      </w:pPr>
    </w:p>
    <w:p>
      <w:pPr>
        <w:ind w:left="460" w:right="140" w:firstLine="413"/>
        <w:spacing w:after="0" w:line="25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amortization of customer relationships and trade</w:t>
      </w:r>
      <w:r>
        <w:rPr>
          <w:rFonts w:ascii="Arial" w:cs="Arial" w:eastAsia="Arial" w:hAnsi="Arial"/>
          <w:sz w:val="17"/>
          <w:szCs w:val="17"/>
          <w:i w:val="1"/>
          <w:iCs w:val="1"/>
          <w:color w:val="auto"/>
        </w:rPr>
        <w:t xml:space="preserve"> </w:t>
      </w:r>
      <w:r>
        <w:rPr>
          <w:rFonts w:ascii="Arial" w:cs="Arial" w:eastAsia="Arial" w:hAnsi="Arial"/>
          <w:sz w:val="17"/>
          <w:szCs w:val="17"/>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41" w:lineRule="exact"/>
        <w:rPr>
          <w:sz w:val="20"/>
          <w:szCs w:val="20"/>
          <w:color w:val="auto"/>
        </w:rPr>
      </w:pPr>
    </w:p>
    <w:p>
      <w:pPr>
        <w:ind w:left="460" w:right="200" w:firstLine="413"/>
        <w:spacing w:after="0" w:line="303" w:lineRule="auto"/>
        <w:rPr>
          <w:sz w:val="20"/>
          <w:szCs w:val="20"/>
          <w:color w:val="auto"/>
        </w:rPr>
      </w:pPr>
      <w:r>
        <w:rPr>
          <w:rFonts w:ascii="Arial" w:cs="Arial" w:eastAsia="Arial" w:hAnsi="Arial"/>
          <w:sz w:val="16"/>
          <w:szCs w:val="16"/>
          <w:i w:val="1"/>
          <w:iCs w:val="1"/>
          <w:color w:val="auto"/>
        </w:rPr>
        <w:t xml:space="preserve">Transaction expenses. </w:t>
      </w:r>
      <w:r>
        <w:rPr>
          <w:rFonts w:ascii="Arial" w:cs="Arial" w:eastAsia="Arial" w:hAnsi="Arial"/>
          <w:sz w:val="16"/>
          <w:szCs w:val="16"/>
          <w:color w:val="auto"/>
        </w:rPr>
        <w:t>Transaction expenses are costs directly associated with various acquisition and integration activities we have undertaken,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accounting, legal due diligence, consulting and advisory fees, and fair value adjustments for contingent consideration.</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Other expense, net consists primarily of interest expense, net and foreign currency transaction gains or loss.</w:t>
      </w:r>
    </w:p>
    <w:p>
      <w:pPr>
        <w:spacing w:after="0" w:line="210"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consists primarily of interest expense on our debt obligations and the amortization of debt discounts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780"/>
          </w:cols>
          <w:pgMar w:left="320" w:top="440" w:right="7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i w:val="1"/>
          <w:iCs w:val="1"/>
          <w:color w:val="auto"/>
        </w:rPr>
        <w:t>Foreign currency transaction loss</w:t>
      </w:r>
      <w:r>
        <w:rPr>
          <w:rFonts w:ascii="Arial" w:cs="Arial" w:eastAsia="Arial" w:hAnsi="Arial"/>
          <w:sz w:val="17"/>
          <w:szCs w:val="17"/>
          <w:color w:val="auto"/>
        </w:rPr>
        <w:t>. Foreign currency transaction loss consists primarily of realized and unrealized gains and losses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transactions denominated in a foreign currency. We do not have significant exposure to foreign exchange volatility and do not anticipate foreign currency transaction gains or losses to materially impact our results of operations.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Results of Operations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our consolidated statements of operations for the periods presented: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gridSpan w:val="4"/>
            <w:vMerge w:val="restart"/>
          </w:tcPr>
          <w:p>
            <w:pPr>
              <w:jc w:val="center"/>
              <w:ind w:right="700"/>
              <w:spacing w:after="0"/>
              <w:rPr>
                <w:sz w:val="20"/>
                <w:szCs w:val="20"/>
                <w:color w:val="auto"/>
              </w:rPr>
            </w:pPr>
            <w:r>
              <w:rPr>
                <w:rFonts w:ascii="Arial" w:cs="Arial" w:eastAsia="Arial" w:hAnsi="Arial"/>
                <w:sz w:val="13"/>
                <w:szCs w:val="13"/>
                <w:b w:val="1"/>
                <w:bCs w:val="1"/>
                <w:color w:val="auto"/>
                <w:w w:val="96"/>
              </w:rPr>
              <w:t>Definitive OpCo</w:t>
            </w: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3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6"/>
          </w:tcPr>
          <w:p>
            <w:pPr>
              <w:jc w:val="center"/>
              <w:ind w:right="60"/>
              <w:spacing w:after="0" w:line="139" w:lineRule="exact"/>
              <w:rPr>
                <w:sz w:val="20"/>
                <w:szCs w:val="20"/>
                <w:color w:val="auto"/>
              </w:rPr>
            </w:pPr>
            <w:r>
              <w:rPr>
                <w:rFonts w:ascii="Arial" w:cs="Arial" w:eastAsia="Arial" w:hAnsi="Arial"/>
                <w:sz w:val="13"/>
                <w:szCs w:val="13"/>
                <w:b w:val="1"/>
                <w:bCs w:val="1"/>
                <w:color w:val="auto"/>
              </w:rPr>
              <w:t>(AIDH TopCo, LLC)</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8"/>
              </w:rPr>
              <w:t>Successor Company</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7"/>
          </w:tcPr>
          <w:p>
            <w:pPr>
              <w:jc w:val="right"/>
              <w:ind w:right="360"/>
              <w:spacing w:after="0" w:line="119" w:lineRule="exact"/>
              <w:rPr>
                <w:sz w:val="20"/>
                <w:szCs w:val="20"/>
                <w:color w:val="auto"/>
              </w:rPr>
            </w:pPr>
            <w:r>
              <w:rPr>
                <w:rFonts w:ascii="Arial" w:cs="Arial" w:eastAsia="Arial" w:hAnsi="Arial"/>
                <w:sz w:val="13"/>
                <w:szCs w:val="13"/>
                <w:b w:val="1"/>
                <w:bCs w:val="1"/>
                <w:color w:val="auto"/>
              </w:rPr>
              <w:t>Nine Months Ended</w:t>
            </w: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3"/>
                <w:szCs w:val="13"/>
                <w:b w:val="1"/>
                <w:bCs w:val="1"/>
                <w:color w:val="auto"/>
                <w:w w:val="99"/>
              </w:rPr>
              <w:t>Year ended</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Period from</w:t>
            </w:r>
          </w:p>
        </w:tc>
        <w:tc>
          <w:tcPr>
            <w:tcW w:w="4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3"/>
                <w:szCs w:val="13"/>
                <w:b w:val="1"/>
                <w:bCs w:val="1"/>
                <w:color w:val="auto"/>
                <w:w w:val="91"/>
              </w:rPr>
              <w:t>July 16, 2019 to</w:t>
            </w:r>
          </w:p>
        </w:tc>
        <w:tc>
          <w:tcPr>
            <w:tcW w:w="220" w:type="dxa"/>
            <w:vAlign w:val="bottom"/>
          </w:tcPr>
          <w:p>
            <w:pPr>
              <w:spacing w:after="0"/>
              <w:rPr>
                <w:sz w:val="13"/>
                <w:szCs w:val="13"/>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January 1, 2019 to</w:t>
            </w:r>
          </w:p>
        </w:tc>
        <w:tc>
          <w:tcPr>
            <w:tcW w:w="0" w:type="dxa"/>
            <w:vAlign w:val="bottom"/>
          </w:tcPr>
          <w:p>
            <w:pPr>
              <w:spacing w:after="0"/>
              <w:rPr>
                <w:sz w:val="1"/>
                <w:szCs w:val="1"/>
                <w:color w:val="auto"/>
              </w:rPr>
            </w:pPr>
          </w:p>
        </w:tc>
      </w:tr>
      <w:tr>
        <w:trPr>
          <w:trHeight w:val="132"/>
        </w:trPr>
        <w:tc>
          <w:tcPr>
            <w:tcW w:w="3780" w:type="dxa"/>
            <w:vAlign w:val="bottom"/>
          </w:tcPr>
          <w:p>
            <w:pPr>
              <w:spacing w:after="0" w:line="132" w:lineRule="exact"/>
              <w:rPr>
                <w:sz w:val="20"/>
                <w:szCs w:val="20"/>
                <w:color w:val="auto"/>
              </w:rPr>
            </w:pPr>
            <w:r>
              <w:rPr>
                <w:rFonts w:ascii="Arial" w:cs="Arial" w:eastAsia="Arial" w:hAnsi="Arial"/>
                <w:sz w:val="13"/>
                <w:szCs w:val="13"/>
                <w:color w:val="auto"/>
              </w:rPr>
              <w:t>(in thousands)</w:t>
            </w: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8"/>
              <w:spacing w:after="0" w:line="132" w:lineRule="exact"/>
              <w:rPr>
                <w:sz w:val="20"/>
                <w:szCs w:val="20"/>
                <w:color w:val="auto"/>
              </w:rPr>
            </w:pPr>
            <w:r>
              <w:rPr>
                <w:rFonts w:ascii="Arial" w:cs="Arial" w:eastAsia="Arial" w:hAnsi="Arial"/>
                <w:sz w:val="13"/>
                <w:szCs w:val="13"/>
                <w:b w:val="1"/>
                <w:bCs w:val="1"/>
                <w:color w:val="auto"/>
              </w:rPr>
              <w:t>2021</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8"/>
              <w:spacing w:after="0" w:line="132"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3"/>
          </w:tcPr>
          <w:p>
            <w:pPr>
              <w:spacing w:after="0" w:line="132" w:lineRule="exact"/>
              <w:rPr>
                <w:sz w:val="20"/>
                <w:szCs w:val="20"/>
                <w:color w:val="auto"/>
              </w:rPr>
            </w:pPr>
            <w:r>
              <w:rPr>
                <w:rFonts w:ascii="Arial" w:cs="Arial" w:eastAsia="Arial" w:hAnsi="Arial"/>
                <w:sz w:val="13"/>
                <w:szCs w:val="13"/>
                <w:b w:val="1"/>
                <w:bCs w:val="1"/>
                <w:color w:val="auto"/>
              </w:rPr>
              <w:t>December 31, 2020</w:t>
            </w:r>
          </w:p>
        </w:tc>
        <w:tc>
          <w:tcPr>
            <w:tcW w:w="1540" w:type="dxa"/>
            <w:vAlign w:val="bottom"/>
            <w:tcBorders>
              <w:right w:val="single" w:sz="8" w:color="auto"/>
            </w:tcBorders>
            <w:gridSpan w:val="3"/>
          </w:tcPr>
          <w:p>
            <w:pPr>
              <w:spacing w:after="0" w:line="132" w:lineRule="exact"/>
              <w:rPr>
                <w:sz w:val="20"/>
                <w:szCs w:val="20"/>
                <w:color w:val="auto"/>
              </w:rPr>
            </w:pPr>
            <w:r>
              <w:rPr>
                <w:rFonts w:ascii="Arial" w:cs="Arial" w:eastAsia="Arial" w:hAnsi="Arial"/>
                <w:sz w:val="13"/>
                <w:szCs w:val="13"/>
                <w:b w:val="1"/>
                <w:bCs w:val="1"/>
                <w:color w:val="auto"/>
              </w:rPr>
              <w:t>December 31, 2019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2" w:lineRule="exact"/>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95"/>
        </w:trPr>
        <w:tc>
          <w:tcPr>
            <w:tcW w:w="3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119,841</w:t>
            </w: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84,659</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440" w:type="dxa"/>
            <w:vAlign w:val="bottom"/>
            <w:tcBorders>
              <w:top w:val="single" w:sz="8" w:color="CCEEFF"/>
              <w:right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Cost of revenue: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Cost of revenue exclusive of amortization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shown below</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13,895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4,668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4,830</w:t>
            </w: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15,896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14,278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19,383</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8,614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cost of revenue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29,791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22,154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30,468</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13,282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7"/>
                <w:szCs w:val="17"/>
                <w:b w:val="1"/>
                <w:bCs w:val="1"/>
                <w:color w:val="auto"/>
              </w:rPr>
              <w:t>Gross profit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90,050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62,505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87,849</w:t>
            </w:r>
          </w:p>
        </w:tc>
        <w:tc>
          <w:tcPr>
            <w:tcW w:w="10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26,763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39,003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23,542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34,332</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10,814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Product development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12,817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7,566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3,484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3,961</w:t>
            </w: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18,891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8,105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12,927</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6,365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3,979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28,814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30,037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40,197</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22,459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1,967</w:t>
            </w: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Transaction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3,332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748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3,776</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14,703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operating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102,857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69,998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102,294</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57,825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27,097</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340"/>
              <w:spacing w:after="0"/>
              <w:rPr>
                <w:sz w:val="20"/>
                <w:szCs w:val="20"/>
                <w:color w:val="auto"/>
              </w:rPr>
            </w:pPr>
            <w:r>
              <w:rPr>
                <w:rFonts w:ascii="Arial" w:cs="Arial" w:eastAsia="Arial" w:hAnsi="Arial"/>
                <w:sz w:val="17"/>
                <w:szCs w:val="17"/>
                <w:color w:val="auto"/>
              </w:rPr>
              <w:t>(Loss) income from operations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w w:val="94"/>
              </w:rPr>
              <w:t>(12,807)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(7,493)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(14,445)</w:t>
            </w:r>
          </w:p>
        </w:tc>
        <w:tc>
          <w:tcPr>
            <w:tcW w:w="10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(31,062)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Foreign currency transaction gain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on extinguishment of debt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(9,873)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w w:val="94"/>
              </w:rPr>
              <w:t>(23,956)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(27,802)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(36,490)</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(18,204)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other expense,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94"/>
              </w:rPr>
              <w:t>(33,686)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(27,802)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(36,712)</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(18,204)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Net (loss) income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w w:val="94"/>
              </w:rPr>
              <w:t>(46,493)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(35,295)</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(51,157)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4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(49,266)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-2886075</wp:posOffset>
            </wp:positionV>
            <wp:extent cx="241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Nine Months Ended September 30, 2021 Compared to Nine Months Ended September 30, 2020</w:t>
      </w:r>
    </w:p>
    <w:p>
      <w:pPr>
        <w:spacing w:after="0" w:line="108" w:lineRule="exact"/>
        <w:rPr>
          <w:sz w:val="20"/>
          <w:szCs w:val="20"/>
          <w:color w:val="auto"/>
        </w:rPr>
      </w:pPr>
    </w:p>
    <w:p>
      <w:pPr>
        <w:ind w:left="460" w:right="120" w:firstLine="413"/>
        <w:spacing w:after="0" w:line="25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was $119.8 million for the nine months ended September 30, 2021, compared to $84.7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an increase of $35.2 million or 41%, driven by higher subscription revenue of $34.7 million. Of the 41% increase in total revenue, approximately 37% was attributable to net expansion with existing customers and 4% to the addition of new customers inclusive of those acquired through the acquisition of Monocl in October 2020.</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800"/>
          </w:cols>
          <w:pgMar w:left="320" w:top="440" w:right="77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$29.8 million for the nine months ended September 30, 2021, compared to $22.2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the prior year, an increase of $7.6 million, or 34%. The increase was primarily due to:</w:t>
      </w:r>
    </w:p>
    <w:p>
      <w:pPr>
        <w:spacing w:after="0" w:line="76" w:lineRule="exact"/>
        <w:rPr>
          <w:sz w:val="20"/>
          <w:szCs w:val="20"/>
          <w:color w:val="auto"/>
        </w:rPr>
      </w:pPr>
    </w:p>
    <w:p>
      <w:pPr>
        <w:ind w:left="1360" w:right="180" w:hanging="498"/>
        <w:spacing w:after="0" w:line="256" w:lineRule="auto"/>
        <w:tabs>
          <w:tab w:leader="none" w:pos="13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$6.0 million, or 76%, to $13.9 million for the nine months ended September 30, 2021, compared to $7.9 million for the nine months ended September 30, 2020, data subscription contracts and increased hosting fees associated with additional product offerings, and, to a lesser extent, incremental personnel costs resulting from additional hiring during the year;</w:t>
      </w:r>
    </w:p>
    <w:p>
      <w:pPr>
        <w:spacing w:after="0" w:line="90" w:lineRule="exact"/>
        <w:rPr>
          <w:rFonts w:ascii="Arial" w:cs="Arial" w:eastAsia="Arial" w:hAnsi="Arial"/>
          <w:sz w:val="17"/>
          <w:szCs w:val="17"/>
          <w:color w:val="auto"/>
        </w:rPr>
      </w:pPr>
    </w:p>
    <w:p>
      <w:pPr>
        <w:ind w:left="1360" w:hanging="498"/>
        <w:spacing w:after="0" w:line="260" w:lineRule="auto"/>
        <w:tabs>
          <w:tab w:leader="none" w:pos="13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increase in amortization expense of $1.6 million, or 11%, to $15.9 million for the nine months ended September 30, 2021, compared to $14.3 million for the nine months ended September 30, 2020, primarily due to additional amortization of acquired technology that arose from the Monocl acquisition in October 2020.</w:t>
      </w:r>
    </w:p>
    <w:p>
      <w:pPr>
        <w:spacing w:after="0" w:line="175"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$102.9 million for the nine months ended September 30, 2021, compared to $70.0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2020, an increase of $32.9 million, or 47%. The increase was primarily due to:</w:t>
      </w:r>
    </w:p>
    <w:p>
      <w:pPr>
        <w:spacing w:after="0" w:line="76" w:lineRule="exact"/>
        <w:rPr>
          <w:sz w:val="20"/>
          <w:szCs w:val="20"/>
          <w:color w:val="auto"/>
        </w:rPr>
      </w:pPr>
    </w:p>
    <w:p>
      <w:pPr>
        <w:ind w:left="1360" w:right="80" w:hanging="498"/>
        <w:spacing w:after="0" w:line="311" w:lineRule="auto"/>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 increase in sales and marketing expense of $15.5 million, or 66%, to $39.0 million for the nine months ended September 30, 2021, compared to $23.5 million for the nine months ended September 30, 2020, due primarily to additional hiring to drive continued incremental sales and, to a lesser extent, additional sales and marketing resources added through the Monocl acquisition in October 2020;</w:t>
      </w:r>
    </w:p>
    <w:p>
      <w:pPr>
        <w:spacing w:after="0" w:line="51" w:lineRule="exact"/>
        <w:rPr>
          <w:rFonts w:ascii="Arial" w:cs="Arial" w:eastAsia="Arial" w:hAnsi="Arial"/>
          <w:sz w:val="15"/>
          <w:szCs w:val="15"/>
          <w:color w:val="auto"/>
        </w:rPr>
      </w:pPr>
    </w:p>
    <w:p>
      <w:pPr>
        <w:ind w:left="1360" w:right="100" w:hanging="498"/>
        <w:spacing w:after="0" w:line="253" w:lineRule="auto"/>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$10.8 million, or 133%, to $18.9 million for the nine months ended September 30, 2021, compared to $8.1 million for the nine months ended September 30, 2020, due primarily to increased personnel costs arising from additional hiring and the Monocl acquisition, incremental costs associated with preparing for an IPO, and additional accounting and legal expenses. We also incurred $1.9 million and $0.3 million, respectively, of incremental stock-based compensation expense for the acceleration of an equity award associated with the retirement of an executive officer and the issuance of new Class A LLC units during the current period;</w:t>
      </w:r>
    </w:p>
    <w:p>
      <w:pPr>
        <w:spacing w:after="0" w:line="93" w:lineRule="exact"/>
        <w:rPr>
          <w:rFonts w:ascii="Arial" w:cs="Arial" w:eastAsia="Arial" w:hAnsi="Arial"/>
          <w:sz w:val="17"/>
          <w:szCs w:val="17"/>
          <w:color w:val="auto"/>
        </w:rPr>
      </w:pPr>
    </w:p>
    <w:p>
      <w:pPr>
        <w:jc w:val="both"/>
        <w:ind w:left="1360" w:right="300" w:hanging="498"/>
        <w:spacing w:after="0" w:line="311" w:lineRule="auto"/>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 increase in product development expense of $5.3 million, or 69%, to $12.8 million for the nine months ended September 30, 2021, compared to $7.6 million for the nine months ended September 30, 2020, due primarily to incremental personnel costs associated with additional hiring during the year, including product development resources added as a result of the Monocl acquisition;</w:t>
      </w:r>
    </w:p>
    <w:p>
      <w:pPr>
        <w:spacing w:after="0" w:line="51" w:lineRule="exact"/>
        <w:rPr>
          <w:rFonts w:ascii="Arial" w:cs="Arial" w:eastAsia="Arial" w:hAnsi="Arial"/>
          <w:sz w:val="15"/>
          <w:szCs w:val="15"/>
          <w:color w:val="auto"/>
        </w:rPr>
      </w:pPr>
    </w:p>
    <w:p>
      <w:pPr>
        <w:ind w:left="1360" w:right="140" w:hanging="498"/>
        <w:spacing w:after="0" w:line="260" w:lineRule="auto"/>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increase in transaction expense of $2.6 million to $3.3 million for the nine months ended September 30, 2021, compared to $0.7 million for the nine months ended September 30, 2020, due primarily to an increase in contingent consideration arising from the Monocl acquisition;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These increases were partially offset by:</w:t>
      </w:r>
    </w:p>
    <w:p>
      <w:pPr>
        <w:spacing w:after="0" w:line="121" w:lineRule="exact"/>
        <w:rPr>
          <w:sz w:val="20"/>
          <w:szCs w:val="20"/>
          <w:color w:val="auto"/>
        </w:rPr>
      </w:pPr>
    </w:p>
    <w:p>
      <w:pPr>
        <w:ind w:left="1360" w:right="400" w:hanging="498"/>
        <w:spacing w:after="0" w:line="272" w:lineRule="auto"/>
        <w:tabs>
          <w:tab w:leader="none" w:pos="13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decrease in depreciation and amortization expense of $1.2 million to $28.8 million for the nine months ended September 30, 2021, compared to $30.0 million for the nine months ended September 30, 2020.</w:t>
      </w:r>
    </w:p>
    <w:p>
      <w:pPr>
        <w:spacing w:after="0" w:line="16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$33.7 million for the nine months ended September 30, 2021, compared to $27.8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an increase of $5.9 million, or 21%, primarily due to:</w:t>
      </w:r>
    </w:p>
    <w:p>
      <w:pPr>
        <w:spacing w:after="0" w:line="76" w:lineRule="exact"/>
        <w:rPr>
          <w:sz w:val="20"/>
          <w:szCs w:val="20"/>
          <w:color w:val="auto"/>
        </w:rPr>
      </w:pPr>
    </w:p>
    <w:p>
      <w:pPr>
        <w:ind w:left="1360" w:right="220" w:hanging="498"/>
        <w:spacing w:after="0" w:line="272" w:lineRule="auto"/>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increase in loss on extinguishment of debt of $9.9 million for the nine months ended September 30, 2021, as compared to nil for the nine months ended September 30, 2020 , partially offset by; and</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740"/>
          </w:cols>
          <w:pgMar w:left="320" w:top="440" w:right="8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160" w:hanging="498"/>
        <w:spacing w:after="0" w:line="260" w:lineRule="auto"/>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decrease in interest expense, net of $3.8 million, or 14%, to $24.0 million for the nine months ended September 30, 2021, as compared to $27.8 million for the nine months ended September 30, 2020. The decrease was primarily driven by lower outstanding debt as well as lower interest rates in the current period.</w:t>
      </w:r>
    </w:p>
    <w:p>
      <w:pPr>
        <w:spacing w:after="0" w:line="175" w:lineRule="exact"/>
        <w:rPr>
          <w:sz w:val="20"/>
          <w:szCs w:val="20"/>
          <w:color w:val="auto"/>
        </w:rPr>
      </w:pPr>
    </w:p>
    <w:p>
      <w:pPr>
        <w:ind w:left="460" w:right="320" w:firstLine="413"/>
        <w:spacing w:after="0" w:line="303"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for the nine months ended September 30, 2021 was $46.5 million, compared to net loss of $35.3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an increase of $11.2 million, or 32%. The increase was attributable to the items described above.</w:t>
      </w:r>
    </w:p>
    <w:p>
      <w:pPr>
        <w:spacing w:after="0" w:line="245" w:lineRule="exact"/>
        <w:rPr>
          <w:sz w:val="20"/>
          <w:szCs w:val="20"/>
          <w:color w:val="auto"/>
        </w:rPr>
      </w:pPr>
    </w:p>
    <w:p>
      <w:pPr>
        <w:ind w:left="460" w:right="440"/>
        <w:spacing w:after="0" w:line="272" w:lineRule="auto"/>
        <w:rPr>
          <w:sz w:val="20"/>
          <w:szCs w:val="20"/>
          <w:color w:val="auto"/>
        </w:rPr>
      </w:pPr>
      <w:r>
        <w:rPr>
          <w:rFonts w:ascii="Arial" w:cs="Arial" w:eastAsia="Arial" w:hAnsi="Arial"/>
          <w:sz w:val="17"/>
          <w:szCs w:val="17"/>
          <w:b w:val="1"/>
          <w:bCs w:val="1"/>
          <w:i w:val="1"/>
          <w:iCs w:val="1"/>
          <w:color w:val="auto"/>
        </w:rPr>
        <w:t>Year Ended December 31, 2020 Compared to Period from July 16, 2019 to December 31, 2019 (Successor) and Period from January 1, 2019 to July 15, 2019 (Predecessor)</w:t>
      </w:r>
    </w:p>
    <w:p>
      <w:pPr>
        <w:spacing w:after="0" w:line="63" w:lineRule="exact"/>
        <w:rPr>
          <w:sz w:val="20"/>
          <w:szCs w:val="20"/>
          <w:color w:val="auto"/>
        </w:rPr>
      </w:pPr>
    </w:p>
    <w:p>
      <w:pPr>
        <w:ind w:left="460" w:right="220" w:firstLine="413"/>
        <w:spacing w:after="0" w:line="253"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was $118.3 million for the year ended December 31, 2020, compared to $40.0 million for the period from July 16, 2019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(Successor) and $45.5 million for the period from January 1, 2019 to July 15, 2019 (Predecessor), an increase of $32.8 million, or 38%, driven by higher subscription revenue of $32.0 million. During the year ended December 31, 2020, our total customers increased by 337 from 2,243 as of December 31, 2019 to 2,580 as of December 31, 2020. Of the 38% increase in total revenue, approximately 33% was attributable to net expansion with existing customers and 5% to the addition of new customers inclusive of those acquired through the acquisition of Monocl in October 2020.</w:t>
      </w:r>
    </w:p>
    <w:p>
      <w:pPr>
        <w:spacing w:after="0" w:line="182" w:lineRule="exact"/>
        <w:rPr>
          <w:sz w:val="20"/>
          <w:szCs w:val="20"/>
          <w:color w:val="auto"/>
        </w:rPr>
      </w:pPr>
    </w:p>
    <w:p>
      <w:pPr>
        <w:ind w:left="460" w:right="340" w:firstLine="413"/>
        <w:spacing w:after="0" w:line="26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$30.5 million for the year ended December 31, 2020, compared to $13.3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$5.3 million for the period from January 1, 2019 to July 15, 2019 (Predecessor), an increase of $11.9 million, or 64%. The increase was primarily due to:</w:t>
      </w:r>
    </w:p>
    <w:p>
      <w:pPr>
        <w:spacing w:after="0" w:line="87" w:lineRule="exact"/>
        <w:rPr>
          <w:sz w:val="20"/>
          <w:szCs w:val="20"/>
          <w:color w:val="auto"/>
        </w:rPr>
      </w:pPr>
    </w:p>
    <w:p>
      <w:pPr>
        <w:ind w:left="1360" w:hanging="498"/>
        <w:spacing w:after="0" w:line="277" w:lineRule="auto"/>
        <w:tabs>
          <w:tab w:leader="none" w:pos="13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75" w:lineRule="exact"/>
        <w:rPr>
          <w:rFonts w:ascii="Arial" w:cs="Arial" w:eastAsia="Arial" w:hAnsi="Arial"/>
          <w:sz w:val="16"/>
          <w:szCs w:val="16"/>
          <w:color w:val="auto"/>
        </w:rPr>
      </w:pPr>
    </w:p>
    <w:p>
      <w:pPr>
        <w:ind w:left="1360" w:hanging="498"/>
        <w:spacing w:after="0"/>
        <w:tabs>
          <w:tab w:leader="none" w:pos="13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$1.6 million, or 17%, to $11.1 million for the year ended</w:t>
      </w:r>
    </w:p>
    <w:p>
      <w:pPr>
        <w:spacing w:after="0" w:line="18" w:lineRule="exact"/>
        <w:rPr>
          <w:rFonts w:ascii="Arial" w:cs="Arial" w:eastAsia="Arial" w:hAnsi="Arial"/>
          <w:sz w:val="17"/>
          <w:szCs w:val="17"/>
          <w:color w:val="auto"/>
        </w:rPr>
      </w:pPr>
    </w:p>
    <w:p>
      <w:pPr>
        <w:jc w:val="both"/>
        <w:ind w:left="1360" w:right="20"/>
        <w:spacing w:after="0" w:line="302" w:lineRule="auto"/>
        <w:rPr>
          <w:rFonts w:ascii="Arial" w:cs="Arial" w:eastAsia="Arial" w:hAnsi="Arial"/>
          <w:sz w:val="17"/>
          <w:szCs w:val="17"/>
          <w:color w:val="auto"/>
        </w:rPr>
      </w:pPr>
      <w:r>
        <w:rPr>
          <w:rFonts w:ascii="Arial" w:cs="Arial" w:eastAsia="Arial" w:hAnsi="Arial"/>
          <w:sz w:val="15"/>
          <w:szCs w:val="15"/>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48"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$102.3 million for the year ended December 31, 2020, compared to $57.8 million for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16, 2019 to December 31, 2019 (Successor) and $27.1 million for the period from January 1, 2019 to July 15, 2019 (Predecessor), an increase of $17.4 million, or 20%. The increase was primarily due to:</w:t>
      </w:r>
    </w:p>
    <w:p>
      <w:pPr>
        <w:spacing w:after="0" w:line="87" w:lineRule="exact"/>
        <w:rPr>
          <w:sz w:val="20"/>
          <w:szCs w:val="20"/>
          <w:color w:val="auto"/>
        </w:rPr>
      </w:pPr>
    </w:p>
    <w:p>
      <w:pPr>
        <w:jc w:val="both"/>
        <w:ind w:left="1360" w:right="80" w:hanging="498"/>
        <w:spacing w:after="0" w:line="277" w:lineRule="auto"/>
        <w:tabs>
          <w:tab w:leader="none" w:pos="13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75" w:lineRule="exact"/>
        <w:rPr>
          <w:rFonts w:ascii="Arial" w:cs="Arial" w:eastAsia="Arial" w:hAnsi="Arial"/>
          <w:sz w:val="16"/>
          <w:szCs w:val="16"/>
          <w:color w:val="auto"/>
        </w:rPr>
      </w:pPr>
    </w:p>
    <w:p>
      <w:pPr>
        <w:jc w:val="both"/>
        <w:ind w:left="1360" w:right="140" w:hanging="498"/>
        <w:spacing w:after="0" w:line="260" w:lineRule="auto"/>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800"/>
          </w:cols>
          <w:pgMar w:left="320" w:top="440" w:right="7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320"/>
        <w:spacing w:after="0" w:line="256" w:lineRule="auto"/>
        <w:rPr>
          <w:sz w:val="20"/>
          <w:szCs w:val="20"/>
          <w:color w:val="auto"/>
        </w:rPr>
      </w:pPr>
      <w:r>
        <w:rPr>
          <w:rFonts w:ascii="Arial" w:cs="Arial" w:eastAsia="Arial" w:hAnsi="Arial"/>
          <w:sz w:val="17"/>
          <w:szCs w:val="17"/>
          <w:color w:val="auto"/>
        </w:rPr>
        <w:t>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90" w:lineRule="exact"/>
        <w:rPr>
          <w:sz w:val="20"/>
          <w:szCs w:val="20"/>
          <w:color w:val="auto"/>
        </w:rPr>
      </w:pPr>
    </w:p>
    <w:p>
      <w:pPr>
        <w:ind w:left="1360" w:right="20" w:hanging="498"/>
        <w:spacing w:after="0" w:line="284" w:lineRule="auto"/>
        <w:tabs>
          <w:tab w:leader="none" w:pos="13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68" w:lineRule="exact"/>
        <w:rPr>
          <w:rFonts w:ascii="Arial" w:cs="Arial" w:eastAsia="Arial" w:hAnsi="Arial"/>
          <w:sz w:val="16"/>
          <w:szCs w:val="16"/>
          <w:color w:val="auto"/>
        </w:rPr>
      </w:pPr>
    </w:p>
    <w:p>
      <w:pPr>
        <w:ind w:left="1360" w:right="40" w:hanging="498"/>
        <w:spacing w:after="0" w:line="253" w:lineRule="auto"/>
        <w:tabs>
          <w:tab w:leader="none" w:pos="1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IPO,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93" w:lineRule="exact"/>
        <w:rPr>
          <w:rFonts w:ascii="Arial" w:cs="Arial" w:eastAsia="Arial" w:hAnsi="Arial"/>
          <w:sz w:val="17"/>
          <w:szCs w:val="17"/>
          <w:color w:val="auto"/>
        </w:rPr>
      </w:pPr>
    </w:p>
    <w:p>
      <w:pPr>
        <w:ind w:left="1360" w:right="140" w:hanging="498"/>
        <w:spacing w:after="0" w:line="311" w:lineRule="auto"/>
        <w:tabs>
          <w:tab w:leader="none" w:pos="13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140"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$36.7 million for the year ended December 31, 2020, compared to $18.2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$0.2 million for the period from January 1, 2019 to July 15, 2019 (Predecessor), an increase of $18.3 million, primarily due to:</w:t>
      </w:r>
    </w:p>
    <w:p>
      <w:pPr>
        <w:spacing w:after="0" w:line="87" w:lineRule="exact"/>
        <w:rPr>
          <w:sz w:val="20"/>
          <w:szCs w:val="20"/>
          <w:color w:val="auto"/>
        </w:rPr>
      </w:pPr>
    </w:p>
    <w:p>
      <w:pPr>
        <w:ind w:left="1360" w:hanging="498"/>
        <w:spacing w:after="0" w:line="256" w:lineRule="auto"/>
        <w:tabs>
          <w:tab w:leader="none" w:pos="1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0" w:lineRule="exact"/>
        <w:rPr>
          <w:rFonts w:ascii="Arial" w:cs="Arial" w:eastAsia="Arial" w:hAnsi="Arial"/>
          <w:sz w:val="17"/>
          <w:szCs w:val="17"/>
          <w:color w:val="auto"/>
        </w:rPr>
      </w:pPr>
    </w:p>
    <w:p>
      <w:pPr>
        <w:ind w:left="1360" w:right="100" w:hanging="498"/>
        <w:spacing w:after="0" w:line="340" w:lineRule="auto"/>
        <w:tabs>
          <w:tab w:leader="none" w:pos="13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19"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year ended December 31, 2020 was $51.2 million, compared to net loss of $49.3 million for the period from July 16,</w:t>
      </w:r>
      <w:r>
        <w:rPr>
          <w:rFonts w:ascii="Arial" w:cs="Arial" w:eastAsia="Arial" w:hAnsi="Arial"/>
          <w:sz w:val="17"/>
          <w:szCs w:val="17"/>
          <w:i w:val="1"/>
          <w:iCs w:val="1"/>
          <w:color w:val="auto"/>
        </w:rPr>
        <w:t xml:space="preserve"> </w:t>
      </w:r>
      <w:r>
        <w:rPr>
          <w:rFonts w:ascii="Arial" w:cs="Arial" w:eastAsia="Arial" w:hAnsi="Arial"/>
          <w:sz w:val="17"/>
          <w:szCs w:val="17"/>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760"/>
          </w:cols>
          <w:pgMar w:left="320" w:top="440" w:right="81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Selected Quarterly Financial Information</w:t>
      </w:r>
    </w:p>
    <w:p>
      <w:pPr>
        <w:spacing w:after="0" w:line="112" w:lineRule="exact"/>
        <w:rPr>
          <w:sz w:val="20"/>
          <w:szCs w:val="20"/>
          <w:color w:val="auto"/>
        </w:rPr>
      </w:pPr>
    </w:p>
    <w:p>
      <w:pPr>
        <w:ind w:left="460" w:right="120" w:firstLine="413"/>
        <w:spacing w:after="0" w:line="289" w:lineRule="auto"/>
        <w:rPr>
          <w:sz w:val="20"/>
          <w:szCs w:val="20"/>
          <w:color w:val="auto"/>
        </w:rPr>
      </w:pPr>
      <w:r>
        <w:rPr>
          <w:rFonts w:ascii="Arial" w:cs="Arial" w:eastAsia="Arial" w:hAnsi="Arial"/>
          <w:sz w:val="15"/>
          <w:szCs w:val="15"/>
          <w:color w:val="auto"/>
        </w:rPr>
        <w:t>The following tables present the unaudited quarterly historical consolidated financial and other data for each of the quarters ended September 30, 2021, June 30, 2021, March 31, 2021, December 31, 2020, September 30, 2020, June 30, 2020, March 31, 2020 and December 31, 2019, the period July 16, 2019 to September 30, 2019, the period from July 1, 2019 to July 15, 2019 and each of the quarters ended June 30, 2019 and March 31, 2019. The unaudited quarterly historical consolidated financial and other data have been prepared on the same basis as the audited consolidated financial statements of Definitive OpCo and its subsidiaries included elsewhere in this prospectus. In our opinion, the unaudited quarterly historical consolidated financial information includes all adjustments, which include normal recurring adjustments necessary to present fairly in all material respects our financial position and results of operations for these periods. This information should be read in conjunction with the consolidated financial statements of Definitive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w w:val="94"/>
              </w:rPr>
              <w:t>Successor</w:t>
            </w: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89"/>
              </w:rPr>
              <w:t>Predecessor</w:t>
            </w: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5"/>
        </w:trPr>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w w:val="89"/>
              </w:rPr>
              <w:t>Period</w:t>
            </w:r>
          </w:p>
        </w:tc>
        <w:tc>
          <w:tcPr>
            <w:tcW w:w="60" w:type="dxa"/>
            <w:vAlign w:val="bottom"/>
          </w:tcPr>
          <w:p>
            <w:pPr>
              <w:spacing w:after="0"/>
              <w:rPr>
                <w:sz w:val="8"/>
                <w:szCs w:val="8"/>
                <w:color w:val="auto"/>
              </w:rPr>
            </w:pPr>
          </w:p>
        </w:tc>
        <w:tc>
          <w:tcPr>
            <w:tcW w:w="540" w:type="dxa"/>
            <w:vAlign w:val="bottom"/>
            <w:gridSpan w:val="2"/>
          </w:tcPr>
          <w:p>
            <w:pPr>
              <w:jc w:val="center"/>
              <w:ind w:right="120"/>
              <w:spacing w:after="0" w:line="95" w:lineRule="exact"/>
              <w:rPr>
                <w:sz w:val="20"/>
                <w:szCs w:val="20"/>
                <w:color w:val="auto"/>
              </w:rPr>
            </w:pPr>
            <w:r>
              <w:rPr>
                <w:rFonts w:ascii="Arial" w:cs="Arial" w:eastAsia="Arial" w:hAnsi="Arial"/>
                <w:sz w:val="10"/>
                <w:szCs w:val="10"/>
                <w:b w:val="1"/>
                <w:bCs w:val="1"/>
                <w:color w:val="auto"/>
                <w:w w:val="95"/>
              </w:rPr>
              <w:t>Three</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880" w:type="dxa"/>
            <w:vAlign w:val="bottom"/>
            <w:tcBorders>
              <w:right w:val="single" w:sz="8" w:color="auto"/>
            </w:tcBorders>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92"/>
              </w:rPr>
              <w:t>Period from</w:t>
            </w:r>
          </w:p>
        </w:tc>
        <w:tc>
          <w:tcPr>
            <w:tcW w:w="180" w:type="dxa"/>
            <w:vAlign w:val="bottom"/>
          </w:tcPr>
          <w:p>
            <w:pPr>
              <w:spacing w:after="0"/>
              <w:rPr>
                <w:sz w:val="9"/>
                <w:szCs w:val="9"/>
                <w:color w:val="auto"/>
              </w:rPr>
            </w:pPr>
          </w:p>
        </w:tc>
        <w:tc>
          <w:tcPr>
            <w:tcW w:w="4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9"/>
              </w:rPr>
              <w:t>from</w:t>
            </w:r>
          </w:p>
        </w:tc>
        <w:tc>
          <w:tcPr>
            <w:tcW w:w="60" w:type="dxa"/>
            <w:vAlign w:val="bottom"/>
          </w:tcPr>
          <w:p>
            <w:pPr>
              <w:spacing w:after="0"/>
              <w:rPr>
                <w:sz w:val="9"/>
                <w:szCs w:val="9"/>
                <w:color w:val="auto"/>
              </w:rPr>
            </w:pPr>
          </w:p>
        </w:tc>
        <w:tc>
          <w:tcPr>
            <w:tcW w:w="5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5"/>
              </w:rPr>
              <w:t>Months</w:t>
            </w:r>
          </w:p>
        </w:tc>
        <w:tc>
          <w:tcPr>
            <w:tcW w:w="50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95"/>
              </w:rPr>
              <w:t>Three</w:t>
            </w:r>
          </w:p>
        </w:tc>
      </w:tr>
      <w:tr>
        <w:trPr>
          <w:trHeight w:val="114"/>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Months</w:t>
            </w:r>
          </w:p>
        </w:tc>
        <w:tc>
          <w:tcPr>
            <w:tcW w:w="72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4"/>
              </w:rPr>
              <w:t>Three Months</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880" w:type="dxa"/>
            <w:vAlign w:val="bottom"/>
            <w:tcBorders>
              <w:right w:val="single" w:sz="8" w:color="auto"/>
            </w:tcBorders>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93"/>
              </w:rPr>
              <w:t>July 16, 2019</w:t>
            </w:r>
          </w:p>
        </w:tc>
        <w:tc>
          <w:tcPr>
            <w:tcW w:w="180" w:type="dxa"/>
            <w:vAlign w:val="bottom"/>
          </w:tcPr>
          <w:p>
            <w:pPr>
              <w:spacing w:after="0"/>
              <w:rPr>
                <w:sz w:val="9"/>
                <w:szCs w:val="9"/>
                <w:color w:val="auto"/>
              </w:rPr>
            </w:pPr>
          </w:p>
        </w:tc>
        <w:tc>
          <w:tcPr>
            <w:tcW w:w="4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9"/>
              </w:rPr>
              <w:t>July 1,</w:t>
            </w:r>
          </w:p>
        </w:tc>
        <w:tc>
          <w:tcPr>
            <w:tcW w:w="60" w:type="dxa"/>
            <w:vAlign w:val="bottom"/>
          </w:tcPr>
          <w:p>
            <w:pPr>
              <w:spacing w:after="0"/>
              <w:rPr>
                <w:sz w:val="9"/>
                <w:szCs w:val="9"/>
                <w:color w:val="auto"/>
              </w:rPr>
            </w:pPr>
          </w:p>
        </w:tc>
        <w:tc>
          <w:tcPr>
            <w:tcW w:w="5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1"/>
              </w:rPr>
              <w:t>Ended</w:t>
            </w:r>
          </w:p>
        </w:tc>
        <w:tc>
          <w:tcPr>
            <w:tcW w:w="50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95"/>
              </w:rPr>
              <w:t>Months</w:t>
            </w:r>
          </w:p>
        </w:tc>
      </w:tr>
      <w:tr>
        <w:trPr>
          <w:trHeight w:val="114"/>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6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6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to</w:t>
            </w:r>
          </w:p>
        </w:tc>
        <w:tc>
          <w:tcPr>
            <w:tcW w:w="180" w:type="dxa"/>
            <w:vAlign w:val="bottom"/>
          </w:tcPr>
          <w:p>
            <w:pPr>
              <w:spacing w:after="0"/>
              <w:rPr>
                <w:sz w:val="9"/>
                <w:szCs w:val="9"/>
                <w:color w:val="auto"/>
              </w:rPr>
            </w:pPr>
          </w:p>
        </w:tc>
        <w:tc>
          <w:tcPr>
            <w:tcW w:w="4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2"/>
              </w:rPr>
              <w:t>2019 to</w:t>
            </w:r>
          </w:p>
        </w:tc>
        <w:tc>
          <w:tcPr>
            <w:tcW w:w="60" w:type="dxa"/>
            <w:vAlign w:val="bottom"/>
          </w:tcPr>
          <w:p>
            <w:pPr>
              <w:spacing w:after="0"/>
              <w:rPr>
                <w:sz w:val="9"/>
                <w:szCs w:val="9"/>
                <w:color w:val="auto"/>
              </w:rPr>
            </w:pPr>
          </w:p>
        </w:tc>
        <w:tc>
          <w:tcPr>
            <w:tcW w:w="5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5"/>
              </w:rPr>
              <w:t>June</w:t>
            </w:r>
          </w:p>
        </w:tc>
        <w:tc>
          <w:tcPr>
            <w:tcW w:w="50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91"/>
              </w:rPr>
              <w:t>Ended</w:t>
            </w:r>
          </w:p>
        </w:tc>
      </w:tr>
      <w:tr>
        <w:trPr>
          <w:trHeight w:val="114"/>
        </w:trPr>
        <w:tc>
          <w:tcPr>
            <w:tcW w:w="2080" w:type="dxa"/>
            <w:vAlign w:val="bottom"/>
          </w:tcPr>
          <w:p>
            <w:pPr>
              <w:spacing w:after="0"/>
              <w:rPr>
                <w:sz w:val="9"/>
                <w:szCs w:val="9"/>
                <w:color w:val="auto"/>
              </w:rPr>
            </w:pPr>
          </w:p>
        </w:tc>
        <w:tc>
          <w:tcPr>
            <w:tcW w:w="72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 w:type="dxa"/>
            <w:vAlign w:val="bottom"/>
          </w:tcPr>
          <w:p>
            <w:pPr>
              <w:spacing w:after="0"/>
              <w:rPr>
                <w:sz w:val="9"/>
                <w:szCs w:val="9"/>
                <w:color w:val="auto"/>
              </w:rPr>
            </w:pPr>
          </w:p>
        </w:tc>
        <w:tc>
          <w:tcPr>
            <w:tcW w:w="5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6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March 31,</w:t>
            </w:r>
          </w:p>
        </w:tc>
        <w:tc>
          <w:tcPr>
            <w:tcW w:w="74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78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6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March 31,</w:t>
            </w:r>
          </w:p>
        </w:tc>
        <w:tc>
          <w:tcPr>
            <w:tcW w:w="74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880" w:type="dxa"/>
            <w:vAlign w:val="bottom"/>
            <w:tcBorders>
              <w:right w:val="single" w:sz="8" w:color="auto"/>
            </w:tcBorders>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180" w:type="dxa"/>
            <w:vAlign w:val="bottom"/>
          </w:tcPr>
          <w:p>
            <w:pPr>
              <w:spacing w:after="0"/>
              <w:rPr>
                <w:sz w:val="9"/>
                <w:szCs w:val="9"/>
                <w:color w:val="auto"/>
              </w:rPr>
            </w:pPr>
          </w:p>
        </w:tc>
        <w:tc>
          <w:tcPr>
            <w:tcW w:w="46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92"/>
              </w:rPr>
              <w:t>July 15,</w:t>
            </w:r>
          </w:p>
        </w:tc>
        <w:tc>
          <w:tcPr>
            <w:tcW w:w="480" w:type="dxa"/>
            <w:vAlign w:val="bottom"/>
            <w:gridSpan w:val="2"/>
          </w:tcPr>
          <w:p>
            <w:pPr>
              <w:jc w:val="right"/>
              <w:ind w:right="88"/>
              <w:spacing w:after="0" w:line="114" w:lineRule="exact"/>
              <w:rPr>
                <w:sz w:val="20"/>
                <w:szCs w:val="20"/>
                <w:color w:val="auto"/>
              </w:rPr>
            </w:pPr>
            <w:r>
              <w:rPr>
                <w:rFonts w:ascii="Arial" w:cs="Arial" w:eastAsia="Arial" w:hAnsi="Arial"/>
                <w:sz w:val="10"/>
                <w:szCs w:val="10"/>
                <w:b w:val="1"/>
                <w:bCs w:val="1"/>
                <w:color w:val="auto"/>
              </w:rPr>
              <w:t>30,</w:t>
            </w:r>
          </w:p>
        </w:tc>
        <w:tc>
          <w:tcPr>
            <w:tcW w:w="120" w:type="dxa"/>
            <w:vAlign w:val="bottom"/>
          </w:tcPr>
          <w:p>
            <w:pPr>
              <w:spacing w:after="0"/>
              <w:rPr>
                <w:sz w:val="9"/>
                <w:szCs w:val="9"/>
                <w:color w:val="auto"/>
              </w:rPr>
            </w:pPr>
          </w:p>
        </w:tc>
        <w:tc>
          <w:tcPr>
            <w:tcW w:w="50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99"/>
              </w:rPr>
              <w:t>March 31,</w:t>
            </w:r>
          </w:p>
        </w:tc>
      </w:tr>
      <w:tr>
        <w:trPr>
          <w:trHeight w:val="126"/>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4"/>
              <w:spacing w:after="0"/>
              <w:rPr>
                <w:sz w:val="20"/>
                <w:szCs w:val="20"/>
                <w:color w:val="auto"/>
              </w:rPr>
            </w:pPr>
            <w:r>
              <w:rPr>
                <w:rFonts w:ascii="Arial" w:cs="Arial" w:eastAsia="Arial" w:hAnsi="Arial"/>
                <w:sz w:val="10"/>
                <w:szCs w:val="10"/>
                <w:b w:val="1"/>
                <w:bCs w:val="1"/>
                <w:color w:val="auto"/>
                <w:w w:val="91"/>
              </w:rPr>
              <w:t>2020 (1)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43"/>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4"/>
              <w:spacing w:after="0"/>
              <w:rPr>
                <w:sz w:val="20"/>
                <w:szCs w:val="20"/>
                <w:color w:val="auto"/>
              </w:rPr>
            </w:pPr>
            <w:r>
              <w:rPr>
                <w:rFonts w:ascii="Arial" w:cs="Arial" w:eastAsia="Arial" w:hAnsi="Arial"/>
                <w:sz w:val="10"/>
                <w:szCs w:val="10"/>
                <w:b w:val="1"/>
                <w:bCs w:val="1"/>
                <w:color w:val="auto"/>
                <w:w w:val="91"/>
              </w:rPr>
              <w:t>2019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2"/>
              <w:spacing w:after="0"/>
              <w:rPr>
                <w:sz w:val="20"/>
                <w:szCs w:val="20"/>
                <w:color w:val="auto"/>
              </w:rPr>
            </w:pPr>
            <w:r>
              <w:rPr>
                <w:rFonts w:ascii="Arial" w:cs="Arial" w:eastAsia="Arial" w:hAnsi="Arial"/>
                <w:sz w:val="10"/>
                <w:szCs w:val="10"/>
                <w:b w:val="1"/>
                <w:bCs w:val="1"/>
                <w:color w:val="auto"/>
                <w:w w:val="91"/>
              </w:rPr>
              <w:t>2019 (3)</w:t>
            </w:r>
          </w:p>
        </w:tc>
        <w:tc>
          <w:tcPr>
            <w:tcW w:w="260" w:type="dxa"/>
            <w:vAlign w:val="bottom"/>
            <w:tcBorders>
              <w:right w:val="single" w:sz="8" w:color="auto"/>
            </w:tcBorders>
          </w:tcPr>
          <w:p>
            <w:pPr>
              <w:spacing w:after="0"/>
              <w:rPr>
                <w:sz w:val="10"/>
                <w:szCs w:val="10"/>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 (3)</w:t>
            </w:r>
          </w:p>
        </w:tc>
        <w:tc>
          <w:tcPr>
            <w:tcW w:w="100" w:type="dxa"/>
            <w:vAlign w:val="bottom"/>
          </w:tcPr>
          <w:p>
            <w:pPr>
              <w:spacing w:after="0"/>
              <w:rPr>
                <w:sz w:val="10"/>
                <w:szCs w:val="10"/>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1"/>
              </w:rPr>
              <w:t>2019 (4)</w:t>
            </w:r>
          </w:p>
        </w:tc>
        <w:tc>
          <w:tcPr>
            <w:tcW w:w="40" w:type="dxa"/>
            <w:vAlign w:val="bottom"/>
          </w:tcPr>
          <w:p>
            <w:pPr>
              <w:spacing w:after="0"/>
              <w:rPr>
                <w:sz w:val="10"/>
                <w:szCs w:val="10"/>
                <w:color w:val="auto"/>
              </w:rPr>
            </w:pPr>
          </w:p>
        </w:tc>
      </w:tr>
      <w:tr>
        <w:trPr>
          <w:trHeight w:val="119"/>
        </w:trPr>
        <w:tc>
          <w:tcPr>
            <w:tcW w:w="208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43,084</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$ 39,821</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$ 36,936</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33,658</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30,073</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28,245</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$ 26,341</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23,233</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16,812</w:t>
            </w:r>
          </w:p>
        </w:tc>
        <w:tc>
          <w:tcPr>
            <w:tcW w:w="260" w:type="dxa"/>
            <w:vAlign w:val="bottom"/>
            <w:tcBorders>
              <w:top w:val="single" w:sz="8" w:color="CCEEFF"/>
              <w:right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4"/>
              </w:rPr>
              <w:t>$ 3,829</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5"/>
              </w:rPr>
              <w:t>$ 22,631</w:t>
            </w: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$ 18,998</w:t>
            </w:r>
          </w:p>
        </w:tc>
        <w:tc>
          <w:tcPr>
            <w:tcW w:w="40" w:type="dxa"/>
            <w:vAlign w:val="bottom"/>
            <w:tcBorders>
              <w:top w:val="single" w:sz="8" w:color="CCEEFF"/>
            </w:tcBorders>
            <w:shd w:val="clear" w:color="auto" w:fill="CCEEFF"/>
          </w:tcPr>
          <w:p>
            <w:pPr>
              <w:spacing w:after="0"/>
              <w:rPr>
                <w:sz w:val="10"/>
                <w:szCs w:val="10"/>
                <w:color w:val="auto"/>
              </w:rPr>
            </w:pPr>
          </w:p>
        </w:tc>
      </w:tr>
      <w:tr>
        <w:trPr>
          <w:trHeight w:val="139"/>
        </w:trPr>
        <w:tc>
          <w:tcPr>
            <w:tcW w:w="2080" w:type="dxa"/>
            <w:vAlign w:val="bottom"/>
          </w:tcPr>
          <w:p>
            <w:pPr>
              <w:spacing w:after="0"/>
              <w:rPr>
                <w:sz w:val="20"/>
                <w:szCs w:val="20"/>
                <w:color w:val="auto"/>
              </w:rPr>
            </w:pPr>
            <w:r>
              <w:rPr>
                <w:rFonts w:ascii="Arial" w:cs="Arial" w:eastAsia="Arial" w:hAnsi="Arial"/>
                <w:sz w:val="12"/>
                <w:szCs w:val="12"/>
                <w:color w:val="auto"/>
              </w:rPr>
              <w:t>Gross profit</w:t>
            </w:r>
          </w:p>
        </w:tc>
        <w:tc>
          <w:tcPr>
            <w:tcW w:w="100" w:type="dxa"/>
            <w:vAlign w:val="bottom"/>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3"/>
                <w:szCs w:val="13"/>
                <w:color w:val="auto"/>
              </w:rPr>
              <w:t>32,599</w:t>
            </w:r>
          </w:p>
        </w:tc>
        <w:tc>
          <w:tcPr>
            <w:tcW w:w="100" w:type="dxa"/>
            <w:vAlign w:val="bottom"/>
          </w:tcPr>
          <w:p>
            <w:pPr>
              <w:spacing w:after="0"/>
              <w:rPr>
                <w:sz w:val="12"/>
                <w:szCs w:val="12"/>
                <w:color w:val="auto"/>
              </w:rPr>
            </w:pPr>
          </w:p>
        </w:tc>
        <w:tc>
          <w:tcPr>
            <w:tcW w:w="52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29,952</w:t>
            </w:r>
          </w:p>
        </w:tc>
        <w:tc>
          <w:tcPr>
            <w:tcW w:w="100" w:type="dxa"/>
            <w:vAlign w:val="bottom"/>
          </w:tcPr>
          <w:p>
            <w:pPr>
              <w:spacing w:after="0"/>
              <w:rPr>
                <w:sz w:val="12"/>
                <w:szCs w:val="12"/>
                <w:color w:val="auto"/>
              </w:rPr>
            </w:pPr>
          </w:p>
        </w:tc>
        <w:tc>
          <w:tcPr>
            <w:tcW w:w="660" w:type="dxa"/>
            <w:vAlign w:val="bottom"/>
            <w:gridSpan w:val="3"/>
          </w:tcPr>
          <w:p>
            <w:pPr>
              <w:jc w:val="right"/>
              <w:ind w:right="160"/>
              <w:spacing w:after="0" w:line="139" w:lineRule="exact"/>
              <w:rPr>
                <w:sz w:val="20"/>
                <w:szCs w:val="20"/>
                <w:color w:val="auto"/>
              </w:rPr>
            </w:pPr>
            <w:r>
              <w:rPr>
                <w:rFonts w:ascii="Arial" w:cs="Arial" w:eastAsia="Arial" w:hAnsi="Arial"/>
                <w:sz w:val="13"/>
                <w:szCs w:val="13"/>
                <w:color w:val="auto"/>
              </w:rPr>
              <w:t>27,499</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25,344</w:t>
            </w:r>
          </w:p>
        </w:tc>
        <w:tc>
          <w:tcPr>
            <w:tcW w:w="100" w:type="dxa"/>
            <w:vAlign w:val="bottom"/>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3"/>
                <w:szCs w:val="13"/>
                <w:color w:val="auto"/>
              </w:rPr>
              <w:t>22,660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39" w:lineRule="exact"/>
              <w:rPr>
                <w:sz w:val="20"/>
                <w:szCs w:val="20"/>
                <w:color w:val="auto"/>
              </w:rPr>
            </w:pPr>
            <w:r>
              <w:rPr>
                <w:rFonts w:ascii="Arial" w:cs="Arial" w:eastAsia="Arial" w:hAnsi="Arial"/>
                <w:sz w:val="13"/>
                <w:szCs w:val="13"/>
                <w:color w:val="auto"/>
              </w:rPr>
              <w:t>20,939</w:t>
            </w:r>
          </w:p>
        </w:tc>
        <w:tc>
          <w:tcPr>
            <w:tcW w:w="100" w:type="dxa"/>
            <w:vAlign w:val="bottom"/>
          </w:tcPr>
          <w:p>
            <w:pPr>
              <w:spacing w:after="0"/>
              <w:rPr>
                <w:sz w:val="12"/>
                <w:szCs w:val="12"/>
                <w:color w:val="auto"/>
              </w:rPr>
            </w:pPr>
          </w:p>
        </w:tc>
        <w:tc>
          <w:tcPr>
            <w:tcW w:w="660" w:type="dxa"/>
            <w:vAlign w:val="bottom"/>
            <w:gridSpan w:val="3"/>
          </w:tcPr>
          <w:p>
            <w:pPr>
              <w:jc w:val="right"/>
              <w:ind w:right="160"/>
              <w:spacing w:after="0" w:line="139" w:lineRule="exact"/>
              <w:rPr>
                <w:sz w:val="20"/>
                <w:szCs w:val="20"/>
                <w:color w:val="auto"/>
              </w:rPr>
            </w:pPr>
            <w:r>
              <w:rPr>
                <w:rFonts w:ascii="Arial" w:cs="Arial" w:eastAsia="Arial" w:hAnsi="Arial"/>
                <w:sz w:val="13"/>
                <w:szCs w:val="13"/>
                <w:color w:val="auto"/>
              </w:rPr>
              <w:t>18,906</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15,796</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60"/>
              <w:spacing w:after="0" w:line="139" w:lineRule="exact"/>
              <w:rPr>
                <w:sz w:val="20"/>
                <w:szCs w:val="20"/>
                <w:color w:val="auto"/>
              </w:rPr>
            </w:pPr>
            <w:r>
              <w:rPr>
                <w:rFonts w:ascii="Arial" w:cs="Arial" w:eastAsia="Arial" w:hAnsi="Arial"/>
                <w:sz w:val="13"/>
                <w:szCs w:val="13"/>
                <w:color w:val="auto"/>
              </w:rPr>
              <w:t>10,967</w:t>
            </w:r>
          </w:p>
        </w:tc>
        <w:tc>
          <w:tcPr>
            <w:tcW w:w="54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3,297</w:t>
            </w:r>
          </w:p>
        </w:tc>
        <w:tc>
          <w:tcPr>
            <w:tcW w:w="100" w:type="dxa"/>
            <w:vAlign w:val="bottom"/>
          </w:tcPr>
          <w:p>
            <w:pPr>
              <w:spacing w:after="0"/>
              <w:rPr>
                <w:sz w:val="12"/>
                <w:szCs w:val="12"/>
                <w:color w:val="auto"/>
              </w:rPr>
            </w:pPr>
          </w:p>
        </w:tc>
        <w:tc>
          <w:tcPr>
            <w:tcW w:w="600" w:type="dxa"/>
            <w:vAlign w:val="bottom"/>
            <w:gridSpan w:val="3"/>
          </w:tcPr>
          <w:p>
            <w:pPr>
              <w:jc w:val="right"/>
              <w:ind w:right="120"/>
              <w:spacing w:after="0" w:line="139" w:lineRule="exact"/>
              <w:rPr>
                <w:sz w:val="20"/>
                <w:szCs w:val="20"/>
                <w:color w:val="auto"/>
              </w:rPr>
            </w:pPr>
            <w:r>
              <w:rPr>
                <w:rFonts w:ascii="Arial" w:cs="Arial" w:eastAsia="Arial" w:hAnsi="Arial"/>
                <w:sz w:val="13"/>
                <w:szCs w:val="13"/>
                <w:color w:val="auto"/>
              </w:rPr>
              <w:t>20,177</w:t>
            </w:r>
          </w:p>
        </w:tc>
        <w:tc>
          <w:tcPr>
            <w:tcW w:w="460" w:type="dxa"/>
            <w:vAlign w:val="bottom"/>
          </w:tcPr>
          <w:p>
            <w:pPr>
              <w:jc w:val="right"/>
              <w:spacing w:after="0" w:line="139" w:lineRule="exact"/>
              <w:rPr>
                <w:sz w:val="20"/>
                <w:szCs w:val="20"/>
                <w:color w:val="auto"/>
              </w:rPr>
            </w:pPr>
            <w:r>
              <w:rPr>
                <w:rFonts w:ascii="Arial" w:cs="Arial" w:eastAsia="Arial" w:hAnsi="Arial"/>
                <w:sz w:val="13"/>
                <w:szCs w:val="13"/>
                <w:color w:val="auto"/>
              </w:rPr>
              <w:t>16,656</w:t>
            </w:r>
          </w:p>
        </w:tc>
        <w:tc>
          <w:tcPr>
            <w:tcW w:w="40" w:type="dxa"/>
            <w:vAlign w:val="bottom"/>
          </w:tcPr>
          <w:p>
            <w:pPr>
              <w:spacing w:after="0"/>
              <w:rPr>
                <w:sz w:val="12"/>
                <w:szCs w:val="12"/>
                <w:color w:val="auto"/>
              </w:rPr>
            </w:pPr>
          </w:p>
        </w:tc>
      </w:tr>
      <w:tr>
        <w:trPr>
          <w:trHeight w:val="139"/>
        </w:trPr>
        <w:tc>
          <w:tcPr>
            <w:tcW w:w="20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income from operations</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(4,026)</w:t>
            </w:r>
          </w:p>
        </w:tc>
        <w:tc>
          <w:tcPr>
            <w:tcW w:w="62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(6,623)</w:t>
            </w:r>
          </w:p>
        </w:tc>
        <w:tc>
          <w:tcPr>
            <w:tcW w:w="660" w:type="dxa"/>
            <w:vAlign w:val="bottom"/>
            <w:gridSpan w:val="3"/>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(2,158)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(6,952)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(940)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(2,170)</w:t>
            </w:r>
          </w:p>
        </w:tc>
        <w:tc>
          <w:tcPr>
            <w:tcW w:w="660" w:type="dxa"/>
            <w:vAlign w:val="bottom"/>
            <w:gridSpan w:val="3"/>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(4,383)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(8,586)</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(22,476)</w:t>
            </w:r>
          </w:p>
        </w:tc>
        <w:tc>
          <w:tcPr>
            <w:tcW w:w="64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(647)</w:t>
            </w:r>
          </w:p>
        </w:tc>
        <w:tc>
          <w:tcPr>
            <w:tcW w:w="600" w:type="dxa"/>
            <w:vAlign w:val="bottom"/>
            <w:gridSpan w:val="3"/>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8,022</w:t>
            </w: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5,658</w:t>
            </w:r>
          </w:p>
        </w:tc>
        <w:tc>
          <w:tcPr>
            <w:tcW w:w="40" w:type="dxa"/>
            <w:vAlign w:val="bottom"/>
            <w:shd w:val="clear" w:color="auto" w:fill="CCEEFF"/>
          </w:tcPr>
          <w:p>
            <w:pPr>
              <w:spacing w:after="0"/>
              <w:rPr>
                <w:sz w:val="12"/>
                <w:szCs w:val="12"/>
                <w:color w:val="auto"/>
              </w:rPr>
            </w:pPr>
          </w:p>
        </w:tc>
      </w:tr>
      <w:tr>
        <w:trPr>
          <w:trHeight w:val="139"/>
        </w:trPr>
        <w:tc>
          <w:tcPr>
            <w:tcW w:w="2080" w:type="dxa"/>
            <w:vAlign w:val="bottom"/>
          </w:tcPr>
          <w:p>
            <w:pPr>
              <w:spacing w:after="0"/>
              <w:rPr>
                <w:sz w:val="20"/>
                <w:szCs w:val="20"/>
                <w:color w:val="auto"/>
              </w:rPr>
            </w:pPr>
            <w:r>
              <w:rPr>
                <w:rFonts w:ascii="Arial" w:cs="Arial" w:eastAsia="Arial" w:hAnsi="Arial"/>
                <w:sz w:val="12"/>
                <w:szCs w:val="12"/>
                <w:color w:val="auto"/>
              </w:rPr>
              <w:t>Net (loss) income</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(20,966)</w:t>
            </w:r>
          </w:p>
        </w:tc>
        <w:tc>
          <w:tcPr>
            <w:tcW w:w="620" w:type="dxa"/>
            <w:vAlign w:val="bottom"/>
            <w:gridSpan w:val="3"/>
          </w:tcPr>
          <w:p>
            <w:pPr>
              <w:jc w:val="right"/>
              <w:ind w:right="60"/>
              <w:spacing w:after="0" w:line="139" w:lineRule="exact"/>
              <w:rPr>
                <w:sz w:val="20"/>
                <w:szCs w:val="20"/>
                <w:color w:val="auto"/>
              </w:rPr>
            </w:pPr>
            <w:r>
              <w:rPr>
                <w:rFonts w:ascii="Arial" w:cs="Arial" w:eastAsia="Arial" w:hAnsi="Arial"/>
                <w:sz w:val="13"/>
                <w:szCs w:val="13"/>
                <w:color w:val="auto"/>
              </w:rPr>
              <w:t>(15,039)</w:t>
            </w:r>
          </w:p>
        </w:tc>
        <w:tc>
          <w:tcPr>
            <w:tcW w:w="660" w:type="dxa"/>
            <w:vAlign w:val="bottom"/>
            <w:gridSpan w:val="3"/>
          </w:tcPr>
          <w:p>
            <w:pPr>
              <w:jc w:val="right"/>
              <w:ind w:right="120"/>
              <w:spacing w:after="0" w:line="139" w:lineRule="exact"/>
              <w:rPr>
                <w:sz w:val="20"/>
                <w:szCs w:val="20"/>
                <w:color w:val="auto"/>
              </w:rPr>
            </w:pPr>
            <w:r>
              <w:rPr>
                <w:rFonts w:ascii="Arial" w:cs="Arial" w:eastAsia="Arial" w:hAnsi="Arial"/>
                <w:sz w:val="13"/>
                <w:szCs w:val="13"/>
                <w:color w:val="auto"/>
              </w:rPr>
              <w:t>(10,488)</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(15,862)</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(9,962)</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(11,498)</w:t>
            </w:r>
          </w:p>
        </w:tc>
        <w:tc>
          <w:tcPr>
            <w:tcW w:w="660" w:type="dxa"/>
            <w:vAlign w:val="bottom"/>
            <w:gridSpan w:val="3"/>
          </w:tcPr>
          <w:p>
            <w:pPr>
              <w:jc w:val="right"/>
              <w:ind w:right="120"/>
              <w:spacing w:after="0" w:line="139" w:lineRule="exact"/>
              <w:rPr>
                <w:sz w:val="20"/>
                <w:szCs w:val="20"/>
                <w:color w:val="auto"/>
              </w:rPr>
            </w:pPr>
            <w:r>
              <w:rPr>
                <w:rFonts w:ascii="Arial" w:cs="Arial" w:eastAsia="Arial" w:hAnsi="Arial"/>
                <w:sz w:val="13"/>
                <w:szCs w:val="13"/>
                <w:color w:val="auto"/>
              </w:rPr>
              <w:t>(13,835)</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(18,480)</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line="139" w:lineRule="exact"/>
              <w:rPr>
                <w:sz w:val="20"/>
                <w:szCs w:val="20"/>
                <w:color w:val="auto"/>
              </w:rPr>
            </w:pPr>
            <w:r>
              <w:rPr>
                <w:rFonts w:ascii="Arial" w:cs="Arial" w:eastAsia="Arial" w:hAnsi="Arial"/>
                <w:sz w:val="13"/>
                <w:szCs w:val="13"/>
                <w:color w:val="auto"/>
              </w:rPr>
              <w:t>(30,786)</w:t>
            </w:r>
          </w:p>
        </w:tc>
        <w:tc>
          <w:tcPr>
            <w:tcW w:w="640" w:type="dxa"/>
            <w:vAlign w:val="bottom"/>
            <w:gridSpan w:val="3"/>
          </w:tcPr>
          <w:p>
            <w:pPr>
              <w:jc w:val="right"/>
              <w:ind w:right="60"/>
              <w:spacing w:after="0" w:line="139" w:lineRule="exact"/>
              <w:rPr>
                <w:sz w:val="20"/>
                <w:szCs w:val="20"/>
                <w:color w:val="auto"/>
              </w:rPr>
            </w:pPr>
            <w:r>
              <w:rPr>
                <w:rFonts w:ascii="Arial" w:cs="Arial" w:eastAsia="Arial" w:hAnsi="Arial"/>
                <w:sz w:val="13"/>
                <w:szCs w:val="13"/>
                <w:color w:val="auto"/>
              </w:rPr>
              <w:t>(639)</w:t>
            </w:r>
          </w:p>
        </w:tc>
        <w:tc>
          <w:tcPr>
            <w:tcW w:w="600" w:type="dxa"/>
            <w:vAlign w:val="bottom"/>
            <w:gridSpan w:val="3"/>
          </w:tcPr>
          <w:p>
            <w:pPr>
              <w:jc w:val="right"/>
              <w:ind w:right="120"/>
              <w:spacing w:after="0" w:line="139" w:lineRule="exact"/>
              <w:rPr>
                <w:sz w:val="20"/>
                <w:szCs w:val="20"/>
                <w:color w:val="auto"/>
              </w:rPr>
            </w:pPr>
            <w:r>
              <w:rPr>
                <w:rFonts w:ascii="Arial" w:cs="Arial" w:eastAsia="Arial" w:hAnsi="Arial"/>
                <w:sz w:val="13"/>
                <w:szCs w:val="13"/>
                <w:color w:val="auto"/>
              </w:rPr>
              <w:t>7,964</w:t>
            </w:r>
          </w:p>
        </w:tc>
        <w:tc>
          <w:tcPr>
            <w:tcW w:w="460" w:type="dxa"/>
            <w:vAlign w:val="bottom"/>
          </w:tcPr>
          <w:p>
            <w:pPr>
              <w:jc w:val="right"/>
              <w:spacing w:after="0" w:line="139" w:lineRule="exact"/>
              <w:rPr>
                <w:sz w:val="20"/>
                <w:szCs w:val="20"/>
                <w:color w:val="auto"/>
              </w:rPr>
            </w:pPr>
            <w:r>
              <w:rPr>
                <w:rFonts w:ascii="Arial" w:cs="Arial" w:eastAsia="Arial" w:hAnsi="Arial"/>
                <w:sz w:val="13"/>
                <w:szCs w:val="13"/>
                <w:color w:val="auto"/>
              </w:rPr>
              <w:t>5,543</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right="240" w:hanging="403"/>
        <w:spacing w:after="0" w:line="269" w:lineRule="auto"/>
        <w:tabs>
          <w:tab w:leader="none" w:pos="8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completed the purchase of all of the outstanding shares of Monocl in December 2020 for a total estimated consideration of $46.3 million and up to $60.0 million, consisting of approximately $18.3 million of cash payable at closing, $25.4 million of rollover equity of the Company indirectly through an affiliate, AIDH Management Holdings, LLC, and up to $15.0 million of contingent consideration.</w:t>
      </w:r>
    </w:p>
    <w:p>
      <w:pPr>
        <w:ind w:left="860" w:right="580" w:hanging="403"/>
        <w:spacing w:after="0" w:line="248" w:lineRule="auto"/>
        <w:tabs>
          <w:tab w:leader="none" w:pos="8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acquired 100% of the issued and outstanding common and preferred stock of HSE for a total purchase price of $6.8 million, consisting of $2.8 million of cash and $4.0 million of equity issued.</w:t>
      </w:r>
    </w:p>
    <w:p>
      <w:pPr>
        <w:spacing w:after="0" w:line="1" w:lineRule="exact"/>
        <w:rPr>
          <w:rFonts w:ascii="Arial" w:cs="Arial" w:eastAsia="Arial" w:hAnsi="Arial"/>
          <w:sz w:val="17"/>
          <w:szCs w:val="17"/>
          <w:color w:val="auto"/>
        </w:rPr>
      </w:pPr>
    </w:p>
    <w:p>
      <w:pPr>
        <w:ind w:left="860" w:right="120" w:hanging="403"/>
        <w:spacing w:after="0" w:line="264" w:lineRule="auto"/>
        <w:tabs>
          <w:tab w:leader="none" w:pos="8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July 16, 2019, Advent acquired 100% of the issued and outstanding units of the Company, for a total consideration of $1,699.6 million, consisting of $1,129.3 million of cash and $570.3 million of equity units issued to the sellers and former owners. As a result, our interest expense increased substantially and is reflected in our Successor periods consolidated financial statements. Accordingly, the consolidated financial statements for the period prior to the acquisition may not be comparable to those from the periods after.</w:t>
      </w:r>
    </w:p>
    <w:p>
      <w:pPr>
        <w:ind w:left="860" w:right="340" w:hanging="403"/>
        <w:spacing w:after="0" w:line="257" w:lineRule="auto"/>
        <w:tabs>
          <w:tab w:leader="none" w:pos="8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Predecessor Company acquired substantially all of the assets and assumed substantially all of the liabilities of HIMSS for a total purchase price of $29.8 million.</w:t>
      </w:r>
    </w:p>
    <w:p>
      <w:pPr>
        <w:spacing w:after="0" w:line="11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800"/>
          </w:cols>
          <w:pgMar w:left="320" w:top="440" w:right="77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2"/>
              </w:rPr>
              <w:t>Successor</w:t>
            </w: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lef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89"/>
              </w:rPr>
              <w:t>Predecessor</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ind w:right="44"/>
              <w:spacing w:after="0" w:line="95" w:lineRule="exact"/>
              <w:rPr>
                <w:sz w:val="20"/>
                <w:szCs w:val="20"/>
                <w:color w:val="auto"/>
              </w:rPr>
            </w:pPr>
            <w:r>
              <w:rPr>
                <w:rFonts w:ascii="Arial" w:cs="Arial" w:eastAsia="Arial" w:hAnsi="Arial"/>
                <w:sz w:val="10"/>
                <w:szCs w:val="10"/>
                <w:b w:val="1"/>
                <w:bCs w:val="1"/>
                <w:color w:val="auto"/>
                <w:w w:val="89"/>
              </w:rPr>
              <w:t>Period</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center"/>
              <w:ind w:right="140"/>
              <w:spacing w:after="0" w:line="95" w:lineRule="exact"/>
              <w:rPr>
                <w:sz w:val="20"/>
                <w:szCs w:val="20"/>
                <w:color w:val="auto"/>
              </w:rPr>
            </w:pPr>
            <w:r>
              <w:rPr>
                <w:rFonts w:ascii="Arial" w:cs="Arial" w:eastAsia="Arial" w:hAnsi="Arial"/>
                <w:sz w:val="10"/>
                <w:szCs w:val="10"/>
                <w:b w:val="1"/>
                <w:bCs w:val="1"/>
                <w:color w:val="auto"/>
                <w:w w:val="89"/>
              </w:rPr>
              <w:t>Period</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7"/>
              </w:rPr>
              <w:t>Three</w:t>
            </w:r>
          </w:p>
        </w:tc>
        <w:tc>
          <w:tcPr>
            <w:tcW w:w="60" w:type="dxa"/>
            <w:vAlign w:val="bottom"/>
          </w:tcPr>
          <w:p>
            <w:pPr>
              <w:spacing w:after="0"/>
              <w:rPr>
                <w:sz w:val="9"/>
                <w:szCs w:val="9"/>
                <w:color w:val="auto"/>
              </w:rPr>
            </w:pPr>
          </w:p>
        </w:tc>
        <w:tc>
          <w:tcPr>
            <w:tcW w:w="5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Three</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74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70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from</w:t>
            </w:r>
          </w:p>
        </w:tc>
        <w:tc>
          <w:tcPr>
            <w:tcW w:w="60" w:type="dxa"/>
            <w:vAlign w:val="bottom"/>
          </w:tcPr>
          <w:p>
            <w:pPr>
              <w:spacing w:after="0"/>
              <w:rPr>
                <w:sz w:val="9"/>
                <w:szCs w:val="9"/>
                <w:color w:val="auto"/>
              </w:rPr>
            </w:pPr>
          </w:p>
        </w:tc>
        <w:tc>
          <w:tcPr>
            <w:tcW w:w="5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64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74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64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82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0"/>
              </w:rPr>
              <w:t>July 16, 2019</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July 1,</w:t>
            </w:r>
          </w:p>
        </w:tc>
        <w:tc>
          <w:tcPr>
            <w:tcW w:w="60" w:type="dxa"/>
            <w:vAlign w:val="bottom"/>
          </w:tcPr>
          <w:p>
            <w:pPr>
              <w:spacing w:after="0"/>
              <w:rPr>
                <w:sz w:val="9"/>
                <w:szCs w:val="9"/>
                <w:color w:val="auto"/>
              </w:rPr>
            </w:pPr>
          </w:p>
        </w:tc>
        <w:tc>
          <w:tcPr>
            <w:tcW w:w="5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6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7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5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2"/>
              </w:rPr>
              <w:t>2019 to</w:t>
            </w:r>
          </w:p>
        </w:tc>
        <w:tc>
          <w:tcPr>
            <w:tcW w:w="60" w:type="dxa"/>
            <w:vAlign w:val="bottom"/>
          </w:tcPr>
          <w:p>
            <w:pPr>
              <w:spacing w:after="0"/>
              <w:rPr>
                <w:sz w:val="9"/>
                <w:szCs w:val="9"/>
                <w:color w:val="auto"/>
              </w:rPr>
            </w:pPr>
          </w:p>
        </w:tc>
        <w:tc>
          <w:tcPr>
            <w:tcW w:w="5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8"/>
              </w:rPr>
              <w:t>Ended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3"/>
        </w:trPr>
        <w:tc>
          <w:tcPr>
            <w:tcW w:w="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87"/>
              </w:rPr>
              <w:t>(</w:t>
            </w:r>
            <w:r>
              <w:rPr>
                <w:rFonts w:ascii="Arial" w:cs="Arial" w:eastAsia="Arial" w:hAnsi="Arial"/>
                <w:sz w:val="10"/>
                <w:szCs w:val="10"/>
                <w:b w:val="1"/>
                <w:bCs w:val="1"/>
                <w:color w:val="auto"/>
                <w:w w:val="87"/>
              </w:rPr>
              <w:t>$ in thousands)</w:t>
            </w:r>
          </w:p>
        </w:tc>
        <w:tc>
          <w:tcPr>
            <w:tcW w:w="1120" w:type="dxa"/>
            <w:vAlign w:val="bottom"/>
            <w:vMerge w:val="restart"/>
          </w:tcPr>
          <w:p>
            <w:pPr>
              <w:spacing w:after="0"/>
              <w:rPr>
                <w:sz w:val="9"/>
                <w:szCs w:val="9"/>
                <w:color w:val="auto"/>
              </w:rPr>
            </w:pPr>
          </w:p>
        </w:tc>
        <w:tc>
          <w:tcPr>
            <w:tcW w:w="820" w:type="dxa"/>
            <w:vAlign w:val="bottom"/>
            <w:gridSpan w:val="3"/>
          </w:tcPr>
          <w:p>
            <w:pPr>
              <w:jc w:val="center"/>
              <w:ind w:right="200"/>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600" w:type="dxa"/>
            <w:vAlign w:val="bottom"/>
            <w:gridSpan w:val="2"/>
          </w:tcPr>
          <w:p>
            <w:pPr>
              <w:jc w:val="center"/>
              <w:ind w:right="200"/>
              <w:spacing w:after="0" w:line="113" w:lineRule="exact"/>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3"/>
          </w:tcPr>
          <w:p>
            <w:pPr>
              <w:jc w:val="center"/>
              <w:ind w:right="200"/>
              <w:spacing w:after="0" w:line="113" w:lineRule="exact"/>
              <w:rPr>
                <w:sz w:val="20"/>
                <w:szCs w:val="20"/>
                <w:color w:val="auto"/>
              </w:rPr>
            </w:pPr>
            <w:r>
              <w:rPr>
                <w:rFonts w:ascii="Arial" w:cs="Arial" w:eastAsia="Arial" w:hAnsi="Arial"/>
                <w:sz w:val="10"/>
                <w:szCs w:val="10"/>
                <w:b w:val="1"/>
                <w:bCs w:val="1"/>
                <w:color w:val="auto"/>
                <w:w w:val="95"/>
              </w:rPr>
              <w:t>March 31,</w:t>
            </w:r>
          </w:p>
        </w:tc>
        <w:tc>
          <w:tcPr>
            <w:tcW w:w="800" w:type="dxa"/>
            <w:vAlign w:val="bottom"/>
            <w:gridSpan w:val="3"/>
          </w:tcPr>
          <w:p>
            <w:pPr>
              <w:jc w:val="center"/>
              <w:ind w:right="200"/>
              <w:spacing w:after="0" w:line="113" w:lineRule="exact"/>
              <w:rPr>
                <w:sz w:val="20"/>
                <w:szCs w:val="20"/>
                <w:color w:val="auto"/>
              </w:rPr>
            </w:pPr>
            <w:r>
              <w:rPr>
                <w:rFonts w:ascii="Arial" w:cs="Arial" w:eastAsia="Arial" w:hAnsi="Arial"/>
                <w:sz w:val="10"/>
                <w:szCs w:val="10"/>
                <w:b w:val="1"/>
                <w:bCs w:val="1"/>
                <w:color w:val="auto"/>
                <w:w w:val="92"/>
              </w:rPr>
              <w:t>December 31,</w:t>
            </w:r>
          </w:p>
        </w:tc>
        <w:tc>
          <w:tcPr>
            <w:tcW w:w="820" w:type="dxa"/>
            <w:vAlign w:val="bottom"/>
            <w:gridSpan w:val="3"/>
          </w:tcPr>
          <w:p>
            <w:pPr>
              <w:jc w:val="center"/>
              <w:ind w:right="200"/>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600" w:type="dxa"/>
            <w:vAlign w:val="bottom"/>
            <w:gridSpan w:val="2"/>
          </w:tcPr>
          <w:p>
            <w:pPr>
              <w:jc w:val="center"/>
              <w:ind w:right="200"/>
              <w:spacing w:after="0" w:line="113" w:lineRule="exact"/>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3"/>
          </w:tcPr>
          <w:p>
            <w:pPr>
              <w:jc w:val="center"/>
              <w:ind w:right="200"/>
              <w:spacing w:after="0" w:line="113" w:lineRule="exact"/>
              <w:rPr>
                <w:sz w:val="20"/>
                <w:szCs w:val="20"/>
                <w:color w:val="auto"/>
              </w:rPr>
            </w:pPr>
            <w:r>
              <w:rPr>
                <w:rFonts w:ascii="Arial" w:cs="Arial" w:eastAsia="Arial" w:hAnsi="Arial"/>
                <w:sz w:val="10"/>
                <w:szCs w:val="10"/>
                <w:b w:val="1"/>
                <w:bCs w:val="1"/>
                <w:color w:val="auto"/>
                <w:w w:val="95"/>
              </w:rPr>
              <w:t>March 31,</w:t>
            </w:r>
          </w:p>
        </w:tc>
        <w:tc>
          <w:tcPr>
            <w:tcW w:w="800" w:type="dxa"/>
            <w:vAlign w:val="bottom"/>
            <w:gridSpan w:val="3"/>
          </w:tcPr>
          <w:p>
            <w:pPr>
              <w:jc w:val="center"/>
              <w:ind w:right="180"/>
              <w:spacing w:after="0" w:line="113" w:lineRule="exact"/>
              <w:rPr>
                <w:sz w:val="20"/>
                <w:szCs w:val="20"/>
                <w:color w:val="auto"/>
              </w:rPr>
            </w:pPr>
            <w:r>
              <w:rPr>
                <w:rFonts w:ascii="Arial" w:cs="Arial" w:eastAsia="Arial" w:hAnsi="Arial"/>
                <w:sz w:val="10"/>
                <w:szCs w:val="10"/>
                <w:b w:val="1"/>
                <w:bCs w:val="1"/>
                <w:color w:val="auto"/>
                <w:w w:val="89"/>
              </w:rPr>
              <w:t>December 31,</w:t>
            </w:r>
          </w:p>
        </w:tc>
        <w:tc>
          <w:tcPr>
            <w:tcW w:w="820" w:type="dxa"/>
            <w:vAlign w:val="bottom"/>
            <w:gridSpan w:val="3"/>
          </w:tcPr>
          <w:p>
            <w:pPr>
              <w:jc w:val="center"/>
              <w:ind w:right="200"/>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center"/>
              <w:ind w:right="140"/>
              <w:spacing w:after="0" w:line="113" w:lineRule="exact"/>
              <w:rPr>
                <w:sz w:val="20"/>
                <w:szCs w:val="20"/>
                <w:color w:val="auto"/>
              </w:rPr>
            </w:pPr>
            <w:r>
              <w:rPr>
                <w:rFonts w:ascii="Arial" w:cs="Arial" w:eastAsia="Arial" w:hAnsi="Arial"/>
                <w:sz w:val="10"/>
                <w:szCs w:val="10"/>
                <w:b w:val="1"/>
                <w:bCs w:val="1"/>
                <w:color w:val="auto"/>
                <w:w w:val="87"/>
              </w:rPr>
              <w:t>July 15,</w:t>
            </w:r>
          </w:p>
        </w:tc>
        <w:tc>
          <w:tcPr>
            <w:tcW w:w="60" w:type="dxa"/>
            <w:vAlign w:val="bottom"/>
          </w:tcPr>
          <w:p>
            <w:pPr>
              <w:spacing w:after="0"/>
              <w:rPr>
                <w:sz w:val="9"/>
                <w:szCs w:val="9"/>
                <w:color w:val="auto"/>
              </w:rPr>
            </w:pPr>
          </w:p>
        </w:tc>
        <w:tc>
          <w:tcPr>
            <w:tcW w:w="5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600" w:type="dxa"/>
            <w:vAlign w:val="bottom"/>
            <w:gridSpan w:val="3"/>
          </w:tcPr>
          <w:p>
            <w:pPr>
              <w:jc w:val="center"/>
              <w:ind w:right="140"/>
              <w:spacing w:after="0" w:line="113"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4"/>
              <w:spacing w:after="0" w:line="114" w:lineRule="exact"/>
              <w:rPr>
                <w:sz w:val="20"/>
                <w:szCs w:val="20"/>
                <w:color w:val="auto"/>
              </w:rPr>
            </w:pPr>
            <w:r>
              <w:rPr>
                <w:rFonts w:ascii="Arial" w:cs="Arial" w:eastAsia="Arial" w:hAnsi="Arial"/>
                <w:sz w:val="10"/>
                <w:szCs w:val="10"/>
                <w:b w:val="1"/>
                <w:bCs w:val="1"/>
                <w:color w:val="auto"/>
                <w:w w:val="98"/>
              </w:rPr>
              <w:t>2021</w:t>
            </w:r>
          </w:p>
        </w:tc>
        <w:tc>
          <w:tcPr>
            <w:tcW w:w="200" w:type="dxa"/>
            <w:vAlign w:val="bottom"/>
          </w:tcPr>
          <w:p>
            <w:pPr>
              <w:spacing w:after="0"/>
              <w:rPr>
                <w:sz w:val="11"/>
                <w:szCs w:val="11"/>
                <w:color w:val="auto"/>
              </w:rPr>
            </w:pPr>
          </w:p>
        </w:tc>
        <w:tc>
          <w:tcPr>
            <w:tcW w:w="4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ind w:right="4"/>
              <w:spacing w:after="0" w:line="114"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4"/>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5"/>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1"/>
                <w:szCs w:val="11"/>
                <w:color w:val="auto"/>
              </w:rPr>
            </w:pPr>
          </w:p>
        </w:tc>
        <w:tc>
          <w:tcPr>
            <w:tcW w:w="4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center"/>
              <w:ind w:right="24"/>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4"/>
              <w:spacing w:after="0" w:line="114"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44"/>
              <w:spacing w:after="0" w:line="114"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500" w:type="dxa"/>
            <w:vAlign w:val="bottom"/>
            <w:gridSpan w:val="2"/>
          </w:tcPr>
          <w:p>
            <w:pPr>
              <w:jc w:val="center"/>
              <w:ind w:left="83"/>
              <w:spacing w:after="0" w:line="114" w:lineRule="exact"/>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1"/>
                <w:szCs w:val="11"/>
                <w:color w:val="auto"/>
              </w:rPr>
            </w:pPr>
          </w:p>
        </w:tc>
        <w:tc>
          <w:tcPr>
            <w:tcW w:w="440" w:type="dxa"/>
            <w:vAlign w:val="bottom"/>
            <w:gridSpan w:val="2"/>
          </w:tcPr>
          <w:p>
            <w:pPr>
              <w:jc w:val="center"/>
              <w:ind w:left="3"/>
              <w:spacing w:after="0" w:line="114" w:lineRule="exact"/>
              <w:rPr>
                <w:sz w:val="20"/>
                <w:szCs w:val="20"/>
                <w:color w:val="auto"/>
              </w:rPr>
            </w:pPr>
            <w:r>
              <w:rPr>
                <w:rFonts w:ascii="Arial" w:cs="Arial" w:eastAsia="Arial" w:hAnsi="Arial"/>
                <w:sz w:val="10"/>
                <w:szCs w:val="10"/>
                <w:b w:val="1"/>
                <w:bCs w:val="1"/>
                <w:color w:val="auto"/>
                <w:w w:val="98"/>
              </w:rPr>
              <w:t>2019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4"/>
              <w:spacing w:after="0" w:line="114"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20" w:type="dxa"/>
            <w:vAlign w:val="bottom"/>
            <w:tcBorders>
              <w:top w:val="single" w:sz="8" w:color="CCEEFF"/>
            </w:tcBorders>
            <w:gridSpan w:val="2"/>
            <w:shd w:val="clear" w:color="auto" w:fill="CCEEFF"/>
          </w:tcPr>
          <w:p>
            <w:pPr>
              <w:spacing w:after="0" w:line="112" w:lineRule="exact"/>
              <w:rPr>
                <w:sz w:val="20"/>
                <w:szCs w:val="20"/>
                <w:color w:val="auto"/>
              </w:rPr>
            </w:pPr>
            <w:r>
              <w:rPr>
                <w:rFonts w:ascii="Arial" w:cs="Arial" w:eastAsia="Arial" w:hAnsi="Arial"/>
                <w:sz w:val="12"/>
                <w:szCs w:val="12"/>
                <w:color w:val="auto"/>
              </w:rPr>
              <w:t>Reported gross profit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32,599</w:t>
            </w:r>
          </w:p>
        </w:tc>
        <w:tc>
          <w:tcPr>
            <w:tcW w:w="2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7"/>
              </w:rPr>
              <w:t>$29,952</w:t>
            </w: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97"/>
              </w:rPr>
              <w:t>27,499</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25,344</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22,660</w:t>
            </w:r>
          </w:p>
        </w:tc>
        <w:tc>
          <w:tcPr>
            <w:tcW w:w="2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7"/>
              </w:rPr>
              <w:t>$20,939</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92"/>
              </w:rPr>
              <w:t>18,906</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15,796</w:t>
            </w: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10,967</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left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4"/>
              </w:rPr>
              <w:t>$ 3,297</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2"/>
              </w:rPr>
              <w:t>$20,177</w:t>
            </w: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97"/>
              </w:rPr>
              <w:t>16,656</w:t>
            </w: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820" w:type="dxa"/>
            <w:vAlign w:val="bottom"/>
            <w:gridSpan w:val="2"/>
          </w:tcPr>
          <w:p>
            <w:pPr>
              <w:spacing w:after="0" w:line="113" w:lineRule="exact"/>
              <w:rPr>
                <w:sz w:val="20"/>
                <w:szCs w:val="20"/>
                <w:color w:val="auto"/>
              </w:rPr>
            </w:pPr>
            <w:r>
              <w:rPr>
                <w:rFonts w:ascii="Arial" w:cs="Arial" w:eastAsia="Arial" w:hAnsi="Arial"/>
                <w:sz w:val="12"/>
                <w:szCs w:val="12"/>
                <w:color w:val="auto"/>
              </w:rPr>
              <w:t>Amortization of intangible assets</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gridSpan w:val="2"/>
          </w:tcPr>
          <w:p>
            <w:pPr>
              <w:ind w:left="120"/>
              <w:spacing w:after="0" w:line="127" w:lineRule="exact"/>
              <w:rPr>
                <w:sz w:val="20"/>
                <w:szCs w:val="20"/>
                <w:color w:val="auto"/>
              </w:rPr>
            </w:pPr>
            <w:r>
              <w:rPr>
                <w:rFonts w:ascii="Arial" w:cs="Arial" w:eastAsia="Arial" w:hAnsi="Arial"/>
                <w:sz w:val="12"/>
                <w:szCs w:val="12"/>
                <w:color w:val="auto"/>
                <w:w w:val="96"/>
              </w:rPr>
              <w:t>resulting from acquisition-related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20" w:type="dxa"/>
            <w:vAlign w:val="bottom"/>
            <w:gridSpan w:val="2"/>
          </w:tcPr>
          <w:p>
            <w:pPr>
              <w:ind w:left="120"/>
              <w:spacing w:after="0" w:line="127" w:lineRule="exact"/>
              <w:rPr>
                <w:sz w:val="20"/>
                <w:szCs w:val="20"/>
                <w:color w:val="auto"/>
              </w:rPr>
            </w:pPr>
            <w:r>
              <w:rPr>
                <w:rFonts w:ascii="Arial" w:cs="Arial" w:eastAsia="Arial" w:hAnsi="Arial"/>
                <w:sz w:val="12"/>
                <w:szCs w:val="12"/>
                <w:color w:val="auto"/>
              </w:rPr>
              <w:t>purchase accounting</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20" w:type="dxa"/>
            <w:vAlign w:val="bottom"/>
            <w:gridSpan w:val="2"/>
          </w:tcPr>
          <w:p>
            <w:pPr>
              <w:ind w:left="120"/>
              <w:spacing w:after="0"/>
              <w:rPr>
                <w:sz w:val="20"/>
                <w:szCs w:val="20"/>
                <w:color w:val="auto"/>
              </w:rPr>
            </w:pPr>
            <w:r>
              <w:rPr>
                <w:rFonts w:ascii="Arial" w:cs="Arial" w:eastAsia="Arial" w:hAnsi="Arial"/>
                <w:sz w:val="12"/>
                <w:szCs w:val="12"/>
                <w:color w:val="auto"/>
              </w:rPr>
              <w:t>adjustments</w:t>
            </w: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5,096</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5,042</w:t>
            </w:r>
          </w:p>
        </w:tc>
        <w:tc>
          <w:tcPr>
            <w:tcW w:w="6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4,987</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4,994</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4,759</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4,708</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4,708</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4,696</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3,906</w:t>
            </w:r>
          </w:p>
        </w:tc>
        <w:tc>
          <w:tcPr>
            <w:tcW w:w="100" w:type="dxa"/>
            <w:vAlign w:val="bottom"/>
            <w:gridSpan w:val="2"/>
          </w:tcPr>
          <w:p>
            <w:pPr>
              <w:spacing w:after="0"/>
              <w:rPr>
                <w:sz w:val="12"/>
                <w:szCs w:val="12"/>
                <w:color w:val="auto"/>
              </w:rPr>
            </w:pPr>
          </w:p>
        </w:tc>
        <w:tc>
          <w:tcPr>
            <w:tcW w:w="500" w:type="dxa"/>
            <w:vAlign w:val="bottom"/>
            <w:tcBorders>
              <w:left w:val="single" w:sz="8" w:color="auto"/>
            </w:tcBorders>
            <w:gridSpan w:val="2"/>
          </w:tcPr>
          <w:p>
            <w:pPr>
              <w:jc w:val="right"/>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2"/>
                <w:szCs w:val="1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249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27"/>
        </w:trPr>
        <w:tc>
          <w:tcPr>
            <w:tcW w:w="18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Equity compensation costs</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48</w:t>
            </w:r>
          </w:p>
        </w:tc>
        <w:tc>
          <w:tcPr>
            <w:tcW w:w="6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16</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16</w:t>
            </w:r>
          </w:p>
        </w:tc>
        <w:tc>
          <w:tcPr>
            <w:tcW w:w="6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13</w:t>
            </w:r>
          </w:p>
        </w:tc>
        <w:tc>
          <w:tcPr>
            <w:tcW w:w="100" w:type="dxa"/>
            <w:vAlign w:val="bottom"/>
            <w:gridSpan w:val="2"/>
            <w:shd w:val="clear" w:color="auto" w:fill="CCEEFF"/>
          </w:tcPr>
          <w:p>
            <w:pPr>
              <w:spacing w:after="0"/>
              <w:rPr>
                <w:sz w:val="11"/>
                <w:szCs w:val="11"/>
                <w:color w:val="auto"/>
              </w:rPr>
            </w:pPr>
          </w:p>
        </w:tc>
        <w:tc>
          <w:tcPr>
            <w:tcW w:w="640" w:type="dxa"/>
            <w:vAlign w:val="bottom"/>
            <w:tcBorders>
              <w:left w:val="single" w:sz="8" w:color="auto"/>
            </w:tcBorders>
            <w:gridSpan w:val="3"/>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107</w:t>
            </w:r>
          </w:p>
        </w:tc>
        <w:tc>
          <w:tcPr>
            <w:tcW w:w="44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75</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line="132" w:lineRule="exact"/>
              <w:rPr>
                <w:sz w:val="20"/>
                <w:szCs w:val="20"/>
                <w:color w:val="auto"/>
              </w:rPr>
            </w:pPr>
            <w:r>
              <w:rPr>
                <w:rFonts w:ascii="Arial" w:cs="Arial" w:eastAsia="Arial" w:hAnsi="Arial"/>
                <w:sz w:val="12"/>
                <w:szCs w:val="12"/>
                <w:color w:val="auto"/>
              </w:rPr>
              <w:t>Adjusted Gross Profit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37,743</w:t>
            </w:r>
          </w:p>
        </w:tc>
        <w:tc>
          <w:tcPr>
            <w:tcW w:w="6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w w:val="87"/>
              </w:rPr>
              <w:t>$35,010</w:t>
            </w: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w w:val="97"/>
              </w:rPr>
              <w:t>32,501</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30,354</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27,435</w:t>
            </w:r>
          </w:p>
        </w:tc>
        <w:tc>
          <w:tcPr>
            <w:tcW w:w="6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w w:val="87"/>
              </w:rPr>
              <w:t>$25,662</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w w:val="92"/>
              </w:rPr>
              <w:t>23,629</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20,507</w:t>
            </w:r>
          </w:p>
        </w:tc>
        <w:tc>
          <w:tcPr>
            <w:tcW w:w="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14,886</w:t>
            </w:r>
          </w:p>
        </w:tc>
        <w:tc>
          <w:tcPr>
            <w:tcW w:w="80" w:type="dxa"/>
            <w:vAlign w:val="bottom"/>
            <w:tcBorders>
              <w:top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tcBorders>
            <w:gridSpan w:val="2"/>
            <w:vMerge w:val="restart"/>
          </w:tcPr>
          <w:p>
            <w:pPr>
              <w:jc w:val="right"/>
              <w:ind w:right="140"/>
              <w:spacing w:after="0" w:line="132" w:lineRule="exact"/>
              <w:rPr>
                <w:sz w:val="20"/>
                <w:szCs w:val="20"/>
                <w:color w:val="auto"/>
              </w:rPr>
            </w:pPr>
            <w:r>
              <w:rPr>
                <w:rFonts w:ascii="Arial" w:cs="Arial" w:eastAsia="Arial" w:hAnsi="Arial"/>
                <w:sz w:val="12"/>
                <w:szCs w:val="12"/>
                <w:color w:val="auto"/>
                <w:w w:val="84"/>
              </w:rPr>
              <w:t>$ 3,445</w:t>
            </w:r>
          </w:p>
        </w:tc>
        <w:tc>
          <w:tcPr>
            <w:tcW w:w="600" w:type="dxa"/>
            <w:vAlign w:val="bottom"/>
            <w:tcBorders>
              <w:top w:val="single" w:sz="8" w:color="auto"/>
            </w:tcBorders>
            <w:gridSpan w:val="3"/>
            <w:vMerge w:val="restart"/>
          </w:tcPr>
          <w:p>
            <w:pPr>
              <w:jc w:val="right"/>
              <w:ind w:right="160"/>
              <w:spacing w:after="0" w:line="132" w:lineRule="exact"/>
              <w:rPr>
                <w:sz w:val="20"/>
                <w:szCs w:val="20"/>
                <w:color w:val="auto"/>
              </w:rPr>
            </w:pPr>
            <w:r>
              <w:rPr>
                <w:rFonts w:ascii="Arial" w:cs="Arial" w:eastAsia="Arial" w:hAnsi="Arial"/>
                <w:sz w:val="12"/>
                <w:szCs w:val="12"/>
                <w:color w:val="auto"/>
                <w:w w:val="96"/>
              </w:rPr>
              <w:t>$20,501</w:t>
            </w:r>
          </w:p>
        </w:tc>
        <w:tc>
          <w:tcPr>
            <w:tcW w:w="120" w:type="dxa"/>
            <w:vAlign w:val="bottom"/>
            <w:tcBorders>
              <w:top w:val="single" w:sz="8" w:color="auto"/>
            </w:tcBorders>
            <w:gridSpan w:val="2"/>
            <w:vMerge w:val="restart"/>
          </w:tcPr>
          <w:p>
            <w:pPr>
              <w:jc w:val="right"/>
              <w:spacing w:after="0" w:line="132"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auto"/>
            </w:tcBorders>
            <w:vMerge w:val="restart"/>
          </w:tcPr>
          <w:p>
            <w:pPr>
              <w:jc w:val="right"/>
              <w:spacing w:after="0" w:line="132" w:lineRule="exact"/>
              <w:rPr>
                <w:sz w:val="20"/>
                <w:szCs w:val="20"/>
                <w:color w:val="auto"/>
              </w:rPr>
            </w:pPr>
            <w:r>
              <w:rPr>
                <w:rFonts w:ascii="Arial" w:cs="Arial" w:eastAsia="Arial" w:hAnsi="Arial"/>
                <w:sz w:val="12"/>
                <w:szCs w:val="12"/>
                <w:color w:val="auto"/>
                <w:w w:val="97"/>
              </w:rPr>
              <w:t>16,938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2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43,084</w:t>
            </w:r>
          </w:p>
        </w:tc>
        <w:tc>
          <w:tcPr>
            <w:tcW w:w="6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39,821</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w w:val="97"/>
              </w:rPr>
              <w:t>36,936</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33,658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30,073</w:t>
            </w:r>
          </w:p>
        </w:tc>
        <w:tc>
          <w:tcPr>
            <w:tcW w:w="6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28,245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w w:val="92"/>
              </w:rPr>
              <w:t>26,341</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23,233</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16,812</w:t>
            </w:r>
          </w:p>
        </w:tc>
        <w:tc>
          <w:tcPr>
            <w:tcW w:w="100" w:type="dxa"/>
            <w:vAlign w:val="bottom"/>
            <w:gridSpan w:val="2"/>
            <w:shd w:val="clear" w:color="auto" w:fill="CCEEFF"/>
          </w:tcPr>
          <w:p>
            <w:pPr>
              <w:spacing w:after="0"/>
              <w:rPr>
                <w:sz w:val="11"/>
                <w:szCs w:val="11"/>
                <w:color w:val="auto"/>
              </w:rPr>
            </w:pPr>
          </w:p>
        </w:tc>
        <w:tc>
          <w:tcPr>
            <w:tcW w:w="640" w:type="dxa"/>
            <w:vAlign w:val="bottom"/>
            <w:tcBorders>
              <w:left w:val="single" w:sz="8" w:color="auto"/>
            </w:tcBorders>
            <w:gridSpan w:val="3"/>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3,829</w:t>
            </w:r>
          </w:p>
        </w:tc>
        <w:tc>
          <w:tcPr>
            <w:tcW w:w="600" w:type="dxa"/>
            <w:vAlign w:val="bottom"/>
            <w:gridSpan w:val="3"/>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22,631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w w:val="97"/>
              </w:rPr>
              <w:t>18,998</w:t>
            </w:r>
          </w:p>
        </w:tc>
        <w:tc>
          <w:tcPr>
            <w:tcW w:w="0" w:type="dxa"/>
            <w:vAlign w:val="bottom"/>
          </w:tcPr>
          <w:p>
            <w:pPr>
              <w:spacing w:after="0"/>
              <w:rPr>
                <w:sz w:val="1"/>
                <w:szCs w:val="1"/>
                <w:color w:val="auto"/>
              </w:rPr>
            </w:pPr>
          </w:p>
        </w:tc>
      </w:tr>
      <w:tr>
        <w:trPr>
          <w:trHeight w:val="127"/>
        </w:trPr>
        <w:tc>
          <w:tcPr>
            <w:tcW w:w="1820" w:type="dxa"/>
            <w:vAlign w:val="bottom"/>
            <w:gridSpan w:val="2"/>
          </w:tcPr>
          <w:p>
            <w:pPr>
              <w:spacing w:after="0" w:line="127" w:lineRule="exact"/>
              <w:rPr>
                <w:sz w:val="20"/>
                <w:szCs w:val="20"/>
                <w:color w:val="auto"/>
              </w:rPr>
            </w:pPr>
            <w:r>
              <w:rPr>
                <w:rFonts w:ascii="Arial" w:cs="Arial" w:eastAsia="Arial" w:hAnsi="Arial"/>
                <w:sz w:val="12"/>
                <w:szCs w:val="12"/>
                <w:color w:val="auto"/>
              </w:rPr>
              <w:t>Adjusted Gross Margin</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88%</w:t>
            </w:r>
          </w:p>
        </w:tc>
        <w:tc>
          <w:tcPr>
            <w:tcW w:w="6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88%</w:t>
            </w:r>
          </w:p>
        </w:tc>
        <w:tc>
          <w:tcPr>
            <w:tcW w:w="60" w:type="dxa"/>
            <w:vAlign w:val="bottom"/>
          </w:tcPr>
          <w:p>
            <w:pPr>
              <w:spacing w:after="0"/>
              <w:rPr>
                <w:sz w:val="11"/>
                <w:szCs w:val="11"/>
                <w:color w:val="auto"/>
              </w:rPr>
            </w:pPr>
          </w:p>
        </w:tc>
        <w:tc>
          <w:tcPr>
            <w:tcW w:w="58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88%</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90%</w:t>
            </w: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91%</w:t>
            </w:r>
          </w:p>
        </w:tc>
        <w:tc>
          <w:tcPr>
            <w:tcW w:w="6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91%</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90%</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88%</w:t>
            </w:r>
          </w:p>
        </w:tc>
        <w:tc>
          <w:tcPr>
            <w:tcW w:w="120" w:type="dxa"/>
            <w:vAlign w:val="bottom"/>
          </w:tcPr>
          <w:p>
            <w:pPr>
              <w:spacing w:after="0"/>
              <w:rPr>
                <w:sz w:val="11"/>
                <w:szCs w:val="11"/>
                <w:color w:val="auto"/>
              </w:rPr>
            </w:pPr>
          </w:p>
        </w:tc>
        <w:tc>
          <w:tcPr>
            <w:tcW w:w="7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50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90%</w:t>
            </w:r>
          </w:p>
        </w:tc>
        <w:tc>
          <w:tcPr>
            <w:tcW w:w="600" w:type="dxa"/>
            <w:vAlign w:val="bottom"/>
            <w:gridSpan w:val="3"/>
          </w:tcPr>
          <w:p>
            <w:pPr>
              <w:jc w:val="right"/>
              <w:ind w:right="60"/>
              <w:spacing w:after="0" w:line="127" w:lineRule="exact"/>
              <w:rPr>
                <w:sz w:val="20"/>
                <w:szCs w:val="20"/>
                <w:color w:val="auto"/>
              </w:rPr>
            </w:pPr>
            <w:r>
              <w:rPr>
                <w:rFonts w:ascii="Arial" w:cs="Arial" w:eastAsia="Arial" w:hAnsi="Arial"/>
                <w:sz w:val="12"/>
                <w:szCs w:val="12"/>
                <w:color w:val="auto"/>
              </w:rPr>
              <w:t>91%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5702300</wp:posOffset>
            </wp:positionH>
            <wp:positionV relativeFrom="paragraph">
              <wp:posOffset>-755015</wp:posOffset>
            </wp:positionV>
            <wp:extent cx="158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-264795</wp:posOffset>
            </wp:positionV>
            <wp:extent cx="825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825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Gross Margin</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2"/>
              </w:rPr>
              <w:t>Successor</w:t>
            </w: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89"/>
              </w:rPr>
              <w:t>Predecessor</w:t>
            </w: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w w:val="96"/>
              </w:rPr>
              <w:t>Period</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Three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6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920" w:type="dxa"/>
            <w:vAlign w:val="bottom"/>
            <w:tcBorders>
              <w:right w:val="single" w:sz="8" w:color="auto"/>
            </w:tcBorders>
            <w:gridSpan w:val="3"/>
          </w:tcPr>
          <w:p>
            <w:pPr>
              <w:jc w:val="center"/>
              <w:ind w:right="280"/>
              <w:spacing w:after="0" w:line="114" w:lineRule="exact"/>
              <w:rPr>
                <w:sz w:val="20"/>
                <w:szCs w:val="20"/>
                <w:color w:val="auto"/>
              </w:rPr>
            </w:pPr>
            <w:r>
              <w:rPr>
                <w:rFonts w:ascii="Arial" w:cs="Arial" w:eastAsia="Arial" w:hAnsi="Arial"/>
                <w:sz w:val="10"/>
                <w:szCs w:val="10"/>
                <w:b w:val="1"/>
                <w:bCs w:val="1"/>
                <w:color w:val="auto"/>
                <w:w w:val="92"/>
              </w:rPr>
              <w:t>Period from</w:t>
            </w:r>
          </w:p>
        </w:tc>
        <w:tc>
          <w:tcPr>
            <w:tcW w:w="160" w:type="dxa"/>
            <w:vAlign w:val="bottom"/>
          </w:tcPr>
          <w:p>
            <w:pPr>
              <w:spacing w:after="0"/>
              <w:rPr>
                <w:sz w:val="9"/>
                <w:szCs w:val="9"/>
                <w:color w:val="auto"/>
              </w:rPr>
            </w:pP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8"/>
              </w:rPr>
              <w:t>from</w:t>
            </w:r>
          </w:p>
        </w:tc>
        <w:tc>
          <w:tcPr>
            <w:tcW w:w="40" w:type="dxa"/>
            <w:vAlign w:val="bottom"/>
          </w:tcPr>
          <w:p>
            <w:pPr>
              <w:spacing w:after="0"/>
              <w:rPr>
                <w:sz w:val="9"/>
                <w:szCs w:val="9"/>
                <w:color w:val="auto"/>
              </w:rPr>
            </w:pPr>
          </w:p>
        </w:tc>
        <w:tc>
          <w:tcPr>
            <w:tcW w:w="5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Months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9"/>
              </w:rPr>
              <w:t>Months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Months</w:t>
            </w:r>
          </w:p>
        </w:tc>
        <w:tc>
          <w:tcPr>
            <w:tcW w:w="6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920" w:type="dxa"/>
            <w:vAlign w:val="bottom"/>
            <w:tcBorders>
              <w:right w:val="single" w:sz="8" w:color="auto"/>
            </w:tcBorders>
            <w:gridSpan w:val="3"/>
          </w:tcPr>
          <w:p>
            <w:pPr>
              <w:jc w:val="center"/>
              <w:ind w:right="280"/>
              <w:spacing w:after="0" w:line="114" w:lineRule="exact"/>
              <w:rPr>
                <w:sz w:val="20"/>
                <w:szCs w:val="20"/>
                <w:color w:val="auto"/>
              </w:rPr>
            </w:pPr>
            <w:r>
              <w:rPr>
                <w:rFonts w:ascii="Arial" w:cs="Arial" w:eastAsia="Arial" w:hAnsi="Arial"/>
                <w:sz w:val="10"/>
                <w:szCs w:val="10"/>
                <w:b w:val="1"/>
                <w:bCs w:val="1"/>
                <w:color w:val="auto"/>
                <w:w w:val="90"/>
              </w:rPr>
              <w:t>July 16, 2019</w:t>
            </w:r>
          </w:p>
        </w:tc>
        <w:tc>
          <w:tcPr>
            <w:tcW w:w="160" w:type="dxa"/>
            <w:vAlign w:val="bottom"/>
          </w:tcPr>
          <w:p>
            <w:pPr>
              <w:spacing w:after="0"/>
              <w:rPr>
                <w:sz w:val="9"/>
                <w:szCs w:val="9"/>
                <w:color w:val="auto"/>
              </w:rPr>
            </w:pP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6"/>
              </w:rPr>
              <w:t>July 1,</w:t>
            </w:r>
          </w:p>
        </w:tc>
        <w:tc>
          <w:tcPr>
            <w:tcW w:w="40" w:type="dxa"/>
            <w:vAlign w:val="bottom"/>
          </w:tcPr>
          <w:p>
            <w:pPr>
              <w:spacing w:after="0"/>
              <w:rPr>
                <w:sz w:val="9"/>
                <w:szCs w:val="9"/>
                <w:color w:val="auto"/>
              </w:rPr>
            </w:pPr>
          </w:p>
        </w:tc>
        <w:tc>
          <w:tcPr>
            <w:tcW w:w="5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Months</w:t>
            </w:r>
          </w:p>
        </w:tc>
        <w:tc>
          <w:tcPr>
            <w:tcW w:w="4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8"/>
              </w:rPr>
              <w:t>Ended</w:t>
            </w:r>
          </w:p>
        </w:tc>
        <w:tc>
          <w:tcPr>
            <w:tcW w:w="4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6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14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84"/>
              </w:rPr>
              <w:t>to</w:t>
            </w:r>
          </w:p>
        </w:tc>
        <w:tc>
          <w:tcPr>
            <w:tcW w:w="160" w:type="dxa"/>
            <w:vAlign w:val="bottom"/>
          </w:tcPr>
          <w:p>
            <w:pPr>
              <w:spacing w:after="0"/>
              <w:rPr>
                <w:sz w:val="9"/>
                <w:szCs w:val="9"/>
                <w:color w:val="auto"/>
              </w:rPr>
            </w:pP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6"/>
              </w:rPr>
              <w:t>2019 to</w:t>
            </w:r>
          </w:p>
        </w:tc>
        <w:tc>
          <w:tcPr>
            <w:tcW w:w="40" w:type="dxa"/>
            <w:vAlign w:val="bottom"/>
          </w:tcPr>
          <w:p>
            <w:pPr>
              <w:spacing w:after="0"/>
              <w:rPr>
                <w:sz w:val="9"/>
                <w:szCs w:val="9"/>
                <w:color w:val="auto"/>
              </w:rPr>
            </w:pPr>
          </w:p>
        </w:tc>
        <w:tc>
          <w:tcPr>
            <w:tcW w:w="5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174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7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September 30,</w:t>
            </w:r>
          </w:p>
        </w:tc>
        <w:tc>
          <w:tcPr>
            <w:tcW w:w="6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June 30,</w:t>
            </w: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March 31,</w:t>
            </w:r>
          </w:p>
        </w:tc>
        <w:tc>
          <w:tcPr>
            <w:tcW w:w="40" w:type="dxa"/>
            <w:vAlign w:val="bottom"/>
          </w:tcPr>
          <w:p>
            <w:pPr>
              <w:spacing w:after="0"/>
              <w:rPr>
                <w:sz w:val="9"/>
                <w:szCs w:val="9"/>
                <w:color w:val="auto"/>
              </w:rPr>
            </w:pPr>
          </w:p>
        </w:tc>
        <w:tc>
          <w:tcPr>
            <w:tcW w:w="7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December 31,</w:t>
            </w:r>
          </w:p>
        </w:tc>
        <w:tc>
          <w:tcPr>
            <w:tcW w:w="40" w:type="dxa"/>
            <w:vAlign w:val="bottom"/>
          </w:tcPr>
          <w:p>
            <w:pPr>
              <w:spacing w:after="0"/>
              <w:rPr>
                <w:sz w:val="9"/>
                <w:szCs w:val="9"/>
                <w:color w:val="auto"/>
              </w:rPr>
            </w:pPr>
          </w:p>
        </w:tc>
        <w:tc>
          <w:tcPr>
            <w:tcW w:w="7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September 30,</w:t>
            </w:r>
          </w:p>
        </w:tc>
        <w:tc>
          <w:tcPr>
            <w:tcW w:w="4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March 31,</w:t>
            </w:r>
          </w:p>
        </w:tc>
        <w:tc>
          <w:tcPr>
            <w:tcW w:w="80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December 31,</w:t>
            </w:r>
          </w:p>
        </w:tc>
        <w:tc>
          <w:tcPr>
            <w:tcW w:w="920" w:type="dxa"/>
            <w:vAlign w:val="bottom"/>
            <w:tcBorders>
              <w:right w:val="single" w:sz="8" w:color="auto"/>
            </w:tcBorders>
            <w:gridSpan w:val="3"/>
          </w:tcPr>
          <w:p>
            <w:pPr>
              <w:spacing w:after="0" w:line="114" w:lineRule="exact"/>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9"/>
                <w:szCs w:val="9"/>
                <w:color w:val="auto"/>
              </w:rPr>
            </w:pP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2"/>
              </w:rPr>
              <w:t>July 15,</w:t>
            </w:r>
          </w:p>
        </w:tc>
        <w:tc>
          <w:tcPr>
            <w:tcW w:w="40" w:type="dxa"/>
            <w:vAlign w:val="bottom"/>
          </w:tcPr>
          <w:p>
            <w:pPr>
              <w:spacing w:after="0"/>
              <w:rPr>
                <w:sz w:val="9"/>
                <w:szCs w:val="9"/>
                <w:color w:val="auto"/>
              </w:rPr>
            </w:pPr>
          </w:p>
        </w:tc>
        <w:tc>
          <w:tcPr>
            <w:tcW w:w="5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33"/>
        </w:trPr>
        <w:tc>
          <w:tcPr>
            <w:tcW w:w="1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0"/>
              <w:spacing w:after="0" w:line="113" w:lineRule="exact"/>
              <w:rPr>
                <w:sz w:val="20"/>
                <w:szCs w:val="20"/>
                <w:color w:val="auto"/>
              </w:rPr>
            </w:pPr>
            <w:r>
              <w:rPr>
                <w:rFonts w:ascii="Arial" w:cs="Arial" w:eastAsia="Arial" w:hAnsi="Arial"/>
                <w:sz w:val="10"/>
                <w:szCs w:val="10"/>
                <w:b w:val="1"/>
                <w:bCs w:val="1"/>
                <w:color w:val="auto"/>
                <w:w w:val="89"/>
              </w:rPr>
              <w:t>2021</w:t>
            </w:r>
          </w:p>
        </w:tc>
        <w:tc>
          <w:tcPr>
            <w:tcW w:w="140" w:type="dxa"/>
            <w:vAlign w:val="bottom"/>
          </w:tcPr>
          <w:p>
            <w:pPr>
              <w:spacing w:after="0"/>
              <w:rPr>
                <w:sz w:val="11"/>
                <w:szCs w:val="11"/>
                <w:color w:val="auto"/>
              </w:rPr>
            </w:pPr>
          </w:p>
        </w:tc>
        <w:tc>
          <w:tcPr>
            <w:tcW w:w="48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11"/>
                <w:szCs w:val="11"/>
                <w:color w:val="auto"/>
              </w:rPr>
            </w:pPr>
          </w:p>
        </w:tc>
        <w:tc>
          <w:tcPr>
            <w:tcW w:w="44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0"/>
              <w:spacing w:after="0" w:line="113" w:lineRule="exact"/>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0"/>
              <w:spacing w:after="0" w:line="113" w:lineRule="exact"/>
              <w:rPr>
                <w:sz w:val="20"/>
                <w:szCs w:val="20"/>
                <w:color w:val="auto"/>
              </w:rPr>
            </w:pPr>
            <w:r>
              <w:rPr>
                <w:rFonts w:ascii="Arial" w:cs="Arial" w:eastAsia="Arial" w:hAnsi="Arial"/>
                <w:sz w:val="10"/>
                <w:szCs w:val="10"/>
                <w:b w:val="1"/>
                <w:bCs w:val="1"/>
                <w:color w:val="auto"/>
                <w:w w:val="98"/>
              </w:rPr>
              <w:t>2020</w:t>
            </w:r>
          </w:p>
        </w:tc>
        <w:tc>
          <w:tcPr>
            <w:tcW w:w="160" w:type="dxa"/>
            <w:vAlign w:val="bottom"/>
          </w:tcPr>
          <w:p>
            <w:pPr>
              <w:spacing w:after="0"/>
              <w:rPr>
                <w:sz w:val="11"/>
                <w:szCs w:val="11"/>
                <w:color w:val="auto"/>
              </w:rPr>
            </w:pPr>
          </w:p>
        </w:tc>
        <w:tc>
          <w:tcPr>
            <w:tcW w:w="46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1"/>
                <w:szCs w:val="11"/>
                <w:color w:val="auto"/>
              </w:rPr>
            </w:pPr>
          </w:p>
        </w:tc>
        <w:tc>
          <w:tcPr>
            <w:tcW w:w="440" w:type="dxa"/>
            <w:vAlign w:val="bottom"/>
          </w:tcPr>
          <w:p>
            <w:pPr>
              <w:jc w:val="right"/>
              <w:ind w:right="60"/>
              <w:spacing w:after="0" w:line="113" w:lineRule="exact"/>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0"/>
              <w:spacing w:after="0" w:line="113"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58"/>
              <w:spacing w:after="0" w:line="113" w:lineRule="exact"/>
              <w:rPr>
                <w:sz w:val="20"/>
                <w:szCs w:val="20"/>
                <w:color w:val="auto"/>
              </w:rPr>
            </w:pPr>
            <w:r>
              <w:rPr>
                <w:rFonts w:ascii="Arial" w:cs="Arial" w:eastAsia="Arial" w:hAnsi="Arial"/>
                <w:sz w:val="10"/>
                <w:szCs w:val="10"/>
                <w:b w:val="1"/>
                <w:bCs w:val="1"/>
                <w:color w:val="auto"/>
                <w:w w:val="89"/>
              </w:rPr>
              <w:t>2019</w:t>
            </w:r>
          </w:p>
        </w:tc>
        <w:tc>
          <w:tcPr>
            <w:tcW w:w="300" w:type="dxa"/>
            <w:vAlign w:val="bottom"/>
            <w:tcBorders>
              <w:right w:val="single" w:sz="8" w:color="auto"/>
            </w:tcBorders>
          </w:tcPr>
          <w:p>
            <w:pPr>
              <w:spacing w:after="0"/>
              <w:rPr>
                <w:sz w:val="11"/>
                <w:szCs w:val="11"/>
                <w:color w:val="auto"/>
              </w:rPr>
            </w:pPr>
          </w:p>
        </w:tc>
        <w:tc>
          <w:tcPr>
            <w:tcW w:w="500" w:type="dxa"/>
            <w:vAlign w:val="bottom"/>
            <w:gridSpan w:val="2"/>
          </w:tcPr>
          <w:p>
            <w:pPr>
              <w:jc w:val="center"/>
              <w:ind w:left="78"/>
              <w:spacing w:after="0" w:line="113" w:lineRule="exact"/>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1"/>
                <w:szCs w:val="11"/>
                <w:color w:val="auto"/>
              </w:rPr>
            </w:pPr>
          </w:p>
        </w:tc>
        <w:tc>
          <w:tcPr>
            <w:tcW w:w="46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1"/>
                <w:szCs w:val="11"/>
                <w:color w:val="auto"/>
              </w:rPr>
            </w:pPr>
          </w:p>
        </w:tc>
        <w:tc>
          <w:tcPr>
            <w:tcW w:w="50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2"/>
                <w:szCs w:val="12"/>
                <w:color w:val="auto"/>
              </w:rPr>
              <w:t>Revenue</w:t>
            </w:r>
          </w:p>
        </w:tc>
        <w:tc>
          <w:tcPr>
            <w:tcW w:w="10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43,084</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5"/>
              </w:rPr>
              <w:t>$39,821</w:t>
            </w:r>
          </w:p>
        </w:tc>
        <w:tc>
          <w:tcPr>
            <w:tcW w:w="2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2"/>
              </w:rPr>
              <w:t>$ 36,936</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33,658</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30,073</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5"/>
              </w:rPr>
              <w:t>$28,245</w:t>
            </w:r>
          </w:p>
        </w:tc>
        <w:tc>
          <w:tcPr>
            <w:tcW w:w="2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2"/>
              </w:rPr>
              <w:t>$ 26,341</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23,233</w:t>
            </w:r>
          </w:p>
        </w:tc>
        <w:tc>
          <w:tcPr>
            <w:tcW w:w="2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16,812</w:t>
            </w:r>
          </w:p>
        </w:tc>
        <w:tc>
          <w:tcPr>
            <w:tcW w:w="300" w:type="dxa"/>
            <w:vAlign w:val="bottom"/>
            <w:tcBorders>
              <w:top w:val="single" w:sz="8" w:color="CCEEFF"/>
              <w:right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0"/>
              </w:rPr>
              <w:t>$3,829</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5"/>
              </w:rPr>
              <w:t>$22,631</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6"/>
              </w:rPr>
              <w:t>$ 18,998</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20" w:type="dxa"/>
            <w:vAlign w:val="bottom"/>
            <w:gridSpan w:val="2"/>
          </w:tcPr>
          <w:p>
            <w:pPr>
              <w:spacing w:after="0"/>
              <w:rPr>
                <w:sz w:val="20"/>
                <w:szCs w:val="20"/>
                <w:color w:val="auto"/>
              </w:rPr>
            </w:pPr>
            <w:r>
              <w:rPr>
                <w:rFonts w:ascii="Arial" w:cs="Arial" w:eastAsia="Arial" w:hAnsi="Arial"/>
                <w:sz w:val="12"/>
                <w:szCs w:val="12"/>
                <w:color w:val="auto"/>
              </w:rPr>
              <w:t>Total cost of revenue</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10,485</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200"/>
              <w:spacing w:after="0" w:line="139" w:lineRule="exact"/>
              <w:rPr>
                <w:sz w:val="20"/>
                <w:szCs w:val="20"/>
                <w:color w:val="auto"/>
              </w:rPr>
            </w:pPr>
            <w:r>
              <w:rPr>
                <w:rFonts w:ascii="Arial" w:cs="Arial" w:eastAsia="Arial" w:hAnsi="Arial"/>
                <w:sz w:val="13"/>
                <w:szCs w:val="13"/>
                <w:color w:val="auto"/>
              </w:rPr>
              <w:t>9,869</w:t>
            </w: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9,437</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8,314</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60"/>
              <w:spacing w:after="0" w:line="139" w:lineRule="exact"/>
              <w:rPr>
                <w:sz w:val="20"/>
                <w:szCs w:val="20"/>
                <w:color w:val="auto"/>
              </w:rPr>
            </w:pPr>
            <w:r>
              <w:rPr>
                <w:rFonts w:ascii="Arial" w:cs="Arial" w:eastAsia="Arial" w:hAnsi="Arial"/>
                <w:sz w:val="13"/>
                <w:szCs w:val="13"/>
                <w:color w:val="auto"/>
              </w:rPr>
              <w:t>7,413</w:t>
            </w:r>
          </w:p>
        </w:tc>
        <w:tc>
          <w:tcPr>
            <w:tcW w:w="660" w:type="dxa"/>
            <w:vAlign w:val="bottom"/>
            <w:tcBorders>
              <w:bottom w:val="single" w:sz="8" w:color="auto"/>
            </w:tcBorders>
            <w:gridSpan w:val="3"/>
          </w:tcPr>
          <w:p>
            <w:pPr>
              <w:jc w:val="right"/>
              <w:ind w:right="200"/>
              <w:spacing w:after="0" w:line="139" w:lineRule="exact"/>
              <w:rPr>
                <w:sz w:val="20"/>
                <w:szCs w:val="20"/>
                <w:color w:val="auto"/>
              </w:rPr>
            </w:pPr>
            <w:r>
              <w:rPr>
                <w:rFonts w:ascii="Arial" w:cs="Arial" w:eastAsia="Arial" w:hAnsi="Arial"/>
                <w:sz w:val="13"/>
                <w:szCs w:val="13"/>
                <w:color w:val="auto"/>
              </w:rPr>
              <w:t>7,306</w:t>
            </w:r>
          </w:p>
        </w:tc>
        <w:tc>
          <w:tcPr>
            <w:tcW w:w="640" w:type="dxa"/>
            <w:vAlign w:val="bottom"/>
            <w:tcBorders>
              <w:bottom w:val="single" w:sz="8" w:color="auto"/>
            </w:tcBorders>
            <w:gridSpan w:val="2"/>
          </w:tcPr>
          <w:p>
            <w:pPr>
              <w:jc w:val="right"/>
              <w:ind w:right="200"/>
              <w:spacing w:after="0" w:line="139" w:lineRule="exact"/>
              <w:rPr>
                <w:sz w:val="20"/>
                <w:szCs w:val="20"/>
                <w:color w:val="auto"/>
              </w:rPr>
            </w:pPr>
            <w:r>
              <w:rPr>
                <w:rFonts w:ascii="Arial" w:cs="Arial" w:eastAsia="Arial" w:hAnsi="Arial"/>
                <w:sz w:val="13"/>
                <w:szCs w:val="13"/>
                <w:color w:val="auto"/>
              </w:rPr>
              <w:t>7,435</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0"/>
              <w:spacing w:after="0" w:line="139" w:lineRule="exact"/>
              <w:rPr>
                <w:sz w:val="20"/>
                <w:szCs w:val="20"/>
                <w:color w:val="auto"/>
              </w:rPr>
            </w:pPr>
            <w:r>
              <w:rPr>
                <w:rFonts w:ascii="Arial" w:cs="Arial" w:eastAsia="Arial" w:hAnsi="Arial"/>
                <w:sz w:val="13"/>
                <w:szCs w:val="13"/>
                <w:color w:val="auto"/>
              </w:rPr>
              <w:t>7,437</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gridSpan w:val="2"/>
          </w:tcPr>
          <w:p>
            <w:pPr>
              <w:jc w:val="right"/>
              <w:ind w:right="300"/>
              <w:spacing w:after="0" w:line="139" w:lineRule="exact"/>
              <w:rPr>
                <w:sz w:val="20"/>
                <w:szCs w:val="20"/>
                <w:color w:val="auto"/>
              </w:rPr>
            </w:pPr>
            <w:r>
              <w:rPr>
                <w:rFonts w:ascii="Arial" w:cs="Arial" w:eastAsia="Arial" w:hAnsi="Arial"/>
                <w:sz w:val="13"/>
                <w:szCs w:val="13"/>
                <w:color w:val="auto"/>
              </w:rPr>
              <w:t>5,845</w:t>
            </w:r>
          </w:p>
        </w:tc>
        <w:tc>
          <w:tcPr>
            <w:tcW w:w="16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39" w:lineRule="exact"/>
              <w:rPr>
                <w:sz w:val="20"/>
                <w:szCs w:val="20"/>
                <w:color w:val="auto"/>
              </w:rPr>
            </w:pPr>
            <w:r>
              <w:rPr>
                <w:rFonts w:ascii="Arial" w:cs="Arial" w:eastAsia="Arial" w:hAnsi="Arial"/>
                <w:sz w:val="13"/>
                <w:szCs w:val="13"/>
                <w:color w:val="auto"/>
              </w:rPr>
              <w:t>532</w:t>
            </w:r>
          </w:p>
        </w:tc>
        <w:tc>
          <w:tcPr>
            <w:tcW w:w="46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color w:val="auto"/>
              </w:rPr>
              <w:t>2,454</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color w:val="auto"/>
              </w:rPr>
              <w:t>2,342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Reported gross profit</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32,599</w:t>
            </w: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7"/>
              </w:rPr>
              <w:t>$29,952</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$ 27,499</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25,344</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22,660</w:t>
            </w:r>
          </w:p>
        </w:tc>
        <w:tc>
          <w:tcPr>
            <w:tcW w:w="66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3"/>
              </w:rPr>
              <w:t>$20,939</w:t>
            </w:r>
          </w:p>
        </w:tc>
        <w:tc>
          <w:tcPr>
            <w:tcW w:w="6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82"/>
              </w:rPr>
              <w:t>$ 18,906</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15,796</w:t>
            </w:r>
          </w:p>
        </w:tc>
        <w:tc>
          <w:tcPr>
            <w:tcW w:w="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10,967</w:t>
            </w:r>
          </w:p>
        </w:tc>
        <w:tc>
          <w:tcPr>
            <w:tcW w:w="66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$3,297</w:t>
            </w:r>
          </w:p>
        </w:tc>
        <w:tc>
          <w:tcPr>
            <w:tcW w:w="4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3"/>
              </w:rPr>
              <w:t>$20,177</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4"/>
              </w:rPr>
              <w:t>$ 16,656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tcPr>
          <w:p>
            <w:pPr>
              <w:spacing w:after="0"/>
              <w:rPr>
                <w:sz w:val="20"/>
                <w:szCs w:val="20"/>
                <w:color w:val="auto"/>
              </w:rPr>
            </w:pPr>
            <w:r>
              <w:rPr>
                <w:rFonts w:ascii="Arial" w:cs="Arial" w:eastAsia="Arial" w:hAnsi="Arial"/>
                <w:sz w:val="12"/>
                <w:szCs w:val="12"/>
                <w:b w:val="1"/>
                <w:bCs w:val="1"/>
                <w:color w:val="auto"/>
              </w:rPr>
              <w:t>Gross margin</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76%</w:t>
            </w:r>
          </w:p>
        </w:tc>
        <w:tc>
          <w:tcPr>
            <w:tcW w:w="680" w:type="dxa"/>
            <w:vAlign w:val="bottom"/>
            <w:gridSpan w:val="3"/>
          </w:tcPr>
          <w:p>
            <w:pPr>
              <w:jc w:val="right"/>
              <w:ind w:right="100"/>
              <w:spacing w:after="0" w:line="139" w:lineRule="exact"/>
              <w:rPr>
                <w:sz w:val="20"/>
                <w:szCs w:val="20"/>
                <w:color w:val="auto"/>
              </w:rPr>
            </w:pPr>
            <w:r>
              <w:rPr>
                <w:rFonts w:ascii="Arial" w:cs="Arial" w:eastAsia="Arial" w:hAnsi="Arial"/>
                <w:sz w:val="13"/>
                <w:szCs w:val="13"/>
                <w:color w:val="auto"/>
              </w:rPr>
              <w:t>75%</w:t>
            </w:r>
          </w:p>
        </w:tc>
        <w:tc>
          <w:tcPr>
            <w:tcW w:w="60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74%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75%</w:t>
            </w:r>
          </w:p>
        </w:tc>
        <w:tc>
          <w:tcPr>
            <w:tcW w:w="660" w:type="dxa"/>
            <w:vAlign w:val="bottom"/>
            <w:gridSpan w:val="3"/>
          </w:tcPr>
          <w:p>
            <w:pPr>
              <w:jc w:val="right"/>
              <w:ind w:right="100"/>
              <w:spacing w:after="0" w:line="139" w:lineRule="exact"/>
              <w:rPr>
                <w:sz w:val="20"/>
                <w:szCs w:val="20"/>
                <w:color w:val="auto"/>
              </w:rPr>
            </w:pPr>
            <w:r>
              <w:rPr>
                <w:rFonts w:ascii="Arial" w:cs="Arial" w:eastAsia="Arial" w:hAnsi="Arial"/>
                <w:sz w:val="13"/>
                <w:szCs w:val="13"/>
                <w:color w:val="auto"/>
              </w:rPr>
              <w:t>74%</w:t>
            </w:r>
          </w:p>
        </w:tc>
        <w:tc>
          <w:tcPr>
            <w:tcW w:w="6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72%</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68%</w:t>
            </w:r>
          </w:p>
        </w:tc>
        <w:tc>
          <w:tcPr>
            <w:tcW w:w="1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80"/>
              <w:spacing w:after="0" w:line="139" w:lineRule="exact"/>
              <w:rPr>
                <w:sz w:val="20"/>
                <w:szCs w:val="20"/>
                <w:color w:val="auto"/>
              </w:rPr>
            </w:pPr>
            <w:r>
              <w:rPr>
                <w:rFonts w:ascii="Arial" w:cs="Arial" w:eastAsia="Arial" w:hAnsi="Arial"/>
                <w:sz w:val="13"/>
                <w:szCs w:val="13"/>
                <w:color w:val="auto"/>
              </w:rPr>
              <w:t>65%</w:t>
            </w:r>
          </w:p>
        </w:tc>
        <w:tc>
          <w:tcPr>
            <w:tcW w:w="66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86%</w:t>
            </w:r>
          </w:p>
        </w:tc>
        <w:tc>
          <w:tcPr>
            <w:tcW w:w="62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89%</w:t>
            </w:r>
          </w:p>
        </w:tc>
        <w:tc>
          <w:tcPr>
            <w:tcW w:w="64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43,084</w:t>
            </w: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7"/>
              </w:rPr>
              <w:t>$39,821</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$ 36,936</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33,658</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30,073</w:t>
            </w:r>
          </w:p>
        </w:tc>
        <w:tc>
          <w:tcPr>
            <w:tcW w:w="66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3"/>
              </w:rPr>
              <w:t>$28,245</w:t>
            </w:r>
          </w:p>
        </w:tc>
        <w:tc>
          <w:tcPr>
            <w:tcW w:w="6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82"/>
              </w:rPr>
              <w:t>$ 26,341</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23,233</w:t>
            </w:r>
          </w:p>
        </w:tc>
        <w:tc>
          <w:tcPr>
            <w:tcW w:w="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16,812</w:t>
            </w:r>
          </w:p>
        </w:tc>
        <w:tc>
          <w:tcPr>
            <w:tcW w:w="66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$3,829</w:t>
            </w:r>
          </w:p>
        </w:tc>
        <w:tc>
          <w:tcPr>
            <w:tcW w:w="4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3"/>
              </w:rPr>
              <w:t>$22,631</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4"/>
              </w:rPr>
              <w:t>$ 18,998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tcPr>
          <w:p>
            <w:pPr>
              <w:spacing w:after="0"/>
              <w:rPr>
                <w:sz w:val="20"/>
                <w:szCs w:val="20"/>
                <w:color w:val="auto"/>
              </w:rPr>
            </w:pPr>
            <w:r>
              <w:rPr>
                <w:rFonts w:ascii="Arial" w:cs="Arial" w:eastAsia="Arial" w:hAnsi="Arial"/>
                <w:sz w:val="12"/>
                <w:szCs w:val="12"/>
                <w:color w:val="auto"/>
              </w:rPr>
              <w:t>Total cost of revenue</w:t>
            </w:r>
          </w:p>
        </w:tc>
        <w:tc>
          <w:tcPr>
            <w:tcW w:w="100" w:type="dxa"/>
            <w:vAlign w:val="bottom"/>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3"/>
                <w:szCs w:val="13"/>
                <w:color w:val="auto"/>
              </w:rPr>
              <w:t>10,485</w:t>
            </w:r>
          </w:p>
        </w:tc>
        <w:tc>
          <w:tcPr>
            <w:tcW w:w="140" w:type="dxa"/>
            <w:vAlign w:val="bottom"/>
          </w:tcPr>
          <w:p>
            <w:pPr>
              <w:spacing w:after="0"/>
              <w:rPr>
                <w:sz w:val="12"/>
                <w:szCs w:val="12"/>
                <w:color w:val="auto"/>
              </w:rPr>
            </w:pPr>
          </w:p>
        </w:tc>
        <w:tc>
          <w:tcPr>
            <w:tcW w:w="680" w:type="dxa"/>
            <w:vAlign w:val="bottom"/>
            <w:gridSpan w:val="3"/>
          </w:tcPr>
          <w:p>
            <w:pPr>
              <w:jc w:val="right"/>
              <w:ind w:right="200"/>
              <w:spacing w:after="0" w:line="139" w:lineRule="exact"/>
              <w:rPr>
                <w:sz w:val="20"/>
                <w:szCs w:val="20"/>
                <w:color w:val="auto"/>
              </w:rPr>
            </w:pPr>
            <w:r>
              <w:rPr>
                <w:rFonts w:ascii="Arial" w:cs="Arial" w:eastAsia="Arial" w:hAnsi="Arial"/>
                <w:sz w:val="13"/>
                <w:szCs w:val="13"/>
                <w:color w:val="auto"/>
              </w:rPr>
              <w:t>9,869</w:t>
            </w: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rPr>
              <w:t>9,437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Arial" w:cs="Arial" w:eastAsia="Arial" w:hAnsi="Arial"/>
                <w:sz w:val="13"/>
                <w:szCs w:val="13"/>
                <w:color w:val="auto"/>
              </w:rPr>
              <w:t>8,314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39" w:lineRule="exact"/>
              <w:rPr>
                <w:sz w:val="20"/>
                <w:szCs w:val="20"/>
                <w:color w:val="auto"/>
              </w:rPr>
            </w:pPr>
            <w:r>
              <w:rPr>
                <w:rFonts w:ascii="Arial" w:cs="Arial" w:eastAsia="Arial" w:hAnsi="Arial"/>
                <w:sz w:val="13"/>
                <w:szCs w:val="13"/>
                <w:color w:val="auto"/>
              </w:rPr>
              <w:t>7,413</w:t>
            </w:r>
          </w:p>
        </w:tc>
        <w:tc>
          <w:tcPr>
            <w:tcW w:w="660" w:type="dxa"/>
            <w:vAlign w:val="bottom"/>
            <w:gridSpan w:val="3"/>
          </w:tcPr>
          <w:p>
            <w:pPr>
              <w:jc w:val="right"/>
              <w:ind w:right="200"/>
              <w:spacing w:after="0" w:line="139" w:lineRule="exact"/>
              <w:rPr>
                <w:sz w:val="20"/>
                <w:szCs w:val="20"/>
                <w:color w:val="auto"/>
              </w:rPr>
            </w:pPr>
            <w:r>
              <w:rPr>
                <w:rFonts w:ascii="Arial" w:cs="Arial" w:eastAsia="Arial" w:hAnsi="Arial"/>
                <w:sz w:val="13"/>
                <w:szCs w:val="13"/>
                <w:color w:val="auto"/>
              </w:rPr>
              <w:t>7,306</w:t>
            </w:r>
          </w:p>
        </w:tc>
        <w:tc>
          <w:tcPr>
            <w:tcW w:w="64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7,435</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7,437</w:t>
            </w:r>
          </w:p>
        </w:tc>
        <w:tc>
          <w:tcPr>
            <w:tcW w:w="1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300"/>
              <w:spacing w:after="0" w:line="139" w:lineRule="exact"/>
              <w:rPr>
                <w:sz w:val="20"/>
                <w:szCs w:val="20"/>
                <w:color w:val="auto"/>
              </w:rPr>
            </w:pPr>
            <w:r>
              <w:rPr>
                <w:rFonts w:ascii="Arial" w:cs="Arial" w:eastAsia="Arial" w:hAnsi="Arial"/>
                <w:sz w:val="13"/>
                <w:szCs w:val="13"/>
                <w:color w:val="auto"/>
              </w:rPr>
              <w:t>5,845</w:t>
            </w:r>
          </w:p>
        </w:tc>
        <w:tc>
          <w:tcPr>
            <w:tcW w:w="660" w:type="dxa"/>
            <w:vAlign w:val="bottom"/>
            <w:gridSpan w:val="3"/>
          </w:tcPr>
          <w:p>
            <w:pPr>
              <w:jc w:val="right"/>
              <w:ind w:right="160"/>
              <w:spacing w:after="0" w:line="139" w:lineRule="exact"/>
              <w:rPr>
                <w:sz w:val="20"/>
                <w:szCs w:val="20"/>
                <w:color w:val="auto"/>
              </w:rPr>
            </w:pPr>
            <w:r>
              <w:rPr>
                <w:rFonts w:ascii="Arial" w:cs="Arial" w:eastAsia="Arial" w:hAnsi="Arial"/>
                <w:sz w:val="13"/>
                <w:szCs w:val="13"/>
                <w:color w:val="auto"/>
              </w:rPr>
              <w:t>532</w:t>
            </w:r>
          </w:p>
        </w:tc>
        <w:tc>
          <w:tcPr>
            <w:tcW w:w="46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2,454</w:t>
            </w:r>
          </w:p>
        </w:tc>
        <w:tc>
          <w:tcPr>
            <w:tcW w:w="160" w:type="dxa"/>
            <w:vAlign w:val="bottom"/>
          </w:tcPr>
          <w:p>
            <w:pPr>
              <w:spacing w:after="0"/>
              <w:rPr>
                <w:sz w:val="12"/>
                <w:szCs w:val="12"/>
                <w:color w:val="auto"/>
              </w:rPr>
            </w:pPr>
          </w:p>
        </w:tc>
        <w:tc>
          <w:tcPr>
            <w:tcW w:w="50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2,342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Reported gross profit</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32,599</w:t>
            </w: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7"/>
              </w:rPr>
              <w:t>$29,952</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$ 27,499</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25,344</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22,660</w:t>
            </w:r>
          </w:p>
        </w:tc>
        <w:tc>
          <w:tcPr>
            <w:tcW w:w="66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3"/>
              </w:rPr>
              <w:t>$20,939</w:t>
            </w:r>
          </w:p>
        </w:tc>
        <w:tc>
          <w:tcPr>
            <w:tcW w:w="6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82"/>
              </w:rPr>
              <w:t>$ 18,906</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15,796</w:t>
            </w:r>
          </w:p>
        </w:tc>
        <w:tc>
          <w:tcPr>
            <w:tcW w:w="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10,967</w:t>
            </w:r>
          </w:p>
        </w:tc>
        <w:tc>
          <w:tcPr>
            <w:tcW w:w="66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$3,297</w:t>
            </w:r>
          </w:p>
        </w:tc>
        <w:tc>
          <w:tcPr>
            <w:tcW w:w="4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3"/>
              </w:rPr>
              <w:t>$20,177</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4"/>
              </w:rPr>
              <w:t>$ 16,656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20" w:type="dxa"/>
            <w:vAlign w:val="bottom"/>
            <w:gridSpan w:val="2"/>
          </w:tcPr>
          <w:p>
            <w:pPr>
              <w:spacing w:after="0" w:line="113" w:lineRule="exact"/>
              <w:rPr>
                <w:sz w:val="20"/>
                <w:szCs w:val="20"/>
                <w:color w:val="auto"/>
              </w:rPr>
            </w:pPr>
            <w:r>
              <w:rPr>
                <w:rFonts w:ascii="Arial" w:cs="Arial" w:eastAsia="Arial" w:hAnsi="Arial"/>
                <w:sz w:val="12"/>
                <w:szCs w:val="12"/>
                <w:color w:val="auto"/>
                <w:w w:val="96"/>
              </w:rPr>
              <w:t>Amortization of intangible assets,</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720" w:type="dxa"/>
            <w:vAlign w:val="bottom"/>
            <w:gridSpan w:val="2"/>
          </w:tcPr>
          <w:p>
            <w:pPr>
              <w:ind w:left="100"/>
              <w:spacing w:after="0" w:line="127" w:lineRule="exact"/>
              <w:rPr>
                <w:sz w:val="20"/>
                <w:szCs w:val="20"/>
                <w:color w:val="auto"/>
              </w:rPr>
            </w:pPr>
            <w:r>
              <w:rPr>
                <w:rFonts w:ascii="Arial" w:cs="Arial" w:eastAsia="Arial" w:hAnsi="Arial"/>
                <w:sz w:val="12"/>
                <w:szCs w:val="12"/>
                <w:color w:val="auto"/>
              </w:rPr>
              <w:t>resulting from purchase</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5,096</w:t>
            </w:r>
          </w:p>
        </w:tc>
        <w:tc>
          <w:tcPr>
            <w:tcW w:w="140" w:type="dxa"/>
            <w:vAlign w:val="bottom"/>
          </w:tcPr>
          <w:p>
            <w:pPr>
              <w:spacing w:after="0"/>
              <w:rPr>
                <w:sz w:val="11"/>
                <w:szCs w:val="11"/>
                <w:color w:val="auto"/>
              </w:rPr>
            </w:pPr>
          </w:p>
        </w:tc>
        <w:tc>
          <w:tcPr>
            <w:tcW w:w="68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5,042</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4,987</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4,994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4,759</w:t>
            </w: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4,708</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4,708</w:t>
            </w:r>
          </w:p>
        </w:tc>
        <w:tc>
          <w:tcPr>
            <w:tcW w:w="100" w:type="dxa"/>
            <w:vAlign w:val="bottom"/>
          </w:tcPr>
          <w:p>
            <w:pPr>
              <w:spacing w:after="0"/>
              <w:rPr>
                <w:sz w:val="11"/>
                <w:szCs w:val="1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4,696</w:t>
            </w:r>
          </w:p>
        </w:tc>
        <w:tc>
          <w:tcPr>
            <w:tcW w:w="140" w:type="dxa"/>
            <w:vAlign w:val="bottom"/>
          </w:tcPr>
          <w:p>
            <w:pPr>
              <w:spacing w:after="0"/>
              <w:rPr>
                <w:sz w:val="11"/>
                <w:szCs w:val="11"/>
                <w:color w:val="auto"/>
              </w:rPr>
            </w:pPr>
          </w:p>
        </w:tc>
        <w:tc>
          <w:tcPr>
            <w:tcW w:w="78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3"/>
                <w:szCs w:val="13"/>
                <w:color w:val="auto"/>
              </w:rPr>
              <w:t>3,906</w:t>
            </w: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41</w:t>
            </w: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rPr>
              <w:t>249</w:t>
            </w:r>
          </w:p>
        </w:tc>
        <w:tc>
          <w:tcPr>
            <w:tcW w:w="160" w:type="dxa"/>
            <w:vAlign w:val="bottom"/>
          </w:tcPr>
          <w:p>
            <w:pPr>
              <w:spacing w:after="0"/>
              <w:rPr>
                <w:sz w:val="11"/>
                <w:szCs w:val="1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20" w:type="dxa"/>
            <w:vAlign w:val="bottom"/>
            <w:gridSpan w:val="2"/>
          </w:tcPr>
          <w:p>
            <w:pPr>
              <w:ind w:left="100"/>
              <w:spacing w:after="0"/>
              <w:rPr>
                <w:sz w:val="20"/>
                <w:szCs w:val="20"/>
                <w:color w:val="auto"/>
              </w:rPr>
            </w:pPr>
            <w:r>
              <w:rPr>
                <w:rFonts w:ascii="Arial" w:cs="Arial" w:eastAsia="Arial" w:hAnsi="Arial"/>
                <w:sz w:val="12"/>
                <w:szCs w:val="12"/>
                <w:color w:val="auto"/>
              </w:rPr>
              <w:t>accounting adjustments</w:t>
            </w: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compensation costs</w:t>
            </w: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48</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16</w:t>
            </w:r>
          </w:p>
        </w:tc>
        <w:tc>
          <w:tcPr>
            <w:tcW w:w="4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15</w:t>
            </w:r>
          </w:p>
        </w:tc>
        <w:tc>
          <w:tcPr>
            <w:tcW w:w="1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16</w:t>
            </w:r>
          </w:p>
        </w:tc>
        <w:tc>
          <w:tcPr>
            <w:tcW w:w="1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16</w:t>
            </w:r>
          </w:p>
        </w:tc>
        <w:tc>
          <w:tcPr>
            <w:tcW w:w="660" w:type="dxa"/>
            <w:vAlign w:val="bottom"/>
            <w:tcBorders>
              <w:bottom w:val="single" w:sz="8" w:color="auto"/>
            </w:tcBorders>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w:t>
            </w:r>
          </w:p>
        </w:tc>
        <w:tc>
          <w:tcPr>
            <w:tcW w:w="640" w:type="dxa"/>
            <w:vAlign w:val="bottom"/>
            <w:tcBorders>
              <w:bottom w:val="single" w:sz="8" w:color="auto"/>
            </w:tcBorders>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107</w:t>
            </w:r>
          </w:p>
        </w:tc>
        <w:tc>
          <w:tcPr>
            <w:tcW w:w="460" w:type="dxa"/>
            <w:vAlign w:val="bottom"/>
            <w:tcBorders>
              <w:bottom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75</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gridSpan w:val="3"/>
          </w:tcPr>
          <w:p>
            <w:pPr>
              <w:spacing w:after="0"/>
              <w:rPr>
                <w:sz w:val="20"/>
                <w:szCs w:val="20"/>
                <w:color w:val="auto"/>
              </w:rPr>
            </w:pPr>
            <w:r>
              <w:rPr>
                <w:rFonts w:ascii="Arial" w:cs="Arial" w:eastAsia="Arial" w:hAnsi="Arial"/>
                <w:sz w:val="12"/>
                <w:szCs w:val="12"/>
                <w:color w:val="auto"/>
              </w:rPr>
              <w:t>Adjusted Gross Profit</w:t>
            </w:r>
          </w:p>
        </w:tc>
        <w:tc>
          <w:tcPr>
            <w:tcW w:w="10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37,743</w:t>
            </w:r>
          </w:p>
        </w:tc>
        <w:tc>
          <w:tcPr>
            <w:tcW w:w="140" w:type="dxa"/>
            <w:vAlign w:val="bottom"/>
          </w:tcPr>
          <w:p>
            <w:pPr>
              <w:spacing w:after="0"/>
              <w:rPr>
                <w:sz w:val="12"/>
                <w:szCs w:val="12"/>
                <w:color w:val="auto"/>
              </w:rPr>
            </w:pPr>
          </w:p>
        </w:tc>
        <w:tc>
          <w:tcPr>
            <w:tcW w:w="68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w w:val="97"/>
              </w:rPr>
              <w:t>$35,010</w:t>
            </w:r>
          </w:p>
        </w:tc>
        <w:tc>
          <w:tcPr>
            <w:tcW w:w="440" w:type="dxa"/>
            <w:vAlign w:val="bottom"/>
          </w:tcPr>
          <w:p>
            <w:pPr>
              <w:jc w:val="right"/>
              <w:spacing w:after="0" w:line="145" w:lineRule="exact"/>
              <w:rPr>
                <w:sz w:val="20"/>
                <w:szCs w:val="20"/>
                <w:color w:val="auto"/>
              </w:rPr>
            </w:pPr>
            <w:r>
              <w:rPr>
                <w:rFonts w:ascii="Arial" w:cs="Arial" w:eastAsia="Arial" w:hAnsi="Arial"/>
                <w:sz w:val="13"/>
                <w:szCs w:val="13"/>
                <w:color w:val="auto"/>
                <w:w w:val="82"/>
              </w:rPr>
              <w:t>$ 32,501</w:t>
            </w:r>
          </w:p>
        </w:tc>
        <w:tc>
          <w:tcPr>
            <w:tcW w:w="160" w:type="dxa"/>
            <w:vAlign w:val="bottom"/>
          </w:tcPr>
          <w:p>
            <w:pPr>
              <w:spacing w:after="0"/>
              <w:rPr>
                <w:sz w:val="12"/>
                <w:szCs w:val="12"/>
                <w:color w:val="auto"/>
              </w:rPr>
            </w:pPr>
          </w:p>
        </w:tc>
        <w:tc>
          <w:tcPr>
            <w:tcW w:w="14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30,354</w:t>
            </w:r>
          </w:p>
        </w:tc>
        <w:tc>
          <w:tcPr>
            <w:tcW w:w="160" w:type="dxa"/>
            <w:vAlign w:val="bottom"/>
          </w:tcPr>
          <w:p>
            <w:pPr>
              <w:spacing w:after="0"/>
              <w:rPr>
                <w:sz w:val="12"/>
                <w:szCs w:val="12"/>
                <w:color w:val="auto"/>
              </w:rPr>
            </w:pPr>
          </w:p>
        </w:tc>
        <w:tc>
          <w:tcPr>
            <w:tcW w:w="120" w:type="dxa"/>
            <w:vAlign w:val="bottom"/>
            <w:gridSpan w:val="2"/>
          </w:tcPr>
          <w:p>
            <w:pPr>
              <w:ind w:left="40"/>
              <w:spacing w:after="0" w:line="145"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27,435</w:t>
            </w:r>
          </w:p>
        </w:tc>
        <w:tc>
          <w:tcPr>
            <w:tcW w:w="66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w w:val="93"/>
              </w:rPr>
              <w:t>$25,662</w:t>
            </w:r>
          </w:p>
        </w:tc>
        <w:tc>
          <w:tcPr>
            <w:tcW w:w="6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w w:val="82"/>
              </w:rPr>
              <w:t>$ 23,629</w:t>
            </w:r>
          </w:p>
        </w:tc>
        <w:tc>
          <w:tcPr>
            <w:tcW w:w="10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20,507</w:t>
            </w:r>
          </w:p>
        </w:tc>
        <w:tc>
          <w:tcPr>
            <w:tcW w:w="1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tcPr>
          <w:p>
            <w:pPr>
              <w:jc w:val="right"/>
              <w:ind w:right="300"/>
              <w:spacing w:after="0" w:line="145" w:lineRule="exact"/>
              <w:rPr>
                <w:sz w:val="20"/>
                <w:szCs w:val="20"/>
                <w:color w:val="auto"/>
              </w:rPr>
            </w:pPr>
            <w:r>
              <w:rPr>
                <w:rFonts w:ascii="Arial" w:cs="Arial" w:eastAsia="Arial" w:hAnsi="Arial"/>
                <w:sz w:val="13"/>
                <w:szCs w:val="13"/>
                <w:color w:val="auto"/>
              </w:rPr>
              <w:t>14,886</w:t>
            </w:r>
          </w:p>
        </w:tc>
        <w:tc>
          <w:tcPr>
            <w:tcW w:w="66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$3,445</w:t>
            </w:r>
          </w:p>
        </w:tc>
        <w:tc>
          <w:tcPr>
            <w:tcW w:w="460" w:type="dxa"/>
            <w:vAlign w:val="bottom"/>
            <w:gridSpan w:val="2"/>
          </w:tcPr>
          <w:p>
            <w:pPr>
              <w:jc w:val="right"/>
              <w:spacing w:after="0" w:line="145" w:lineRule="exact"/>
              <w:rPr>
                <w:sz w:val="20"/>
                <w:szCs w:val="20"/>
                <w:color w:val="auto"/>
              </w:rPr>
            </w:pPr>
            <w:r>
              <w:rPr>
                <w:rFonts w:ascii="Arial" w:cs="Arial" w:eastAsia="Arial" w:hAnsi="Arial"/>
                <w:sz w:val="13"/>
                <w:szCs w:val="13"/>
                <w:color w:val="auto"/>
                <w:w w:val="93"/>
              </w:rPr>
              <w:t>$20,501</w:t>
            </w:r>
          </w:p>
        </w:tc>
        <w:tc>
          <w:tcPr>
            <w:tcW w:w="160" w:type="dxa"/>
            <w:vAlign w:val="bottom"/>
          </w:tcPr>
          <w:p>
            <w:pPr>
              <w:spacing w:after="0"/>
              <w:rPr>
                <w:sz w:val="12"/>
                <w:szCs w:val="12"/>
                <w:color w:val="auto"/>
              </w:rPr>
            </w:pPr>
          </w:p>
        </w:tc>
        <w:tc>
          <w:tcPr>
            <w:tcW w:w="500" w:type="dxa"/>
            <w:vAlign w:val="bottom"/>
            <w:gridSpan w:val="2"/>
          </w:tcPr>
          <w:p>
            <w:pPr>
              <w:jc w:val="right"/>
              <w:spacing w:after="0" w:line="145" w:lineRule="exact"/>
              <w:rPr>
                <w:sz w:val="20"/>
                <w:szCs w:val="20"/>
                <w:color w:val="auto"/>
              </w:rPr>
            </w:pPr>
            <w:r>
              <w:rPr>
                <w:rFonts w:ascii="Arial" w:cs="Arial" w:eastAsia="Arial" w:hAnsi="Arial"/>
                <w:sz w:val="13"/>
                <w:szCs w:val="13"/>
                <w:color w:val="auto"/>
                <w:w w:val="94"/>
              </w:rPr>
              <w:t>$ 16,938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43,084</w:t>
            </w: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7"/>
              </w:rPr>
              <w:t>$39,821</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$ 36,936</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33,658</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30,073</w:t>
            </w:r>
          </w:p>
        </w:tc>
        <w:tc>
          <w:tcPr>
            <w:tcW w:w="66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3"/>
              </w:rPr>
              <w:t>$28,245</w:t>
            </w:r>
          </w:p>
        </w:tc>
        <w:tc>
          <w:tcPr>
            <w:tcW w:w="6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82"/>
              </w:rPr>
              <w:t>$ 26,341</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23,233</w:t>
            </w:r>
          </w:p>
        </w:tc>
        <w:tc>
          <w:tcPr>
            <w:tcW w:w="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16,812</w:t>
            </w:r>
          </w:p>
        </w:tc>
        <w:tc>
          <w:tcPr>
            <w:tcW w:w="66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$3,829</w:t>
            </w:r>
          </w:p>
        </w:tc>
        <w:tc>
          <w:tcPr>
            <w:tcW w:w="4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3"/>
              </w:rPr>
              <w:t>$22,631</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4"/>
              </w:rPr>
              <w:t>$ 18,998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tcPr>
          <w:p>
            <w:pPr>
              <w:spacing w:after="0"/>
              <w:rPr>
                <w:sz w:val="20"/>
                <w:szCs w:val="20"/>
                <w:color w:val="auto"/>
              </w:rPr>
            </w:pPr>
            <w:r>
              <w:rPr>
                <w:rFonts w:ascii="Arial" w:cs="Arial" w:eastAsia="Arial" w:hAnsi="Arial"/>
                <w:sz w:val="12"/>
                <w:szCs w:val="12"/>
                <w:color w:val="auto"/>
              </w:rPr>
              <w:t>Adjusted Gross Margin</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88%</w:t>
            </w:r>
          </w:p>
        </w:tc>
        <w:tc>
          <w:tcPr>
            <w:tcW w:w="680" w:type="dxa"/>
            <w:vAlign w:val="bottom"/>
            <w:gridSpan w:val="3"/>
          </w:tcPr>
          <w:p>
            <w:pPr>
              <w:jc w:val="right"/>
              <w:ind w:right="100"/>
              <w:spacing w:after="0" w:line="139" w:lineRule="exact"/>
              <w:rPr>
                <w:sz w:val="20"/>
                <w:szCs w:val="20"/>
                <w:color w:val="auto"/>
              </w:rPr>
            </w:pPr>
            <w:r>
              <w:rPr>
                <w:rFonts w:ascii="Arial" w:cs="Arial" w:eastAsia="Arial" w:hAnsi="Arial"/>
                <w:sz w:val="13"/>
                <w:szCs w:val="13"/>
                <w:color w:val="auto"/>
              </w:rPr>
              <w:t>88%</w:t>
            </w:r>
          </w:p>
        </w:tc>
        <w:tc>
          <w:tcPr>
            <w:tcW w:w="60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91%</w:t>
            </w:r>
          </w:p>
        </w:tc>
        <w:tc>
          <w:tcPr>
            <w:tcW w:w="660" w:type="dxa"/>
            <w:vAlign w:val="bottom"/>
            <w:gridSpan w:val="3"/>
          </w:tcPr>
          <w:p>
            <w:pPr>
              <w:jc w:val="right"/>
              <w:ind w:right="100"/>
              <w:spacing w:after="0" w:line="139" w:lineRule="exact"/>
              <w:rPr>
                <w:sz w:val="20"/>
                <w:szCs w:val="20"/>
                <w:color w:val="auto"/>
              </w:rPr>
            </w:pPr>
            <w:r>
              <w:rPr>
                <w:rFonts w:ascii="Arial" w:cs="Arial" w:eastAsia="Arial" w:hAnsi="Arial"/>
                <w:sz w:val="13"/>
                <w:szCs w:val="13"/>
                <w:color w:val="auto"/>
              </w:rPr>
              <w:t>91%</w:t>
            </w:r>
          </w:p>
        </w:tc>
        <w:tc>
          <w:tcPr>
            <w:tcW w:w="6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80"/>
              <w:spacing w:after="0" w:line="139" w:lineRule="exact"/>
              <w:rPr>
                <w:sz w:val="20"/>
                <w:szCs w:val="20"/>
                <w:color w:val="auto"/>
              </w:rPr>
            </w:pPr>
            <w:r>
              <w:rPr>
                <w:rFonts w:ascii="Arial" w:cs="Arial" w:eastAsia="Arial" w:hAnsi="Arial"/>
                <w:sz w:val="13"/>
                <w:szCs w:val="13"/>
                <w:color w:val="auto"/>
              </w:rPr>
              <w:t>89%</w:t>
            </w:r>
          </w:p>
        </w:tc>
        <w:tc>
          <w:tcPr>
            <w:tcW w:w="66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90%</w:t>
            </w:r>
          </w:p>
        </w:tc>
        <w:tc>
          <w:tcPr>
            <w:tcW w:w="62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91%</w:t>
            </w:r>
          </w:p>
        </w:tc>
        <w:tc>
          <w:tcPr>
            <w:tcW w:w="64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-1068705</wp:posOffset>
            </wp:positionV>
            <wp:extent cx="825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-280670</wp:posOffset>
            </wp:positionV>
            <wp:extent cx="825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pacing w:after="0" w:line="10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800"/>
          </w:cols>
          <w:pgMar w:left="320" w:top="440" w:right="77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2"/>
              </w:rPr>
              <w:t>Successor</w:t>
            </w: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w w:val="89"/>
              </w:rPr>
              <w:t>Predecessor</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3"/>
          </w:tcPr>
          <w:p>
            <w:pPr>
              <w:jc w:val="center"/>
              <w:ind w:right="180"/>
              <w:spacing w:after="0" w:line="95"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9"/>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7"/>
              </w:rPr>
              <w:t>Three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7"/>
              </w:rPr>
              <w:t>Three</w:t>
            </w:r>
          </w:p>
        </w:tc>
        <w:tc>
          <w:tcPr>
            <w:tcW w:w="940" w:type="dxa"/>
            <w:vAlign w:val="bottom"/>
            <w:tcBorders>
              <w:right w:val="single" w:sz="8" w:color="auto"/>
            </w:tcBorders>
            <w:gridSpan w:val="3"/>
          </w:tcPr>
          <w:p>
            <w:pPr>
              <w:jc w:val="center"/>
              <w:ind w:right="300"/>
              <w:spacing w:after="0" w:line="114" w:lineRule="exact"/>
              <w:rPr>
                <w:sz w:val="20"/>
                <w:szCs w:val="20"/>
                <w:color w:val="auto"/>
              </w:rPr>
            </w:pPr>
            <w:r>
              <w:rPr>
                <w:rFonts w:ascii="Arial" w:cs="Arial" w:eastAsia="Arial" w:hAnsi="Arial"/>
                <w:sz w:val="10"/>
                <w:szCs w:val="10"/>
                <w:b w:val="1"/>
                <w:bCs w:val="1"/>
                <w:color w:val="auto"/>
                <w:w w:val="92"/>
              </w:rPr>
              <w:t>Period from</w:t>
            </w:r>
          </w:p>
        </w:tc>
        <w:tc>
          <w:tcPr>
            <w:tcW w:w="140" w:type="dxa"/>
            <w:vAlign w:val="bottom"/>
          </w:tcPr>
          <w:p>
            <w:pPr>
              <w:spacing w:after="0"/>
              <w:rPr>
                <w:sz w:val="9"/>
                <w:szCs w:val="9"/>
                <w:color w:val="auto"/>
              </w:rPr>
            </w:pPr>
          </w:p>
        </w:tc>
        <w:tc>
          <w:tcPr>
            <w:tcW w:w="5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66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9"/>
              </w:rPr>
              <w:t>Months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62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92"/>
              </w:rPr>
              <w:t>July 16,</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ind w:right="23"/>
              <w:spacing w:after="0" w:line="114" w:lineRule="exact"/>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6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92"/>
              </w:rPr>
              <w:t>2019 to</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54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8"/>
              </w:rPr>
              <w:t>Ended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87"/>
              </w:rPr>
              <w:t>(</w:t>
            </w:r>
            <w:r>
              <w:rPr>
                <w:rFonts w:ascii="Arial" w:cs="Arial" w:eastAsia="Arial" w:hAnsi="Arial"/>
                <w:sz w:val="10"/>
                <w:szCs w:val="10"/>
                <w:b w:val="1"/>
                <w:bCs w:val="1"/>
                <w:color w:val="auto"/>
                <w:w w:val="87"/>
              </w:rPr>
              <w:t>$ in thousands)</w:t>
            </w:r>
          </w:p>
        </w:tc>
        <w:tc>
          <w:tcPr>
            <w:tcW w:w="800" w:type="dxa"/>
            <w:vAlign w:val="bottom"/>
            <w:vMerge w:val="restart"/>
          </w:tcPr>
          <w:p>
            <w:pPr>
              <w:spacing w:after="0"/>
              <w:rPr>
                <w:sz w:val="9"/>
                <w:szCs w:val="9"/>
                <w:color w:val="auto"/>
              </w:rPr>
            </w:pPr>
          </w:p>
        </w:tc>
        <w:tc>
          <w:tcPr>
            <w:tcW w:w="8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9"/>
              </w:rPr>
              <w:t>June 30,</w:t>
            </w:r>
          </w:p>
        </w:tc>
        <w:tc>
          <w:tcPr>
            <w:tcW w:w="660" w:type="dxa"/>
            <w:vAlign w:val="bottom"/>
            <w:gridSpan w:val="3"/>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March 31,</w:t>
            </w:r>
          </w:p>
        </w:tc>
        <w:tc>
          <w:tcPr>
            <w:tcW w:w="7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40" w:type="dxa"/>
            <w:vAlign w:val="bottom"/>
          </w:tcPr>
          <w:p>
            <w:pPr>
              <w:spacing w:after="0"/>
              <w:rPr>
                <w:sz w:val="9"/>
                <w:szCs w:val="9"/>
                <w:color w:val="auto"/>
              </w:rPr>
            </w:pPr>
          </w:p>
        </w:tc>
        <w:tc>
          <w:tcPr>
            <w:tcW w:w="86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2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March 31,</w:t>
            </w:r>
          </w:p>
        </w:tc>
        <w:tc>
          <w:tcPr>
            <w:tcW w:w="40" w:type="dxa"/>
            <w:vAlign w:val="bottom"/>
          </w:tcPr>
          <w:p>
            <w:pPr>
              <w:spacing w:after="0"/>
              <w:rPr>
                <w:sz w:val="9"/>
                <w:szCs w:val="9"/>
                <w:color w:val="auto"/>
              </w:rPr>
            </w:pPr>
          </w:p>
        </w:tc>
        <w:tc>
          <w:tcPr>
            <w:tcW w:w="820" w:type="dxa"/>
            <w:vAlign w:val="bottom"/>
            <w:gridSpan w:val="3"/>
          </w:tcPr>
          <w:p>
            <w:pPr>
              <w:jc w:val="center"/>
              <w:ind w:right="22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940" w:type="dxa"/>
            <w:vAlign w:val="bottom"/>
            <w:tcBorders>
              <w:right w:val="single" w:sz="8" w:color="auto"/>
            </w:tcBorders>
            <w:gridSpan w:val="3"/>
          </w:tcPr>
          <w:p>
            <w:pPr>
              <w:jc w:val="center"/>
              <w:ind w:right="32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140" w:type="dxa"/>
            <w:vAlign w:val="bottom"/>
          </w:tcPr>
          <w:p>
            <w:pPr>
              <w:spacing w:after="0"/>
              <w:rPr>
                <w:sz w:val="9"/>
                <w:szCs w:val="9"/>
                <w:color w:val="auto"/>
              </w:rPr>
            </w:pPr>
          </w:p>
        </w:tc>
        <w:tc>
          <w:tcPr>
            <w:tcW w:w="5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4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6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23"/>
              <w:spacing w:after="0" w:line="113" w:lineRule="exact"/>
              <w:rPr>
                <w:sz w:val="20"/>
                <w:szCs w:val="20"/>
                <w:color w:val="auto"/>
              </w:rPr>
            </w:pPr>
            <w:r>
              <w:rPr>
                <w:rFonts w:ascii="Arial" w:cs="Arial" w:eastAsia="Arial" w:hAnsi="Arial"/>
                <w:sz w:val="10"/>
                <w:szCs w:val="10"/>
                <w:b w:val="1"/>
                <w:bCs w:val="1"/>
                <w:color w:val="auto"/>
                <w:w w:val="89"/>
              </w:rPr>
              <w:t>2021</w:t>
            </w:r>
          </w:p>
        </w:tc>
        <w:tc>
          <w:tcPr>
            <w:tcW w:w="180" w:type="dxa"/>
            <w:vAlign w:val="bottom"/>
          </w:tcPr>
          <w:p>
            <w:pPr>
              <w:spacing w:after="0"/>
              <w:rPr>
                <w:sz w:val="11"/>
                <w:szCs w:val="11"/>
                <w:color w:val="auto"/>
              </w:rPr>
            </w:pPr>
          </w:p>
        </w:tc>
        <w:tc>
          <w:tcPr>
            <w:tcW w:w="48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auto"/>
                <w:w w:val="89"/>
              </w:rPr>
              <w:t>2021</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ind w:right="2"/>
              <w:spacing w:after="0" w:line="113" w:lineRule="exact"/>
              <w:rPr>
                <w:sz w:val="20"/>
                <w:szCs w:val="20"/>
                <w:color w:val="auto"/>
              </w:rPr>
            </w:pPr>
            <w:r>
              <w:rPr>
                <w:rFonts w:ascii="Arial" w:cs="Arial" w:eastAsia="Arial" w:hAnsi="Arial"/>
                <w:sz w:val="10"/>
                <w:szCs w:val="10"/>
                <w:b w:val="1"/>
                <w:bCs w:val="1"/>
                <w:color w:val="auto"/>
                <w:w w:val="89"/>
              </w:rPr>
              <w:t>2021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3"/>
              <w:spacing w:after="0" w:line="113"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3"/>
              <w:spacing w:after="0" w:line="113" w:lineRule="exact"/>
              <w:rPr>
                <w:sz w:val="20"/>
                <w:szCs w:val="20"/>
                <w:color w:val="auto"/>
              </w:rPr>
            </w:pPr>
            <w:r>
              <w:rPr>
                <w:rFonts w:ascii="Arial" w:cs="Arial" w:eastAsia="Arial" w:hAnsi="Arial"/>
                <w:sz w:val="10"/>
                <w:szCs w:val="10"/>
                <w:b w:val="1"/>
                <w:bCs w:val="1"/>
                <w:color w:val="auto"/>
                <w:w w:val="89"/>
              </w:rPr>
              <w:t>2020</w:t>
            </w:r>
          </w:p>
        </w:tc>
        <w:tc>
          <w:tcPr>
            <w:tcW w:w="240" w:type="dxa"/>
            <w:vAlign w:val="bottom"/>
          </w:tcPr>
          <w:p>
            <w:pPr>
              <w:spacing w:after="0"/>
              <w:rPr>
                <w:sz w:val="11"/>
                <w:szCs w:val="11"/>
                <w:color w:val="auto"/>
              </w:rPr>
            </w:pPr>
          </w:p>
        </w:tc>
        <w:tc>
          <w:tcPr>
            <w:tcW w:w="4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8"/>
              </w:rPr>
              <w:t>2020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ind w:right="2"/>
              <w:spacing w:after="0" w:line="113"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3"/>
              <w:spacing w:after="0" w:line="113" w:lineRule="exact"/>
              <w:rPr>
                <w:sz w:val="20"/>
                <w:szCs w:val="20"/>
                <w:color w:val="auto"/>
              </w:rPr>
            </w:pPr>
            <w:r>
              <w:rPr>
                <w:rFonts w:ascii="Arial" w:cs="Arial" w:eastAsia="Arial" w:hAnsi="Arial"/>
                <w:sz w:val="10"/>
                <w:szCs w:val="10"/>
                <w:b w:val="1"/>
                <w:bCs w:val="1"/>
                <w:color w:val="auto"/>
                <w:w w:val="89"/>
              </w:rPr>
              <w:t>2019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22"/>
              <w:spacing w:after="0" w:line="113" w:lineRule="exact"/>
              <w:rPr>
                <w:sz w:val="20"/>
                <w:szCs w:val="20"/>
                <w:color w:val="auto"/>
              </w:rPr>
            </w:pPr>
            <w:r>
              <w:rPr>
                <w:rFonts w:ascii="Arial" w:cs="Arial" w:eastAsia="Arial" w:hAnsi="Arial"/>
                <w:sz w:val="10"/>
                <w:szCs w:val="10"/>
                <w:b w:val="1"/>
                <w:bCs w:val="1"/>
                <w:color w:val="auto"/>
                <w:w w:val="89"/>
              </w:rPr>
              <w:t>2019</w:t>
            </w:r>
          </w:p>
        </w:tc>
        <w:tc>
          <w:tcPr>
            <w:tcW w:w="3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center"/>
              <w:ind w:right="23"/>
              <w:spacing w:after="0" w:line="113" w:lineRule="exact"/>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center"/>
              <w:ind w:right="2"/>
              <w:spacing w:after="0" w:line="113" w:lineRule="exact"/>
              <w:rPr>
                <w:sz w:val="20"/>
                <w:szCs w:val="20"/>
                <w:color w:val="auto"/>
              </w:rPr>
            </w:pPr>
            <w:r>
              <w:rPr>
                <w:rFonts w:ascii="Arial" w:cs="Arial" w:eastAsia="Arial" w:hAnsi="Arial"/>
                <w:sz w:val="10"/>
                <w:szCs w:val="10"/>
                <w:b w:val="1"/>
                <w:bCs w:val="1"/>
                <w:color w:val="auto"/>
                <w:w w:val="98"/>
              </w:rPr>
              <w:t>2019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2"/>
              <w:spacing w:after="0" w:line="113"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500" w:type="dxa"/>
            <w:vAlign w:val="bottom"/>
            <w:tcBorders>
              <w:top w:val="single" w:sz="8" w:color="CCEEFF"/>
            </w:tcBorders>
            <w:gridSpan w:val="2"/>
            <w:shd w:val="clear" w:color="auto" w:fill="CCEEFF"/>
          </w:tcPr>
          <w:p>
            <w:pPr>
              <w:spacing w:after="0" w:line="112" w:lineRule="exact"/>
              <w:rPr>
                <w:sz w:val="20"/>
                <w:szCs w:val="20"/>
                <w:color w:val="auto"/>
              </w:rPr>
            </w:pPr>
            <w:r>
              <w:rPr>
                <w:rFonts w:ascii="Arial" w:cs="Arial" w:eastAsia="Arial" w:hAnsi="Arial"/>
                <w:sz w:val="12"/>
                <w:szCs w:val="12"/>
                <w:color w:val="auto"/>
              </w:rPr>
              <w:t>Net (loss)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(20,966)</w:t>
            </w: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77"/>
              </w:rPr>
              <w:t>$(15,039)</w:t>
            </w:r>
          </w:p>
        </w:tc>
        <w:tc>
          <w:tcPr>
            <w:tcW w:w="2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0"/>
              </w:rPr>
              <w:t>(10,488)</w:t>
            </w: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(15,862)</w:t>
            </w:r>
          </w:p>
        </w:tc>
        <w:tc>
          <w:tcPr>
            <w:tcW w:w="1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(9,962)</w:t>
            </w:r>
          </w:p>
        </w:tc>
        <w:tc>
          <w:tcPr>
            <w:tcW w:w="2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77"/>
              </w:rPr>
              <w:t>$(11,498)</w:t>
            </w: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0"/>
              </w:rPr>
              <w:t>(13,835)</w:t>
            </w:r>
          </w:p>
        </w:tc>
        <w:tc>
          <w:tcPr>
            <w:tcW w:w="1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(18,480)</w:t>
            </w: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(30,786)</w:t>
            </w:r>
          </w:p>
        </w:tc>
        <w:tc>
          <w:tcPr>
            <w:tcW w:w="320" w:type="dxa"/>
            <w:vAlign w:val="bottom"/>
            <w:tcBorders>
              <w:top w:val="single" w:sz="8" w:color="CCEEFF"/>
              <w:right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92"/>
              </w:rPr>
              <w:t>(639)</w:t>
            </w: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99"/>
              </w:rPr>
              <w:t>7,964</w:t>
            </w: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5,543</w:t>
            </w: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rPr>
              <w:t>Interest expense, net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7,186</w:t>
            </w:r>
          </w:p>
        </w:tc>
        <w:tc>
          <w:tcPr>
            <w:tcW w:w="48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8,316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8,454</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8,688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9,022</w:t>
            </w:r>
          </w:p>
        </w:tc>
        <w:tc>
          <w:tcPr>
            <w:tcW w:w="240" w:type="dxa"/>
            <w:vAlign w:val="bottom"/>
          </w:tcPr>
          <w:p>
            <w:pPr>
              <w:spacing w:after="0"/>
              <w:rPr>
                <w:sz w:val="11"/>
                <w:szCs w:val="11"/>
                <w:color w:val="auto"/>
              </w:rPr>
            </w:pPr>
          </w:p>
        </w:tc>
        <w:tc>
          <w:tcPr>
            <w:tcW w:w="6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9,328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9,452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9,894</w:t>
            </w:r>
          </w:p>
        </w:tc>
        <w:tc>
          <w:tcPr>
            <w:tcW w:w="10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320"/>
              <w:spacing w:after="0" w:line="127" w:lineRule="exact"/>
              <w:rPr>
                <w:sz w:val="20"/>
                <w:szCs w:val="20"/>
                <w:color w:val="auto"/>
              </w:rPr>
            </w:pPr>
            <w:r>
              <w:rPr>
                <w:rFonts w:ascii="Arial" w:cs="Arial" w:eastAsia="Arial" w:hAnsi="Arial"/>
                <w:sz w:val="12"/>
                <w:szCs w:val="12"/>
                <w:color w:val="auto"/>
              </w:rPr>
              <w:t>8,310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27" w:lineRule="exact"/>
              <w:rPr>
                <w:sz w:val="20"/>
                <w:szCs w:val="20"/>
                <w:color w:val="auto"/>
              </w:rPr>
            </w:pPr>
            <w:r>
              <w:rPr>
                <w:rFonts w:ascii="Arial" w:cs="Arial" w:eastAsia="Arial" w:hAnsi="Arial"/>
                <w:sz w:val="12"/>
                <w:szCs w:val="12"/>
                <w:color w:val="auto"/>
              </w:rPr>
              <w:t>58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Loss from extinguishment</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2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5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of debt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9,873</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rPr>
              <w:t>Depreciation</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452</w:t>
            </w:r>
          </w:p>
        </w:tc>
        <w:tc>
          <w:tcPr>
            <w:tcW w:w="72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rPr>
              <w:t>400</w:t>
            </w:r>
          </w:p>
        </w:tc>
        <w:tc>
          <w:tcPr>
            <w:tcW w:w="60" w:type="dxa"/>
            <w:vAlign w:val="bottom"/>
          </w:tcPr>
          <w:p>
            <w:pPr>
              <w:spacing w:after="0"/>
              <w:rPr>
                <w:sz w:val="11"/>
                <w:szCs w:val="11"/>
                <w:color w:val="auto"/>
              </w:rPr>
            </w:pPr>
          </w:p>
        </w:tc>
        <w:tc>
          <w:tcPr>
            <w:tcW w:w="60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341</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335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301</w:t>
            </w:r>
          </w:p>
        </w:tc>
        <w:tc>
          <w:tcPr>
            <w:tcW w:w="6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257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259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261</w:t>
            </w:r>
          </w:p>
        </w:tc>
        <w:tc>
          <w:tcPr>
            <w:tcW w:w="10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320"/>
              <w:spacing w:after="0" w:line="127" w:lineRule="exact"/>
              <w:rPr>
                <w:sz w:val="20"/>
                <w:szCs w:val="20"/>
                <w:color w:val="auto"/>
              </w:rPr>
            </w:pPr>
            <w:r>
              <w:rPr>
                <w:rFonts w:ascii="Arial" w:cs="Arial" w:eastAsia="Arial" w:hAnsi="Arial"/>
                <w:sz w:val="12"/>
                <w:szCs w:val="12"/>
                <w:color w:val="auto"/>
              </w:rPr>
              <w:t>195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right"/>
              <w:spacing w:after="0" w:line="127" w:lineRule="exact"/>
              <w:rPr>
                <w:sz w:val="20"/>
                <w:szCs w:val="20"/>
                <w:color w:val="auto"/>
              </w:rPr>
            </w:pPr>
            <w:r>
              <w:rPr>
                <w:rFonts w:ascii="Arial" w:cs="Arial" w:eastAsia="Arial" w:hAnsi="Arial"/>
                <w:sz w:val="12"/>
                <w:szCs w:val="12"/>
                <w:color w:val="auto"/>
              </w:rPr>
              <w:t>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222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Amortization of intangible</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2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5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assets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14,664</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14,507</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7"/>
              </w:rPr>
              <w:t>14,346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14,930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14,605</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14,447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7"/>
              </w:rPr>
              <w:t>14,446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16,755</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13,862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972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908</w:t>
            </w:r>
          </w:p>
        </w:tc>
        <w:tc>
          <w:tcPr>
            <w:tcW w:w="0" w:type="dxa"/>
            <w:vAlign w:val="bottom"/>
          </w:tcPr>
          <w:p>
            <w:pPr>
              <w:spacing w:after="0"/>
              <w:rPr>
                <w:sz w:val="1"/>
                <w:szCs w:val="1"/>
                <w:color w:val="auto"/>
              </w:rPr>
            </w:pPr>
          </w:p>
        </w:tc>
      </w:tr>
      <w:tr>
        <w:trPr>
          <w:trHeight w:val="132"/>
        </w:trPr>
        <w:tc>
          <w:tcPr>
            <w:tcW w:w="1500" w:type="dxa"/>
            <w:vAlign w:val="bottom"/>
            <w:gridSpan w:val="2"/>
          </w:tcPr>
          <w:p>
            <w:pPr>
              <w:spacing w:after="0" w:line="132" w:lineRule="exact"/>
              <w:rPr>
                <w:sz w:val="20"/>
                <w:szCs w:val="20"/>
                <w:color w:val="auto"/>
              </w:rPr>
            </w:pPr>
            <w:r>
              <w:rPr>
                <w:rFonts w:ascii="Arial" w:cs="Arial" w:eastAsia="Arial" w:hAnsi="Arial"/>
                <w:sz w:val="12"/>
                <w:szCs w:val="12"/>
                <w:color w:val="auto"/>
              </w:rPr>
              <w:t>EBITDA</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180"/>
              <w:spacing w:after="0" w:line="132" w:lineRule="exact"/>
              <w:rPr>
                <w:sz w:val="20"/>
                <w:szCs w:val="20"/>
                <w:color w:val="auto"/>
              </w:rPr>
            </w:pPr>
            <w:r>
              <w:rPr>
                <w:rFonts w:ascii="Arial" w:cs="Arial" w:eastAsia="Arial" w:hAnsi="Arial"/>
                <w:sz w:val="12"/>
                <w:szCs w:val="12"/>
                <w:color w:val="auto"/>
              </w:rPr>
              <w:t>11,209</w:t>
            </w:r>
          </w:p>
        </w:tc>
        <w:tc>
          <w:tcPr>
            <w:tcW w:w="480" w:type="dxa"/>
            <w:vAlign w:val="bottom"/>
            <w:tcBorders>
              <w:top w:val="single" w:sz="8" w:color="auto"/>
            </w:tcBorders>
            <w:gridSpan w:val="2"/>
          </w:tcPr>
          <w:p>
            <w:pPr>
              <w:jc w:val="right"/>
              <w:spacing w:after="0" w:line="132" w:lineRule="exact"/>
              <w:rPr>
                <w:sz w:val="20"/>
                <w:szCs w:val="20"/>
                <w:color w:val="auto"/>
              </w:rPr>
            </w:pPr>
            <w:r>
              <w:rPr>
                <w:rFonts w:ascii="Arial" w:cs="Arial" w:eastAsia="Arial" w:hAnsi="Arial"/>
                <w:sz w:val="12"/>
                <w:szCs w:val="12"/>
                <w:color w:val="auto"/>
              </w:rPr>
              <w:t>8,184</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220"/>
              <w:spacing w:after="0" w:line="132" w:lineRule="exact"/>
              <w:rPr>
                <w:sz w:val="20"/>
                <w:szCs w:val="20"/>
                <w:color w:val="auto"/>
              </w:rPr>
            </w:pPr>
            <w:r>
              <w:rPr>
                <w:rFonts w:ascii="Arial" w:cs="Arial" w:eastAsia="Arial" w:hAnsi="Arial"/>
                <w:sz w:val="12"/>
                <w:szCs w:val="12"/>
                <w:color w:val="auto"/>
                <w:w w:val="97"/>
              </w:rPr>
              <w:t>12,653</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180"/>
              <w:spacing w:after="0" w:line="132" w:lineRule="exact"/>
              <w:rPr>
                <w:sz w:val="20"/>
                <w:szCs w:val="20"/>
                <w:color w:val="auto"/>
              </w:rPr>
            </w:pPr>
            <w:r>
              <w:rPr>
                <w:rFonts w:ascii="Arial" w:cs="Arial" w:eastAsia="Arial" w:hAnsi="Arial"/>
                <w:sz w:val="12"/>
                <w:szCs w:val="12"/>
                <w:color w:val="auto"/>
              </w:rPr>
              <w:t>8,091</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40"/>
              <w:spacing w:after="0" w:line="132" w:lineRule="exact"/>
              <w:rPr>
                <w:sz w:val="20"/>
                <w:szCs w:val="20"/>
                <w:color w:val="auto"/>
              </w:rPr>
            </w:pPr>
            <w:r>
              <w:rPr>
                <w:rFonts w:ascii="Arial" w:cs="Arial" w:eastAsia="Arial" w:hAnsi="Arial"/>
                <w:sz w:val="12"/>
                <w:szCs w:val="12"/>
                <w:color w:val="auto"/>
              </w:rPr>
              <w:t>13,966</w:t>
            </w:r>
          </w:p>
        </w:tc>
        <w:tc>
          <w:tcPr>
            <w:tcW w:w="600" w:type="dxa"/>
            <w:vAlign w:val="bottom"/>
            <w:tcBorders>
              <w:top w:val="single" w:sz="8" w:color="auto"/>
            </w:tcBorders>
            <w:gridSpan w:val="2"/>
          </w:tcPr>
          <w:p>
            <w:pPr>
              <w:jc w:val="right"/>
              <w:ind w:right="180"/>
              <w:spacing w:after="0" w:line="132" w:lineRule="exact"/>
              <w:rPr>
                <w:sz w:val="20"/>
                <w:szCs w:val="20"/>
                <w:color w:val="auto"/>
              </w:rPr>
            </w:pPr>
            <w:r>
              <w:rPr>
                <w:rFonts w:ascii="Arial" w:cs="Arial" w:eastAsia="Arial" w:hAnsi="Arial"/>
                <w:sz w:val="12"/>
                <w:szCs w:val="12"/>
                <w:color w:val="auto"/>
              </w:rPr>
              <w:t>12,534</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180"/>
              <w:spacing w:after="0" w:line="132" w:lineRule="exact"/>
              <w:rPr>
                <w:sz w:val="20"/>
                <w:szCs w:val="20"/>
                <w:color w:val="auto"/>
              </w:rPr>
            </w:pPr>
            <w:r>
              <w:rPr>
                <w:rFonts w:ascii="Arial" w:cs="Arial" w:eastAsia="Arial" w:hAnsi="Arial"/>
                <w:sz w:val="12"/>
                <w:szCs w:val="12"/>
                <w:color w:val="auto"/>
                <w:w w:val="97"/>
              </w:rPr>
              <w:t>10,322</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220"/>
              <w:spacing w:after="0" w:line="132" w:lineRule="exact"/>
              <w:rPr>
                <w:sz w:val="20"/>
                <w:szCs w:val="20"/>
                <w:color w:val="auto"/>
              </w:rPr>
            </w:pPr>
            <w:r>
              <w:rPr>
                <w:rFonts w:ascii="Arial" w:cs="Arial" w:eastAsia="Arial" w:hAnsi="Arial"/>
                <w:sz w:val="12"/>
                <w:szCs w:val="12"/>
                <w:color w:val="auto"/>
              </w:rPr>
              <w:t>8,430</w:t>
            </w: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gridSpan w:val="2"/>
          </w:tcPr>
          <w:p>
            <w:pPr>
              <w:jc w:val="right"/>
              <w:ind w:right="280"/>
              <w:spacing w:after="0" w:line="132" w:lineRule="exact"/>
              <w:rPr>
                <w:sz w:val="20"/>
                <w:szCs w:val="20"/>
                <w:color w:val="auto"/>
              </w:rPr>
            </w:pPr>
            <w:r>
              <w:rPr>
                <w:rFonts w:ascii="Arial" w:cs="Arial" w:eastAsia="Arial" w:hAnsi="Arial"/>
                <w:sz w:val="12"/>
                <w:szCs w:val="12"/>
                <w:color w:val="auto"/>
              </w:rPr>
              <w:t>(8,419)</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ind w:right="120"/>
              <w:spacing w:after="0" w:line="132" w:lineRule="exact"/>
              <w:rPr>
                <w:sz w:val="20"/>
                <w:szCs w:val="20"/>
                <w:color w:val="auto"/>
              </w:rPr>
            </w:pPr>
            <w:r>
              <w:rPr>
                <w:rFonts w:ascii="Arial" w:cs="Arial" w:eastAsia="Arial" w:hAnsi="Arial"/>
                <w:sz w:val="12"/>
                <w:szCs w:val="12"/>
                <w:color w:val="auto"/>
              </w:rPr>
              <w:t>(446)</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160"/>
              <w:spacing w:after="0" w:line="132" w:lineRule="exact"/>
              <w:rPr>
                <w:sz w:val="20"/>
                <w:szCs w:val="20"/>
                <w:color w:val="auto"/>
              </w:rPr>
            </w:pPr>
            <w:r>
              <w:rPr>
                <w:rFonts w:ascii="Arial" w:cs="Arial" w:eastAsia="Arial" w:hAnsi="Arial"/>
                <w:sz w:val="12"/>
                <w:szCs w:val="12"/>
                <w:color w:val="auto"/>
                <w:w w:val="99"/>
              </w:rPr>
              <w:t>9,216</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6,728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w w:val="90"/>
              </w:rPr>
              <w:t>Other (income) expense, net</w:t>
            </w:r>
            <w:r>
              <w:rPr>
                <w:rFonts w:ascii="Arial" w:cs="Arial" w:eastAsia="Arial" w:hAnsi="Arial"/>
                <w:sz w:val="10"/>
                <w:szCs w:val="10"/>
                <w:color w:val="auto"/>
                <w:w w:val="90"/>
              </w:rPr>
              <w:t>(1)</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(119)</w:t>
            </w:r>
          </w:p>
        </w:tc>
        <w:tc>
          <w:tcPr>
            <w:tcW w:w="72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222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shd w:val="clear" w:color="auto" w:fill="CCEEFF"/>
          </w:tcPr>
          <w:p>
            <w:pPr>
              <w:jc w:val="right"/>
              <w:ind w:right="380"/>
              <w:spacing w:after="0" w:line="12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w w:val="95"/>
              </w:rPr>
              <w:t>Equity compensation costs</w:t>
            </w:r>
            <w:r>
              <w:rPr>
                <w:rFonts w:ascii="Arial" w:cs="Arial" w:eastAsia="Arial" w:hAnsi="Arial"/>
                <w:sz w:val="10"/>
                <w:szCs w:val="10"/>
                <w:color w:val="auto"/>
                <w:w w:val="95"/>
              </w:rPr>
              <w:t>(2)</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2,317</w:t>
            </w:r>
          </w:p>
        </w:tc>
        <w:tc>
          <w:tcPr>
            <w:tcW w:w="48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1,615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406</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458</w:t>
            </w:r>
          </w:p>
        </w:tc>
        <w:tc>
          <w:tcPr>
            <w:tcW w:w="6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442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430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412</w:t>
            </w:r>
          </w:p>
        </w:tc>
        <w:tc>
          <w:tcPr>
            <w:tcW w:w="10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320"/>
              <w:spacing w:after="0" w:line="127" w:lineRule="exact"/>
              <w:rPr>
                <w:sz w:val="20"/>
                <w:szCs w:val="20"/>
                <w:color w:val="auto"/>
              </w:rPr>
            </w:pPr>
            <w:r>
              <w:rPr>
                <w:rFonts w:ascii="Arial" w:cs="Arial" w:eastAsia="Arial" w:hAnsi="Arial"/>
                <w:sz w:val="12"/>
                <w:szCs w:val="12"/>
                <w:color w:val="auto"/>
              </w:rPr>
              <w:t>332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86"/>
              </w:rPr>
              <w:t>2,402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9"/>
              </w:rPr>
              <w:t>1,712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1,693</w:t>
            </w: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Acquisition related</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2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5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expenses</w:t>
            </w: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3,431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3,028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(678)</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15,381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1,019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13"/>
        </w:trPr>
        <w:tc>
          <w:tcPr>
            <w:tcW w:w="1500" w:type="dxa"/>
            <w:vAlign w:val="bottom"/>
            <w:gridSpan w:val="2"/>
          </w:tcPr>
          <w:p>
            <w:pPr>
              <w:spacing w:after="0" w:line="113" w:lineRule="exact"/>
              <w:rPr>
                <w:sz w:val="20"/>
                <w:szCs w:val="20"/>
                <w:color w:val="auto"/>
              </w:rPr>
            </w:pPr>
            <w:r>
              <w:rPr>
                <w:rFonts w:ascii="Arial" w:cs="Arial" w:eastAsia="Arial" w:hAnsi="Arial"/>
                <w:sz w:val="12"/>
                <w:szCs w:val="12"/>
                <w:color w:val="auto"/>
              </w:rPr>
              <w:t>Non-recurring and one-</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500" w:type="dxa"/>
            <w:vAlign w:val="bottom"/>
            <w:gridSpan w:val="2"/>
          </w:tcPr>
          <w:p>
            <w:pPr>
              <w:ind w:left="120"/>
              <w:spacing w:after="0"/>
              <w:rPr>
                <w:sz w:val="20"/>
                <w:szCs w:val="20"/>
                <w:color w:val="auto"/>
              </w:rPr>
            </w:pPr>
            <w:r>
              <w:rPr>
                <w:rFonts w:ascii="Arial" w:cs="Arial" w:eastAsia="Arial" w:hAnsi="Arial"/>
                <w:sz w:val="12"/>
                <w:szCs w:val="12"/>
                <w:color w:val="auto"/>
              </w:rPr>
              <w:t>time items</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1,149</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1,069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1,095</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1,043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890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877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2,622</w:t>
            </w:r>
          </w:p>
        </w:tc>
        <w:tc>
          <w:tcPr>
            <w:tcW w:w="10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2"/>
                <w:szCs w:val="12"/>
                <w:color w:val="auto"/>
              </w:rPr>
              <w:t>571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128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546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127"/>
        </w:trPr>
        <w:tc>
          <w:tcPr>
            <w:tcW w:w="15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Adjusted EBITDA</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14,419</w:t>
            </w:r>
          </w:p>
        </w:tc>
        <w:tc>
          <w:tcPr>
            <w:tcW w:w="72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14,399</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w w:val="97"/>
              </w:rPr>
              <w:t>14,068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12,801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14,501</w:t>
            </w:r>
          </w:p>
        </w:tc>
        <w:tc>
          <w:tcPr>
            <w:tcW w:w="60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14,134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w w:val="97"/>
              </w:rPr>
              <w:t>12,069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rPr>
              <w:t>10,786</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shd w:val="clear" w:color="auto" w:fill="CCEEFF"/>
          </w:tcPr>
          <w:p>
            <w:pPr>
              <w:jc w:val="right"/>
              <w:ind w:right="320"/>
              <w:spacing w:after="0" w:line="127" w:lineRule="exact"/>
              <w:rPr>
                <w:sz w:val="20"/>
                <w:szCs w:val="20"/>
                <w:color w:val="auto"/>
              </w:rPr>
            </w:pPr>
            <w:r>
              <w:rPr>
                <w:rFonts w:ascii="Arial" w:cs="Arial" w:eastAsia="Arial" w:hAnsi="Arial"/>
                <w:sz w:val="12"/>
                <w:szCs w:val="12"/>
                <w:color w:val="auto"/>
              </w:rPr>
              <w:t>7,865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6"/>
              </w:rPr>
              <w:t>2,084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1"/>
              </w:rPr>
              <w:t>12,493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9,079</w:t>
            </w: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rPr>
              <w:t>Revenue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43,084</w:t>
            </w:r>
          </w:p>
        </w:tc>
        <w:tc>
          <w:tcPr>
            <w:tcW w:w="72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w w:val="98"/>
              </w:rPr>
              <w:t>$ 39,821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w w:val="97"/>
              </w:rPr>
              <w:t>36,936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33,658</w:t>
            </w:r>
          </w:p>
        </w:tc>
        <w:tc>
          <w:tcPr>
            <w:tcW w:w="12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30,073</w:t>
            </w:r>
          </w:p>
        </w:tc>
        <w:tc>
          <w:tcPr>
            <w:tcW w:w="6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w w:val="85"/>
              </w:rPr>
              <w:t>$ 28,245</w:t>
            </w:r>
          </w:p>
        </w:tc>
        <w:tc>
          <w:tcPr>
            <w:tcW w:w="12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w w:val="97"/>
              </w:rPr>
              <w:t>26,341</w:t>
            </w:r>
          </w:p>
        </w:tc>
        <w:tc>
          <w:tcPr>
            <w:tcW w:w="1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23,233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right w:val="single" w:sz="8" w:color="auto"/>
            </w:tcBorders>
            <w:gridSpan w:val="2"/>
          </w:tcPr>
          <w:p>
            <w:pPr>
              <w:jc w:val="right"/>
              <w:ind w:right="320"/>
              <w:spacing w:after="0" w:line="127" w:lineRule="exact"/>
              <w:rPr>
                <w:sz w:val="20"/>
                <w:szCs w:val="20"/>
                <w:color w:val="auto"/>
              </w:rPr>
            </w:pPr>
            <w:r>
              <w:rPr>
                <w:rFonts w:ascii="Arial" w:cs="Arial" w:eastAsia="Arial" w:hAnsi="Arial"/>
                <w:sz w:val="12"/>
                <w:szCs w:val="12"/>
                <w:color w:val="auto"/>
              </w:rPr>
              <w:t>16,812</w:t>
            </w:r>
          </w:p>
        </w:tc>
        <w:tc>
          <w:tcPr>
            <w:tcW w:w="20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86"/>
              </w:rPr>
              <w:t>3,829</w:t>
            </w:r>
          </w:p>
        </w:tc>
        <w:tc>
          <w:tcPr>
            <w:tcW w:w="1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81"/>
              </w:rPr>
              <w:t>22,631</w:t>
            </w:r>
          </w:p>
        </w:tc>
        <w:tc>
          <w:tcPr>
            <w:tcW w:w="12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w w:val="97"/>
              </w:rPr>
              <w:t>18,998</w:t>
            </w:r>
          </w:p>
        </w:tc>
        <w:tc>
          <w:tcPr>
            <w:tcW w:w="0" w:type="dxa"/>
            <w:vAlign w:val="bottom"/>
          </w:tcPr>
          <w:p>
            <w:pPr>
              <w:spacing w:after="0"/>
              <w:rPr>
                <w:sz w:val="1"/>
                <w:szCs w:val="1"/>
                <w:color w:val="auto"/>
              </w:rPr>
            </w:pPr>
          </w:p>
        </w:tc>
      </w:tr>
      <w:tr>
        <w:trPr>
          <w:trHeight w:val="127"/>
        </w:trPr>
        <w:tc>
          <w:tcPr>
            <w:tcW w:w="15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Net (loss) income margin</w:t>
            </w:r>
            <w:r>
              <w:rPr>
                <w:rFonts w:ascii="Arial" w:cs="Arial" w:eastAsia="Arial" w:hAnsi="Arial"/>
                <w:sz w:val="10"/>
                <w:szCs w:val="10"/>
                <w:color w:val="auto"/>
              </w:rPr>
              <w:t>(5)</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(49)%</w:t>
            </w:r>
          </w:p>
        </w:tc>
        <w:tc>
          <w:tcPr>
            <w:tcW w:w="720" w:type="dxa"/>
            <w:vAlign w:val="bottom"/>
            <w:gridSpan w:val="3"/>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(38)%</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(33)%</w:t>
            </w:r>
          </w:p>
        </w:tc>
        <w:tc>
          <w:tcPr>
            <w:tcW w:w="6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(53)%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(183)%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35%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rPr>
              <w:t>Adjusted EBITDA Margin</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33%</w:t>
            </w:r>
          </w:p>
        </w:tc>
        <w:tc>
          <w:tcPr>
            <w:tcW w:w="720" w:type="dxa"/>
            <w:vAlign w:val="bottom"/>
            <w:gridSpan w:val="3"/>
          </w:tcPr>
          <w:p>
            <w:pPr>
              <w:jc w:val="right"/>
              <w:ind w:right="140"/>
              <w:spacing w:after="0" w:line="127" w:lineRule="exact"/>
              <w:rPr>
                <w:sz w:val="20"/>
                <w:szCs w:val="20"/>
                <w:color w:val="auto"/>
              </w:rPr>
            </w:pPr>
            <w:r>
              <w:rPr>
                <w:rFonts w:ascii="Arial" w:cs="Arial" w:eastAsia="Arial" w:hAnsi="Arial"/>
                <w:sz w:val="12"/>
                <w:szCs w:val="12"/>
                <w:color w:val="auto"/>
              </w:rPr>
              <w:t>36%</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38%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38%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48%</w:t>
            </w:r>
          </w:p>
        </w:tc>
        <w:tc>
          <w:tcPr>
            <w:tcW w:w="60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46%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46%</w:t>
            </w:r>
          </w:p>
        </w:tc>
        <w:tc>
          <w:tcPr>
            <w:tcW w:w="10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220"/>
              <w:spacing w:after="0" w:line="127" w:lineRule="exact"/>
              <w:rPr>
                <w:sz w:val="20"/>
                <w:szCs w:val="20"/>
                <w:color w:val="auto"/>
              </w:rPr>
            </w:pPr>
            <w:r>
              <w:rPr>
                <w:rFonts w:ascii="Arial" w:cs="Arial" w:eastAsia="Arial" w:hAnsi="Arial"/>
                <w:sz w:val="12"/>
                <w:szCs w:val="12"/>
                <w:color w:val="auto"/>
              </w:rPr>
              <w:t>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55%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-899795</wp:posOffset>
            </wp:positionV>
            <wp:extent cx="825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hanging="403"/>
        <w:spacing w:after="0"/>
        <w:tabs>
          <w:tab w:leader="none" w:pos="8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8" w:lineRule="exact"/>
        <w:rPr>
          <w:rFonts w:ascii="Arial" w:cs="Arial" w:eastAsia="Arial" w:hAnsi="Arial"/>
          <w:sz w:val="17"/>
          <w:szCs w:val="17"/>
          <w:color w:val="auto"/>
        </w:rPr>
      </w:pPr>
    </w:p>
    <w:p>
      <w:pPr>
        <w:ind w:left="860" w:right="480" w:hanging="403"/>
        <w:spacing w:after="0" w:line="248" w:lineRule="auto"/>
        <w:tabs>
          <w:tab w:leader="none" w:pos="8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60" w:right="80" w:hanging="403"/>
        <w:spacing w:after="0" w:line="281" w:lineRule="auto"/>
        <w:tabs>
          <w:tab w:leader="none" w:pos="8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2" w:lineRule="exact"/>
        <w:rPr>
          <w:rFonts w:ascii="Arial" w:cs="Arial" w:eastAsia="Arial" w:hAnsi="Arial"/>
          <w:sz w:val="15"/>
          <w:szCs w:val="15"/>
          <w:color w:val="auto"/>
        </w:rPr>
      </w:pPr>
    </w:p>
    <w:p>
      <w:pPr>
        <w:ind w:left="860" w:right="20" w:hanging="403"/>
        <w:spacing w:after="0" w:line="248" w:lineRule="auto"/>
        <w:tabs>
          <w:tab w:leader="none" w:pos="8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a pricing study initiated by our sponsors and professional fees for the preparation for our IPO in the quarters ended September 30, 2021,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 w:lineRule="exact"/>
        <w:rPr>
          <w:rFonts w:ascii="Arial" w:cs="Arial" w:eastAsia="Arial" w:hAnsi="Arial"/>
          <w:sz w:val="17"/>
          <w:szCs w:val="17"/>
          <w:color w:val="auto"/>
        </w:rPr>
      </w:pPr>
    </w:p>
    <w:p>
      <w:pPr>
        <w:ind w:left="860" w:hanging="403"/>
        <w:spacing w:after="0"/>
        <w:tabs>
          <w:tab w:leader="none" w:pos="8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800"/>
          </w:cols>
          <w:pgMar w:left="320" w:top="440" w:right="7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Operating Income (Loss)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2"/>
              </w:rPr>
              <w:t>Successor</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w w:val="89"/>
              </w:rPr>
              <w:t>Predecessor</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65"/>
              <w:spacing w:after="0" w:line="95" w:lineRule="exact"/>
              <w:rPr>
                <w:sz w:val="20"/>
                <w:szCs w:val="20"/>
                <w:color w:val="auto"/>
              </w:rPr>
            </w:pPr>
            <w:r>
              <w:rPr>
                <w:rFonts w:ascii="Arial" w:cs="Arial" w:eastAsia="Arial" w:hAnsi="Arial"/>
                <w:sz w:val="10"/>
                <w:szCs w:val="10"/>
                <w:b w:val="1"/>
                <w:bCs w:val="1"/>
                <w:color w:val="auto"/>
                <w:w w:val="89"/>
              </w:rPr>
              <w:t>Period</w:t>
            </w:r>
          </w:p>
        </w:tc>
        <w:tc>
          <w:tcPr>
            <w:tcW w:w="260" w:type="dxa"/>
            <w:vAlign w:val="bottom"/>
          </w:tcPr>
          <w:p>
            <w:pPr>
              <w:spacing w:after="0"/>
              <w:rPr>
                <w:sz w:val="8"/>
                <w:szCs w:val="8"/>
                <w:color w:val="auto"/>
              </w:rPr>
            </w:pPr>
          </w:p>
        </w:tc>
        <w:tc>
          <w:tcPr>
            <w:tcW w:w="200" w:type="dxa"/>
            <w:vAlign w:val="bottom"/>
            <w:tcBorders>
              <w:left w:val="single" w:sz="8" w:color="auto"/>
            </w:tcBorders>
          </w:tcPr>
          <w:p>
            <w:pPr>
              <w:spacing w:after="0"/>
              <w:rPr>
                <w:sz w:val="8"/>
                <w:szCs w:val="8"/>
                <w:color w:val="auto"/>
              </w:rPr>
            </w:pPr>
          </w:p>
        </w:tc>
        <w:tc>
          <w:tcPr>
            <w:tcW w:w="440" w:type="dxa"/>
            <w:vAlign w:val="bottom"/>
            <w:gridSpan w:val="3"/>
          </w:tcPr>
          <w:p>
            <w:pPr>
              <w:jc w:val="center"/>
              <w:ind w:right="120"/>
              <w:spacing w:after="0" w:line="95"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8"/>
              </w:rPr>
              <w:t>from</w:t>
            </w:r>
          </w:p>
        </w:tc>
        <w:tc>
          <w:tcPr>
            <w:tcW w:w="200" w:type="dxa"/>
            <w:vAlign w:val="bottom"/>
            <w:tcBorders>
              <w:left w:val="single" w:sz="8" w:color="auto"/>
            </w:tcBorders>
          </w:tcPr>
          <w:p>
            <w:pPr>
              <w:spacing w:after="0"/>
              <w:rPr>
                <w:sz w:val="9"/>
                <w:szCs w:val="9"/>
                <w:color w:val="auto"/>
              </w:rPr>
            </w:pPr>
          </w:p>
        </w:tc>
        <w:tc>
          <w:tcPr>
            <w:tcW w:w="44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5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8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2"/>
              </w:rPr>
              <w:t>July 16,</w:t>
            </w:r>
          </w:p>
        </w:tc>
        <w:tc>
          <w:tcPr>
            <w:tcW w:w="200" w:type="dxa"/>
            <w:vAlign w:val="bottom"/>
            <w:tcBorders>
              <w:left w:val="single" w:sz="8" w:color="auto"/>
            </w:tcBorders>
          </w:tcPr>
          <w:p>
            <w:pPr>
              <w:spacing w:after="0"/>
              <w:rPr>
                <w:sz w:val="9"/>
                <w:szCs w:val="9"/>
                <w:color w:val="auto"/>
              </w:rPr>
            </w:pPr>
          </w:p>
        </w:tc>
        <w:tc>
          <w:tcPr>
            <w:tcW w:w="44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Three</w:t>
            </w: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4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2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5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520" w:type="dxa"/>
            <w:vAlign w:val="bottom"/>
          </w:tcPr>
          <w:p>
            <w:pPr>
              <w:jc w:val="center"/>
              <w:ind w:right="65"/>
              <w:spacing w:after="0" w:line="114"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ind w:right="24"/>
              <w:spacing w:after="0" w:line="114" w:lineRule="exact"/>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95"/>
              </w:rPr>
              <w:t>Months</w:t>
            </w:r>
          </w:p>
        </w:tc>
        <w:tc>
          <w:tcPr>
            <w:tcW w:w="50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Months</w:t>
            </w: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56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4"/>
              </w:rPr>
              <w:t>to</w:t>
            </w:r>
          </w:p>
        </w:tc>
        <w:tc>
          <w:tcPr>
            <w:tcW w:w="20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5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72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4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2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9"/>
              </w:rPr>
              <w:t>March 31,</w:t>
            </w:r>
          </w:p>
        </w:tc>
        <w:tc>
          <w:tcPr>
            <w:tcW w:w="76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78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56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June 30,</w:t>
            </w:r>
          </w:p>
        </w:tc>
        <w:tc>
          <w:tcPr>
            <w:tcW w:w="6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880" w:type="dxa"/>
            <w:vAlign w:val="bottom"/>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200" w:type="dxa"/>
            <w:vAlign w:val="bottom"/>
            <w:tcBorders>
              <w:left w:val="single" w:sz="8" w:color="auto"/>
            </w:tcBorders>
          </w:tcPr>
          <w:p>
            <w:pPr>
              <w:spacing w:after="0"/>
              <w:rPr>
                <w:sz w:val="9"/>
                <w:szCs w:val="9"/>
                <w:color w:val="auto"/>
              </w:rPr>
            </w:pPr>
          </w:p>
        </w:tc>
        <w:tc>
          <w:tcPr>
            <w:tcW w:w="44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June 30,</w:t>
            </w:r>
          </w:p>
        </w:tc>
        <w:tc>
          <w:tcPr>
            <w:tcW w:w="5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6"/>
        </w:trPr>
        <w:tc>
          <w:tcPr>
            <w:tcW w:w="232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10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460" w:type="dxa"/>
            <w:vAlign w:val="bottom"/>
            <w:gridSpan w:val="2"/>
          </w:tcPr>
          <w:p>
            <w:pPr>
              <w:jc w:val="center"/>
              <w:ind w:left="22"/>
              <w:spacing w:after="0"/>
              <w:rPr>
                <w:sz w:val="20"/>
                <w:szCs w:val="20"/>
                <w:color w:val="auto"/>
              </w:rPr>
            </w:pPr>
            <w:r>
              <w:rPr>
                <w:rFonts w:ascii="Arial" w:cs="Arial" w:eastAsia="Arial" w:hAnsi="Arial"/>
                <w:sz w:val="10"/>
                <w:szCs w:val="10"/>
                <w:b w:val="1"/>
                <w:bCs w:val="1"/>
                <w:color w:val="auto"/>
                <w:w w:val="98"/>
              </w:rPr>
              <w:t>2021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4"/>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45"/>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4"/>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4"/>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5"/>
              <w:spacing w:after="0"/>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center"/>
              <w:ind w:right="22"/>
              <w:spacing w:after="0"/>
              <w:rPr>
                <w:sz w:val="20"/>
                <w:szCs w:val="20"/>
                <w:color w:val="auto"/>
              </w:rPr>
            </w:pPr>
            <w:r>
              <w:rPr>
                <w:rFonts w:ascii="Arial" w:cs="Arial" w:eastAsia="Arial" w:hAnsi="Arial"/>
                <w:sz w:val="10"/>
                <w:szCs w:val="10"/>
                <w:b w:val="1"/>
                <w:bCs w:val="1"/>
                <w:color w:val="auto"/>
                <w:w w:val="89"/>
              </w:rPr>
              <w:t>2019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24"/>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32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(Loss) 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(4,026)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74"/>
              </w:rPr>
              <w:t>$ (6,623)</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(2,158)</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(6,952)</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(940)</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79"/>
              </w:rPr>
              <w:t>$ (2,170)</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(4,383)</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(8,586)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(22,476)</w:t>
            </w:r>
          </w:p>
        </w:tc>
        <w:tc>
          <w:tcPr>
            <w:tcW w:w="260" w:type="dxa"/>
            <w:vAlign w:val="bottom"/>
            <w:tcBorders>
              <w:top w:val="single" w:sz="8" w:color="CCEEFF"/>
              <w:right w:val="single" w:sz="8" w:color="CCEEFF"/>
            </w:tcBorders>
            <w:shd w:val="clear" w:color="auto" w:fill="CCEEFF"/>
          </w:tcPr>
          <w:p>
            <w:pPr>
              <w:spacing w:after="0"/>
              <w:rPr>
                <w:sz w:val="10"/>
                <w:szCs w:val="10"/>
                <w:color w:val="auto"/>
              </w:rPr>
            </w:pPr>
          </w:p>
        </w:tc>
        <w:tc>
          <w:tcPr>
            <w:tcW w:w="200" w:type="dxa"/>
            <w:vAlign w:val="bottom"/>
            <w:tcBorders>
              <w:top w:val="single" w:sz="8" w:color="CCEEFF"/>
              <w:left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2"/>
              </w:rPr>
              <w:t>(647)</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9"/>
              </w:rPr>
              <w:t>8,022</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5,658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320" w:type="dxa"/>
            <w:vAlign w:val="bottom"/>
          </w:tcPr>
          <w:p>
            <w:pPr>
              <w:spacing w:after="0" w:line="127"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14,404</w:t>
            </w:r>
          </w:p>
        </w:tc>
        <w:tc>
          <w:tcPr>
            <w:tcW w:w="560" w:type="dxa"/>
            <w:vAlign w:val="bottom"/>
            <w:gridSpan w:val="3"/>
          </w:tcPr>
          <w:p>
            <w:pPr>
              <w:jc w:val="right"/>
              <w:ind w:right="100"/>
              <w:spacing w:after="0" w:line="127" w:lineRule="exact"/>
              <w:rPr>
                <w:sz w:val="20"/>
                <w:szCs w:val="20"/>
                <w:color w:val="auto"/>
              </w:rPr>
            </w:pPr>
            <w:r>
              <w:rPr>
                <w:rFonts w:ascii="Arial" w:cs="Arial" w:eastAsia="Arial" w:hAnsi="Arial"/>
                <w:sz w:val="12"/>
                <w:szCs w:val="12"/>
                <w:color w:val="auto"/>
              </w:rPr>
              <w:t>14,250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7"/>
              </w:rPr>
              <w:t>14,092</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14,819</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14,570</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14,413</w:t>
            </w:r>
          </w:p>
        </w:tc>
        <w:tc>
          <w:tcPr>
            <w:tcW w:w="60" w:type="dxa"/>
            <w:vAlign w:val="bottom"/>
          </w:tcPr>
          <w:p>
            <w:pPr>
              <w:spacing w:after="0"/>
              <w:rPr>
                <w:sz w:val="11"/>
                <w:szCs w:val="11"/>
                <w:color w:val="auto"/>
              </w:rPr>
            </w:pPr>
          </w:p>
        </w:tc>
        <w:tc>
          <w:tcPr>
            <w:tcW w:w="5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7"/>
              </w:rPr>
              <w:t>14,412</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16,743</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line="127" w:lineRule="exact"/>
              <w:rPr>
                <w:sz w:val="20"/>
                <w:szCs w:val="20"/>
                <w:color w:val="auto"/>
              </w:rPr>
            </w:pPr>
            <w:r>
              <w:rPr>
                <w:rFonts w:ascii="Arial" w:cs="Arial" w:eastAsia="Arial" w:hAnsi="Arial"/>
                <w:sz w:val="12"/>
                <w:szCs w:val="12"/>
                <w:color w:val="auto"/>
              </w:rPr>
              <w:t>13,862</w:t>
            </w:r>
          </w:p>
        </w:tc>
        <w:tc>
          <w:tcPr>
            <w:tcW w:w="20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162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972</w:t>
            </w: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908</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Equity compensation costs</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2,317</w:t>
            </w:r>
          </w:p>
        </w:tc>
        <w:tc>
          <w:tcPr>
            <w:tcW w:w="560" w:type="dxa"/>
            <w:vAlign w:val="bottom"/>
            <w:gridSpan w:val="3"/>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1,615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406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417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458</w:t>
            </w: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442</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430</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412</w:t>
            </w: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gridSpan w:val="2"/>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332</w:t>
            </w:r>
          </w:p>
        </w:tc>
        <w:tc>
          <w:tcPr>
            <w:tcW w:w="20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w w:val="86"/>
              </w:rPr>
              <w:t>2,402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w w:val="99"/>
              </w:rPr>
              <w:t>1,712</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1,693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320" w:type="dxa"/>
            <w:vAlign w:val="bottom"/>
          </w:tcPr>
          <w:p>
            <w:pPr>
              <w:spacing w:after="0" w:line="127" w:lineRule="exact"/>
              <w:rPr>
                <w:sz w:val="20"/>
                <w:szCs w:val="20"/>
                <w:color w:val="auto"/>
              </w:rPr>
            </w:pPr>
            <w:r>
              <w:rPr>
                <w:rFonts w:ascii="Arial" w:cs="Arial" w:eastAsia="Arial" w:hAnsi="Arial"/>
                <w:sz w:val="12"/>
                <w:szCs w:val="12"/>
                <w:color w:val="auto"/>
              </w:rPr>
              <w:t>Acquisition-related expenses</w:t>
            </w: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(137)</w:t>
            </w:r>
          </w:p>
        </w:tc>
        <w:tc>
          <w:tcPr>
            <w:tcW w:w="560" w:type="dxa"/>
            <w:vAlign w:val="bottom"/>
            <w:gridSpan w:val="3"/>
          </w:tcPr>
          <w:p>
            <w:pPr>
              <w:jc w:val="right"/>
              <w:ind w:right="100"/>
              <w:spacing w:after="0" w:line="127" w:lineRule="exact"/>
              <w:rPr>
                <w:sz w:val="20"/>
                <w:szCs w:val="20"/>
                <w:color w:val="auto"/>
              </w:rPr>
            </w:pPr>
            <w:r>
              <w:rPr>
                <w:rFonts w:ascii="Arial" w:cs="Arial" w:eastAsia="Arial" w:hAnsi="Arial"/>
                <w:sz w:val="12"/>
                <w:szCs w:val="12"/>
                <w:color w:val="auto"/>
              </w:rPr>
              <w:t>3,431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38</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3,028</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40</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268</w:t>
            </w:r>
          </w:p>
        </w:tc>
        <w:tc>
          <w:tcPr>
            <w:tcW w:w="60" w:type="dxa"/>
            <w:vAlign w:val="bottom"/>
          </w:tcPr>
          <w:p>
            <w:pPr>
              <w:spacing w:after="0"/>
              <w:rPr>
                <w:sz w:val="11"/>
                <w:szCs w:val="11"/>
                <w:color w:val="auto"/>
              </w:rPr>
            </w:pPr>
          </w:p>
        </w:tc>
        <w:tc>
          <w:tcPr>
            <w:tcW w:w="5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440</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(678)</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line="127" w:lineRule="exact"/>
              <w:rPr>
                <w:sz w:val="20"/>
                <w:szCs w:val="20"/>
                <w:color w:val="auto"/>
              </w:rPr>
            </w:pPr>
            <w:r>
              <w:rPr>
                <w:rFonts w:ascii="Arial" w:cs="Arial" w:eastAsia="Arial" w:hAnsi="Arial"/>
                <w:sz w:val="12"/>
                <w:szCs w:val="12"/>
                <w:color w:val="auto"/>
              </w:rPr>
              <w:t>15,381</w:t>
            </w:r>
          </w:p>
        </w:tc>
        <w:tc>
          <w:tcPr>
            <w:tcW w:w="20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w w:val="99"/>
              </w:rPr>
              <w:t>1,019</w:t>
            </w: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Other non-recurring adjustments</w:t>
            </w:r>
            <w:r>
              <w:rPr>
                <w:rFonts w:ascii="Arial" w:cs="Arial" w:eastAsia="Arial" w:hAnsi="Arial"/>
                <w:sz w:val="10"/>
                <w:szCs w:val="10"/>
                <w:color w:val="auto"/>
              </w:rPr>
              <w:t>(3)</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1,149</w:t>
            </w:r>
          </w:p>
        </w:tc>
        <w:tc>
          <w:tcPr>
            <w:tcW w:w="560" w:type="dxa"/>
            <w:vAlign w:val="bottom"/>
            <w:gridSpan w:val="3"/>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1,069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1,095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1,043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37</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890</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877</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2,622</w:t>
            </w: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gridSpan w:val="2"/>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571</w:t>
            </w:r>
          </w:p>
        </w:tc>
        <w:tc>
          <w:tcPr>
            <w:tcW w:w="20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546</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line="132" w:lineRule="exact"/>
              <w:rPr>
                <w:sz w:val="20"/>
                <w:szCs w:val="20"/>
                <w:color w:val="auto"/>
              </w:rPr>
            </w:pPr>
            <w:r>
              <w:rPr>
                <w:rFonts w:ascii="Arial" w:cs="Arial" w:eastAsia="Arial" w:hAnsi="Arial"/>
                <w:sz w:val="12"/>
                <w:szCs w:val="12"/>
                <w:color w:val="auto"/>
              </w:rPr>
              <w:t>Adjusted Operating Income (Loss)</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gridSpan w:val="2"/>
            <w:vMerge w:val="restart"/>
          </w:tcPr>
          <w:p>
            <w:pPr>
              <w:jc w:val="right"/>
              <w:ind w:right="100"/>
              <w:spacing w:after="0" w:line="132" w:lineRule="exact"/>
              <w:rPr>
                <w:sz w:val="20"/>
                <w:szCs w:val="20"/>
                <w:color w:val="auto"/>
              </w:rPr>
            </w:pPr>
            <w:r>
              <w:rPr>
                <w:rFonts w:ascii="Arial" w:cs="Arial" w:eastAsia="Arial" w:hAnsi="Arial"/>
                <w:sz w:val="12"/>
                <w:szCs w:val="12"/>
                <w:color w:val="auto"/>
              </w:rPr>
              <w:t>13,707</w:t>
            </w:r>
          </w:p>
        </w:tc>
        <w:tc>
          <w:tcPr>
            <w:tcW w:w="560" w:type="dxa"/>
            <w:vAlign w:val="bottom"/>
            <w:tcBorders>
              <w:top w:val="single" w:sz="8" w:color="auto"/>
            </w:tcBorders>
            <w:gridSpan w:val="3"/>
            <w:vMerge w:val="restart"/>
          </w:tcPr>
          <w:p>
            <w:pPr>
              <w:jc w:val="right"/>
              <w:ind w:right="100"/>
              <w:spacing w:after="0" w:line="132" w:lineRule="exact"/>
              <w:rPr>
                <w:sz w:val="20"/>
                <w:szCs w:val="20"/>
                <w:color w:val="auto"/>
              </w:rPr>
            </w:pPr>
            <w:r>
              <w:rPr>
                <w:rFonts w:ascii="Arial" w:cs="Arial" w:eastAsia="Arial" w:hAnsi="Arial"/>
                <w:sz w:val="12"/>
                <w:szCs w:val="12"/>
                <w:color w:val="auto"/>
              </w:rPr>
              <w:t>$13,742</w:t>
            </w:r>
          </w:p>
        </w:tc>
        <w:tc>
          <w:tcPr>
            <w:tcW w:w="140" w:type="dxa"/>
            <w:vAlign w:val="bottom"/>
            <w:tcBorders>
              <w:top w:val="single" w:sz="8" w:color="auto"/>
            </w:tcBorders>
            <w:gridSpan w:val="2"/>
            <w:vMerge w:val="restart"/>
          </w:tcPr>
          <w:p>
            <w:pPr>
              <w:jc w:val="right"/>
              <w:spacing w:after="0" w:line="132"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w w:val="97"/>
              </w:rPr>
              <w:t>13,473</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rPr>
              <w:t>12,355</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rPr>
              <w:t>14,165</w:t>
            </w:r>
          </w:p>
        </w:tc>
        <w:tc>
          <w:tcPr>
            <w:tcW w:w="56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w w:val="87"/>
              </w:rPr>
              <w:t>$13,843</w:t>
            </w: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w w:val="97"/>
              </w:rPr>
              <w:t>11,776</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rPr>
              <w:t>10,513</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gridSpan w:val="2"/>
            <w:vMerge w:val="restart"/>
          </w:tcPr>
          <w:p>
            <w:pPr>
              <w:jc w:val="right"/>
              <w:ind w:right="260"/>
              <w:spacing w:after="0" w:line="132" w:lineRule="exact"/>
              <w:rPr>
                <w:sz w:val="20"/>
                <w:szCs w:val="20"/>
                <w:color w:val="auto"/>
              </w:rPr>
            </w:pPr>
            <w:r>
              <w:rPr>
                <w:rFonts w:ascii="Arial" w:cs="Arial" w:eastAsia="Arial" w:hAnsi="Arial"/>
                <w:sz w:val="12"/>
                <w:szCs w:val="12"/>
                <w:color w:val="auto"/>
              </w:rPr>
              <w:t>7,670</w:t>
            </w:r>
          </w:p>
        </w:tc>
        <w:tc>
          <w:tcPr>
            <w:tcW w:w="200" w:type="dxa"/>
            <w:vAlign w:val="bottom"/>
          </w:tcPr>
          <w:p>
            <w:pPr>
              <w:spacing w:after="0" w:line="20" w:lineRule="exact"/>
              <w:rPr>
                <w:sz w:val="1"/>
                <w:szCs w:val="1"/>
                <w:color w:val="auto"/>
              </w:rPr>
            </w:pP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gridSpan w:val="2"/>
            <w:vMerge w:val="restart"/>
          </w:tcPr>
          <w:p>
            <w:pPr>
              <w:jc w:val="right"/>
              <w:ind w:right="100"/>
              <w:spacing w:after="0" w:line="132" w:lineRule="exact"/>
              <w:rPr>
                <w:sz w:val="20"/>
                <w:szCs w:val="20"/>
                <w:color w:val="auto"/>
              </w:rPr>
            </w:pPr>
            <w:r>
              <w:rPr>
                <w:rFonts w:ascii="Arial" w:cs="Arial" w:eastAsia="Arial" w:hAnsi="Arial"/>
                <w:sz w:val="12"/>
                <w:szCs w:val="12"/>
                <w:color w:val="auto"/>
                <w:w w:val="86"/>
              </w:rPr>
              <w:t>2,045</w:t>
            </w:r>
          </w:p>
        </w:tc>
        <w:tc>
          <w:tcPr>
            <w:tcW w:w="140" w:type="dxa"/>
            <w:vAlign w:val="bottom"/>
            <w:tcBorders>
              <w:top w:val="single" w:sz="8" w:color="auto"/>
            </w:tcBorders>
            <w:gridSpan w:val="2"/>
            <w:vMerge w:val="restart"/>
          </w:tcPr>
          <w:p>
            <w:pPr>
              <w:jc w:val="right"/>
              <w:spacing w:after="0" w:line="13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gridSpan w:val="2"/>
            <w:vMerge w:val="restart"/>
          </w:tcPr>
          <w:p>
            <w:pPr>
              <w:jc w:val="right"/>
              <w:ind w:right="120"/>
              <w:spacing w:after="0" w:line="132" w:lineRule="exact"/>
              <w:rPr>
                <w:sz w:val="20"/>
                <w:szCs w:val="20"/>
                <w:color w:val="auto"/>
              </w:rPr>
            </w:pPr>
            <w:r>
              <w:rPr>
                <w:rFonts w:ascii="Arial" w:cs="Arial" w:eastAsia="Arial" w:hAnsi="Arial"/>
                <w:sz w:val="12"/>
                <w:szCs w:val="12"/>
                <w:color w:val="auto"/>
                <w:w w:val="81"/>
              </w:rPr>
              <w:t>12,271</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vMerge w:val="restart"/>
          </w:tcPr>
          <w:p>
            <w:pPr>
              <w:jc w:val="right"/>
              <w:spacing w:after="0" w:line="132" w:lineRule="exact"/>
              <w:rPr>
                <w:sz w:val="20"/>
                <w:szCs w:val="20"/>
                <w:color w:val="auto"/>
              </w:rPr>
            </w:pPr>
            <w:r>
              <w:rPr>
                <w:rFonts w:ascii="Arial" w:cs="Arial" w:eastAsia="Arial" w:hAnsi="Arial"/>
                <w:sz w:val="12"/>
                <w:szCs w:val="12"/>
                <w:color w:val="auto"/>
              </w:rPr>
              <w:t>8,917</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3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6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-95885</wp:posOffset>
            </wp:positionV>
            <wp:extent cx="825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right="520" w:hanging="403"/>
        <w:spacing w:after="0" w:line="256" w:lineRule="auto"/>
        <w:tabs>
          <w:tab w:leader="none" w:pos="8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ind w:left="860" w:right="80" w:hanging="403"/>
        <w:spacing w:after="0" w:line="281" w:lineRule="auto"/>
        <w:tabs>
          <w:tab w:leader="none" w:pos="8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2" w:lineRule="exact"/>
        <w:rPr>
          <w:rFonts w:ascii="Arial" w:cs="Arial" w:eastAsia="Arial" w:hAnsi="Arial"/>
          <w:sz w:val="15"/>
          <w:szCs w:val="15"/>
          <w:color w:val="auto"/>
        </w:rPr>
      </w:pPr>
    </w:p>
    <w:p>
      <w:pPr>
        <w:ind w:left="860" w:right="40" w:hanging="403"/>
        <w:spacing w:after="0" w:line="292" w:lineRule="auto"/>
        <w:tabs>
          <w:tab w:leader="none" w:pos="8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professional fees for the preparation for the IPO in the quarters ended September 30, 2021,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Net Income (Loss)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Successor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w w:val="89"/>
              </w:rPr>
              <w:t>Predecessor</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right w:val="single" w:sz="8" w:color="auto"/>
            </w:tcBorders>
            <w:gridSpan w:val="2"/>
          </w:tcPr>
          <w:p>
            <w:pPr>
              <w:jc w:val="center"/>
              <w:ind w:right="400"/>
              <w:spacing w:after="0" w:line="95" w:lineRule="exact"/>
              <w:rPr>
                <w:sz w:val="20"/>
                <w:szCs w:val="20"/>
                <w:color w:val="auto"/>
              </w:rPr>
            </w:pPr>
            <w:r>
              <w:rPr>
                <w:rFonts w:ascii="Arial" w:cs="Arial" w:eastAsia="Arial" w:hAnsi="Arial"/>
                <w:sz w:val="10"/>
                <w:szCs w:val="10"/>
                <w:b w:val="1"/>
                <w:bCs w:val="1"/>
                <w:color w:val="auto"/>
                <w:w w:val="89"/>
              </w:rPr>
              <w:t>Period</w:t>
            </w:r>
          </w:p>
        </w:tc>
        <w:tc>
          <w:tcPr>
            <w:tcW w:w="180" w:type="dxa"/>
            <w:vAlign w:val="bottom"/>
          </w:tcPr>
          <w:p>
            <w:pPr>
              <w:spacing w:after="0"/>
              <w:rPr>
                <w:sz w:val="8"/>
                <w:szCs w:val="8"/>
                <w:color w:val="auto"/>
              </w:rPr>
            </w:pPr>
          </w:p>
        </w:tc>
        <w:tc>
          <w:tcPr>
            <w:tcW w:w="440" w:type="dxa"/>
            <w:vAlign w:val="bottom"/>
            <w:gridSpan w:val="3"/>
          </w:tcPr>
          <w:p>
            <w:pPr>
              <w:jc w:val="center"/>
              <w:ind w:right="120"/>
              <w:spacing w:after="0" w:line="95"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98"/>
              </w:rPr>
              <w:t>from</w:t>
            </w:r>
          </w:p>
        </w:tc>
        <w:tc>
          <w:tcPr>
            <w:tcW w:w="180" w:type="dxa"/>
            <w:vAlign w:val="bottom"/>
          </w:tcPr>
          <w:p>
            <w:pPr>
              <w:spacing w:after="0"/>
              <w:rPr>
                <w:sz w:val="9"/>
                <w:szCs w:val="9"/>
                <w:color w:val="auto"/>
              </w:rPr>
            </w:pPr>
          </w:p>
        </w:tc>
        <w:tc>
          <w:tcPr>
            <w:tcW w:w="44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4"/>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7"/>
              </w:rPr>
              <w:t>Three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92"/>
              </w:rPr>
              <w:t>July 16,</w:t>
            </w:r>
          </w:p>
        </w:tc>
        <w:tc>
          <w:tcPr>
            <w:tcW w:w="180" w:type="dxa"/>
            <w:vAlign w:val="bottom"/>
          </w:tcPr>
          <w:p>
            <w:pPr>
              <w:spacing w:after="0"/>
              <w:rPr>
                <w:sz w:val="9"/>
                <w:szCs w:val="9"/>
                <w:color w:val="auto"/>
              </w:rPr>
            </w:pPr>
          </w:p>
        </w:tc>
        <w:tc>
          <w:tcPr>
            <w:tcW w:w="44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Three</w:t>
            </w:r>
          </w:p>
        </w:tc>
      </w:tr>
      <w:tr>
        <w:trPr>
          <w:trHeight w:val="114"/>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2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0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9"/>
              </w:rPr>
              <w:t>Months</w:t>
            </w:r>
          </w:p>
        </w:tc>
        <w:tc>
          <w:tcPr>
            <w:tcW w:w="6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520" w:type="dxa"/>
            <w:vAlign w:val="bottom"/>
          </w:tcPr>
          <w:p>
            <w:pPr>
              <w:jc w:val="center"/>
              <w:ind w:right="65"/>
              <w:spacing w:after="0" w:line="114" w:lineRule="exact"/>
              <w:rPr>
                <w:sz w:val="20"/>
                <w:szCs w:val="20"/>
                <w:color w:val="auto"/>
              </w:rPr>
            </w:pPr>
            <w:r>
              <w:rPr>
                <w:rFonts w:ascii="Arial" w:cs="Arial" w:eastAsia="Arial" w:hAnsi="Arial"/>
                <w:sz w:val="10"/>
                <w:szCs w:val="10"/>
                <w:b w:val="1"/>
                <w:bCs w:val="1"/>
                <w:color w:val="auto"/>
                <w:w w:val="89"/>
              </w:rPr>
              <w:t>2019</w:t>
            </w:r>
          </w:p>
        </w:tc>
        <w:tc>
          <w:tcPr>
            <w:tcW w:w="2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50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Months</w:t>
            </w:r>
          </w:p>
        </w:tc>
      </w:tr>
      <w:tr>
        <w:trPr>
          <w:trHeight w:val="114"/>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4"/>
              </w:rPr>
              <w:t>to</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5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r>
      <w:tr>
        <w:trPr>
          <w:trHeight w:val="114"/>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72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 w:type="dxa"/>
            <w:vAlign w:val="bottom"/>
          </w:tcPr>
          <w:p>
            <w:pPr>
              <w:spacing w:after="0"/>
              <w:rPr>
                <w:sz w:val="9"/>
                <w:szCs w:val="9"/>
                <w:color w:val="auto"/>
              </w:rPr>
            </w:pPr>
          </w:p>
        </w:tc>
        <w:tc>
          <w:tcPr>
            <w:tcW w:w="52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00" w:type="dxa"/>
            <w:vAlign w:val="bottom"/>
            <w:gridSpan w:val="3"/>
          </w:tcPr>
          <w:p>
            <w:pPr>
              <w:jc w:val="right"/>
              <w:ind w:right="160"/>
              <w:spacing w:after="0" w:line="114" w:lineRule="exact"/>
              <w:rPr>
                <w:sz w:val="20"/>
                <w:szCs w:val="20"/>
                <w:color w:val="auto"/>
              </w:rPr>
            </w:pPr>
            <w:r>
              <w:rPr>
                <w:rFonts w:ascii="Arial" w:cs="Arial" w:eastAsia="Arial" w:hAnsi="Arial"/>
                <w:sz w:val="10"/>
                <w:szCs w:val="10"/>
                <w:b w:val="1"/>
                <w:bCs w:val="1"/>
                <w:color w:val="auto"/>
                <w:w w:val="90"/>
              </w:rPr>
              <w:t>March 31,</w:t>
            </w:r>
          </w:p>
        </w:tc>
        <w:tc>
          <w:tcPr>
            <w:tcW w:w="76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78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June 30,</w:t>
            </w:r>
          </w:p>
        </w:tc>
        <w:tc>
          <w:tcPr>
            <w:tcW w:w="6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900" w:type="dxa"/>
            <w:vAlign w:val="bottom"/>
            <w:tcBorders>
              <w:right w:val="single" w:sz="8" w:color="auto"/>
            </w:tcBorders>
            <w:gridSpan w:val="3"/>
          </w:tcPr>
          <w:p>
            <w:pPr>
              <w:jc w:val="center"/>
              <w:ind w:right="28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180" w:type="dxa"/>
            <w:vAlign w:val="bottom"/>
          </w:tcPr>
          <w:p>
            <w:pPr>
              <w:spacing w:after="0"/>
              <w:rPr>
                <w:sz w:val="9"/>
                <w:szCs w:val="9"/>
                <w:color w:val="auto"/>
              </w:rPr>
            </w:pPr>
          </w:p>
        </w:tc>
        <w:tc>
          <w:tcPr>
            <w:tcW w:w="44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June 30,</w:t>
            </w:r>
          </w:p>
        </w:tc>
        <w:tc>
          <w:tcPr>
            <w:tcW w:w="5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99"/>
              </w:rPr>
              <w:t>March 31,</w:t>
            </w:r>
          </w:p>
        </w:tc>
      </w:tr>
      <w:tr>
        <w:trPr>
          <w:trHeight w:val="126"/>
        </w:trPr>
        <w:tc>
          <w:tcPr>
            <w:tcW w:w="2260" w:type="dxa"/>
            <w:vAlign w:val="bottom"/>
            <w:gridSpan w:val="2"/>
          </w:tcPr>
          <w:p>
            <w:pPr>
              <w:spacing w:after="0"/>
              <w:rPr>
                <w:sz w:val="20"/>
                <w:szCs w:val="20"/>
                <w:color w:val="auto"/>
              </w:rPr>
            </w:pPr>
            <w:r>
              <w:rPr>
                <w:rFonts w:ascii="Arial" w:cs="Arial" w:eastAsia="Arial" w:hAnsi="Arial"/>
                <w:sz w:val="10"/>
                <w:szCs w:val="10"/>
                <w:b w:val="1"/>
                <w:bCs w:val="1"/>
                <w:color w:val="auto"/>
              </w:rPr>
              <w:t>($ in thousands)</w:t>
            </w:r>
          </w:p>
        </w:tc>
        <w:tc>
          <w:tcPr>
            <w:tcW w:w="100" w:type="dxa"/>
            <w:vAlign w:val="bottom"/>
          </w:tcPr>
          <w:p>
            <w:pPr>
              <w:spacing w:after="0"/>
              <w:rPr>
                <w:sz w:val="10"/>
                <w:szCs w:val="10"/>
                <w:color w:val="auto"/>
              </w:rPr>
            </w:pPr>
          </w:p>
        </w:tc>
        <w:tc>
          <w:tcPr>
            <w:tcW w:w="520" w:type="dxa"/>
            <w:vAlign w:val="bottom"/>
          </w:tcPr>
          <w:p>
            <w:pPr>
              <w:jc w:val="center"/>
              <w:ind w:right="64"/>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3"/>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4"/>
              <w:spacing w:after="0"/>
              <w:rPr>
                <w:sz w:val="20"/>
                <w:szCs w:val="20"/>
                <w:color w:val="auto"/>
              </w:rPr>
            </w:pPr>
            <w:r>
              <w:rPr>
                <w:rFonts w:ascii="Arial" w:cs="Arial" w:eastAsia="Arial" w:hAnsi="Arial"/>
                <w:sz w:val="10"/>
                <w:szCs w:val="10"/>
                <w:b w:val="1"/>
                <w:bCs w:val="1"/>
                <w:color w:val="auto"/>
                <w:w w:val="98"/>
              </w:rPr>
              <w:t>2020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3"/>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3"/>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4"/>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5"/>
              <w:spacing w:after="0"/>
              <w:rPr>
                <w:sz w:val="20"/>
                <w:szCs w:val="20"/>
                <w:color w:val="auto"/>
              </w:rPr>
            </w:pPr>
            <w:r>
              <w:rPr>
                <w:rFonts w:ascii="Arial" w:cs="Arial" w:eastAsia="Arial" w:hAnsi="Arial"/>
                <w:sz w:val="10"/>
                <w:szCs w:val="10"/>
                <w:b w:val="1"/>
                <w:bCs w:val="1"/>
                <w:color w:val="auto"/>
                <w:w w:val="89"/>
              </w:rPr>
              <w:t>2019</w:t>
            </w: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center"/>
              <w:ind w:right="22"/>
              <w:spacing w:after="0"/>
              <w:rPr>
                <w:sz w:val="20"/>
                <w:szCs w:val="20"/>
                <w:color w:val="auto"/>
              </w:rPr>
            </w:pPr>
            <w:r>
              <w:rPr>
                <w:rFonts w:ascii="Arial" w:cs="Arial" w:eastAsia="Arial" w:hAnsi="Arial"/>
                <w:sz w:val="10"/>
                <w:szCs w:val="10"/>
                <w:b w:val="1"/>
                <w:bCs w:val="1"/>
                <w:color w:val="auto"/>
                <w:w w:val="89"/>
              </w:rPr>
              <w:t>2019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23"/>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119"/>
        </w:trPr>
        <w:tc>
          <w:tcPr>
            <w:tcW w:w="20" w:type="dxa"/>
            <w:vAlign w:val="bottom"/>
          </w:tcPr>
          <w:p>
            <w:pPr>
              <w:spacing w:after="0"/>
              <w:rPr>
                <w:sz w:val="10"/>
                <w:szCs w:val="10"/>
                <w:color w:val="auto"/>
              </w:rPr>
            </w:pPr>
          </w:p>
        </w:tc>
        <w:tc>
          <w:tcPr>
            <w:tcW w:w="224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color w:val="auto"/>
              </w:rPr>
              <w:t>Net (loss)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(20,966)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75"/>
              </w:rPr>
              <w:t>(15,039)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0"/>
              </w:rPr>
              <w:t>(10,488)</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(15,862)</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(9,962)</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0"/>
              </w:rPr>
              <w:t>(11,498)</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0"/>
              </w:rPr>
              <w:t>(13,835)</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(18,480)</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(30,786)</w:t>
            </w:r>
          </w:p>
        </w:tc>
        <w:tc>
          <w:tcPr>
            <w:tcW w:w="280" w:type="dxa"/>
            <w:vAlign w:val="bottom"/>
            <w:tcBorders>
              <w:top w:val="single" w:sz="8" w:color="CCEEFF"/>
              <w:right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2"/>
              </w:rPr>
              <w:t>(639)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9"/>
              </w:rPr>
              <w:t>7,964</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5,543</w:t>
            </w:r>
          </w:p>
        </w:tc>
        <w:tc>
          <w:tcPr>
            <w:tcW w:w="40" w:type="dxa"/>
            <w:vAlign w:val="bottom"/>
            <w:tcBorders>
              <w:top w:val="single" w:sz="8" w:color="CCEEFF"/>
            </w:tcBorders>
            <w:shd w:val="clear" w:color="auto" w:fill="CCEEFF"/>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2240" w:type="dxa"/>
            <w:vAlign w:val="bottom"/>
          </w:tcPr>
          <w:p>
            <w:pPr>
              <w:spacing w:after="0" w:line="139"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14,404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14,250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14,092</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14,819</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14,570</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14,413</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14,412</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16,743</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13,862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162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972</w:t>
            </w: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908</w:t>
            </w:r>
          </w:p>
        </w:tc>
      </w:tr>
      <w:tr>
        <w:trPr>
          <w:trHeight w:val="139"/>
        </w:trPr>
        <w:tc>
          <w:tcPr>
            <w:tcW w:w="20" w:type="dxa"/>
            <w:vAlign w:val="bottom"/>
          </w:tcPr>
          <w:p>
            <w:pPr>
              <w:spacing w:after="0"/>
              <w:rPr>
                <w:sz w:val="12"/>
                <w:szCs w:val="12"/>
                <w:color w:val="auto"/>
              </w:rPr>
            </w:pPr>
          </w:p>
        </w:tc>
        <w:tc>
          <w:tcPr>
            <w:tcW w:w="2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Equity compensation costs</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2,317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406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417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458</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442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430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412</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332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6"/>
              </w:rPr>
              <w:t>2,402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1,712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1,693</w:t>
            </w:r>
          </w:p>
        </w:tc>
        <w:tc>
          <w:tcPr>
            <w:tcW w:w="40" w:type="dxa"/>
            <w:vAlign w:val="bottom"/>
            <w:shd w:val="clear" w:color="auto" w:fill="CCEEFF"/>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2240" w:type="dxa"/>
            <w:vAlign w:val="bottom"/>
          </w:tcPr>
          <w:p>
            <w:pPr>
              <w:spacing w:after="0" w:line="139"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(137)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3,431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3,028</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40</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268</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440</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(678)</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15,381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1,019</w:t>
            </w: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132</w:t>
            </w:r>
          </w:p>
        </w:tc>
      </w:tr>
      <w:tr>
        <w:trPr>
          <w:trHeight w:val="139"/>
        </w:trPr>
        <w:tc>
          <w:tcPr>
            <w:tcW w:w="20" w:type="dxa"/>
            <w:vAlign w:val="bottom"/>
          </w:tcPr>
          <w:p>
            <w:pPr>
              <w:spacing w:after="0"/>
              <w:rPr>
                <w:sz w:val="12"/>
                <w:szCs w:val="12"/>
                <w:color w:val="auto"/>
              </w:rPr>
            </w:pPr>
          </w:p>
        </w:tc>
        <w:tc>
          <w:tcPr>
            <w:tcW w:w="2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non-recurring adjustments</w:t>
            </w: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11,022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1,095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1,043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890</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877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2,622</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571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526</w:t>
            </w:r>
          </w:p>
        </w:tc>
      </w:tr>
      <w:tr>
        <w:trPr>
          <w:trHeight w:val="130"/>
        </w:trPr>
        <w:tc>
          <w:tcPr>
            <w:tcW w:w="20" w:type="dxa"/>
            <w:vAlign w:val="bottom"/>
          </w:tcPr>
          <w:p>
            <w:pPr>
              <w:spacing w:after="0"/>
              <w:rPr>
                <w:sz w:val="11"/>
                <w:szCs w:val="11"/>
                <w:color w:val="auto"/>
              </w:rPr>
            </w:pPr>
          </w:p>
        </w:tc>
        <w:tc>
          <w:tcPr>
            <w:tcW w:w="2240" w:type="dxa"/>
            <w:vAlign w:val="bottom"/>
          </w:tcPr>
          <w:p>
            <w:pPr>
              <w:spacing w:after="0" w:line="131" w:lineRule="exact"/>
              <w:rPr>
                <w:sz w:val="20"/>
                <w:szCs w:val="20"/>
                <w:color w:val="auto"/>
              </w:rPr>
            </w:pPr>
            <w:r>
              <w:rPr>
                <w:rFonts w:ascii="Arial" w:cs="Arial" w:eastAsia="Arial" w:hAnsi="Arial"/>
                <w:sz w:val="13"/>
                <w:szCs w:val="13"/>
                <w:color w:val="auto"/>
                <w:w w:val="92"/>
              </w:rPr>
              <w:t>Tax impacts of adjustments to net income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2240" w:type="dxa"/>
            <w:vAlign w:val="bottom"/>
          </w:tcPr>
          <w:p>
            <w:pPr>
              <w:ind w:left="100"/>
              <w:spacing w:after="0" w:line="148" w:lineRule="exact"/>
              <w:rPr>
                <w:sz w:val="20"/>
                <w:szCs w:val="20"/>
                <w:color w:val="auto"/>
              </w:rPr>
            </w:pPr>
            <w:r>
              <w:rPr>
                <w:rFonts w:ascii="Arial" w:cs="Arial" w:eastAsia="Arial" w:hAnsi="Arial"/>
                <w:sz w:val="13"/>
                <w:szCs w:val="13"/>
                <w:color w:val="auto"/>
              </w:rPr>
              <w:t>(loss)</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(4,472)</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99"/>
              </w:rPr>
              <w:t>(3,299)</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(2,533)</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r>
      <w:tr>
        <w:trPr>
          <w:trHeight w:val="139"/>
        </w:trPr>
        <w:tc>
          <w:tcPr>
            <w:tcW w:w="20" w:type="dxa"/>
            <w:vAlign w:val="bottom"/>
          </w:tcPr>
          <w:p>
            <w:pPr>
              <w:spacing w:after="0"/>
              <w:rPr>
                <w:sz w:val="12"/>
                <w:szCs w:val="12"/>
                <w:color w:val="auto"/>
              </w:rPr>
            </w:pPr>
          </w:p>
        </w:tc>
        <w:tc>
          <w:tcPr>
            <w:tcW w:w="2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Adjusted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2,168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2,610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3,445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5,143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4,515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2,324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619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6"/>
              </w:rPr>
              <w:t>2,053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1"/>
              </w:rPr>
              <w:t>12,213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8,802</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-104140</wp:posOffset>
            </wp:positionV>
            <wp:extent cx="825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right="520" w:hanging="403"/>
        <w:spacing w:after="0" w:line="272" w:lineRule="auto"/>
        <w:tabs>
          <w:tab w:leader="none" w:pos="8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00"/>
          </w:cols>
          <w:pgMar w:left="320" w:top="440" w:right="7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right="80" w:hanging="403"/>
        <w:spacing w:after="0" w:line="287" w:lineRule="auto"/>
        <w:tabs>
          <w:tab w:leader="none" w:pos="8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60" w:right="40" w:hanging="403"/>
        <w:spacing w:after="0" w:line="292" w:lineRule="auto"/>
        <w:tabs>
          <w:tab w:leader="none" w:pos="8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professional fees for the preparation for the IPO in the quarters ended September 30, 2021,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Successor</w:t>
            </w: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w w:val="86"/>
              </w:rPr>
              <w:t>Predecessor</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5"/>
        </w:trPr>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w w:val="89"/>
              </w:rPr>
              <w:t>Period</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center"/>
              <w:ind w:right="120"/>
              <w:spacing w:after="0" w:line="95" w:lineRule="exact"/>
              <w:rPr>
                <w:sz w:val="20"/>
                <w:szCs w:val="20"/>
                <w:color w:val="auto"/>
              </w:rPr>
            </w:pPr>
            <w:r>
              <w:rPr>
                <w:rFonts w:ascii="Arial" w:cs="Arial" w:eastAsia="Arial" w:hAnsi="Arial"/>
                <w:sz w:val="10"/>
                <w:szCs w:val="10"/>
                <w:b w:val="1"/>
                <w:bCs w:val="1"/>
                <w:color w:val="auto"/>
                <w:w w:val="89"/>
              </w:rPr>
              <w:t>Period</w:t>
            </w: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8"/>
              </w:rPr>
              <w:t>from</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8"/>
              </w:rPr>
              <w:t>from</w:t>
            </w: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4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5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5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7"/>
              </w:rPr>
              <w:t>Three</w:t>
            </w:r>
          </w:p>
        </w:tc>
        <w:tc>
          <w:tcPr>
            <w:tcW w:w="5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2"/>
              </w:rPr>
              <w:t>July 16,</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6"/>
              </w:rPr>
              <w:t>July 1,</w:t>
            </w:r>
          </w:p>
        </w:tc>
        <w:tc>
          <w:tcPr>
            <w:tcW w:w="40" w:type="dxa"/>
            <w:vAlign w:val="bottom"/>
          </w:tcPr>
          <w:p>
            <w:pPr>
              <w:spacing w:after="0"/>
              <w:rPr>
                <w:sz w:val="9"/>
                <w:szCs w:val="9"/>
                <w:color w:val="auto"/>
              </w:rPr>
            </w:pP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5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7"/>
              </w:rPr>
              <w:t>Three</w:t>
            </w:r>
          </w:p>
        </w:tc>
      </w:tr>
      <w:tr>
        <w:trPr>
          <w:trHeight w:val="11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Months</w:t>
            </w:r>
          </w:p>
        </w:tc>
        <w:tc>
          <w:tcPr>
            <w:tcW w:w="4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5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Months</w:t>
            </w:r>
          </w:p>
        </w:tc>
        <w:tc>
          <w:tcPr>
            <w:tcW w:w="5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5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54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9"/>
                <w:szCs w:val="9"/>
                <w:color w:val="auto"/>
              </w:rPr>
            </w:pPr>
          </w:p>
        </w:tc>
        <w:tc>
          <w:tcPr>
            <w:tcW w:w="620" w:type="dxa"/>
            <w:vAlign w:val="bottom"/>
            <w:gridSpan w:val="3"/>
          </w:tcPr>
          <w:p>
            <w:pPr>
              <w:jc w:val="center"/>
              <w:ind w:left="209"/>
              <w:spacing w:after="0" w:line="114" w:lineRule="exact"/>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5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Months</w:t>
            </w:r>
          </w:p>
        </w:tc>
      </w:tr>
      <w:tr>
        <w:trPr>
          <w:trHeight w:val="11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1"/>
              </w:rPr>
              <w:t>Ended</w:t>
            </w:r>
          </w:p>
        </w:tc>
        <w:tc>
          <w:tcPr>
            <w:tcW w:w="4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5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5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5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to</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to</w:t>
            </w:r>
          </w:p>
        </w:tc>
        <w:tc>
          <w:tcPr>
            <w:tcW w:w="40" w:type="dxa"/>
            <w:vAlign w:val="bottom"/>
          </w:tcPr>
          <w:p>
            <w:pPr>
              <w:spacing w:after="0"/>
              <w:rPr>
                <w:sz w:val="9"/>
                <w:szCs w:val="9"/>
                <w:color w:val="auto"/>
              </w:rPr>
            </w:pP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1"/>
              </w:rPr>
              <w:t>Ended</w:t>
            </w:r>
          </w:p>
        </w:tc>
        <w:tc>
          <w:tcPr>
            <w:tcW w:w="5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r>
      <w:tr>
        <w:trPr>
          <w:trHeight w:val="113"/>
        </w:trPr>
        <w:tc>
          <w:tcPr>
            <w:tcW w:w="2400" w:type="dxa"/>
            <w:vAlign w:val="bottom"/>
          </w:tcPr>
          <w:p>
            <w:pPr>
              <w:spacing w:after="0"/>
              <w:rPr>
                <w:sz w:val="9"/>
                <w:szCs w:val="9"/>
                <w:color w:val="auto"/>
              </w:rPr>
            </w:pPr>
          </w:p>
        </w:tc>
        <w:tc>
          <w:tcPr>
            <w:tcW w:w="780" w:type="dxa"/>
            <w:vAlign w:val="bottom"/>
            <w:gridSpan w:val="3"/>
          </w:tcPr>
          <w:p>
            <w:pPr>
              <w:jc w:val="center"/>
              <w:ind w:right="160"/>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48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540" w:type="dxa"/>
            <w:vAlign w:val="bottom"/>
            <w:gridSpan w:val="2"/>
          </w:tcPr>
          <w:p>
            <w:pPr>
              <w:jc w:val="center"/>
              <w:ind w:right="80"/>
              <w:spacing w:after="0" w:line="113" w:lineRule="exact"/>
              <w:rPr>
                <w:sz w:val="20"/>
                <w:szCs w:val="20"/>
                <w:color w:val="auto"/>
              </w:rPr>
            </w:pPr>
            <w:r>
              <w:rPr>
                <w:rFonts w:ascii="Arial" w:cs="Arial" w:eastAsia="Arial" w:hAnsi="Arial"/>
                <w:sz w:val="10"/>
                <w:szCs w:val="10"/>
                <w:b w:val="1"/>
                <w:bCs w:val="1"/>
                <w:color w:val="auto"/>
                <w:w w:val="99"/>
              </w:rPr>
              <w:t>March 31,</w:t>
            </w:r>
          </w:p>
        </w:tc>
        <w:tc>
          <w:tcPr>
            <w:tcW w:w="60" w:type="dxa"/>
            <w:vAlign w:val="bottom"/>
          </w:tcPr>
          <w:p>
            <w:pPr>
              <w:spacing w:after="0"/>
              <w:rPr>
                <w:sz w:val="9"/>
                <w:szCs w:val="9"/>
                <w:color w:val="auto"/>
              </w:rPr>
            </w:pPr>
          </w:p>
        </w:tc>
        <w:tc>
          <w:tcPr>
            <w:tcW w:w="700" w:type="dxa"/>
            <w:vAlign w:val="bottom"/>
            <w:gridSpan w:val="3"/>
          </w:tcPr>
          <w:p>
            <w:pPr>
              <w:jc w:val="center"/>
              <w:ind w:right="100"/>
              <w:spacing w:after="0" w:line="113" w:lineRule="exact"/>
              <w:rPr>
                <w:sz w:val="20"/>
                <w:szCs w:val="20"/>
                <w:color w:val="auto"/>
              </w:rPr>
            </w:pPr>
            <w:r>
              <w:rPr>
                <w:rFonts w:ascii="Arial" w:cs="Arial" w:eastAsia="Arial" w:hAnsi="Arial"/>
                <w:sz w:val="10"/>
                <w:szCs w:val="10"/>
                <w:b w:val="1"/>
                <w:bCs w:val="1"/>
                <w:color w:val="auto"/>
                <w:w w:val="92"/>
              </w:rPr>
              <w:t>December 31,</w:t>
            </w:r>
          </w:p>
        </w:tc>
        <w:tc>
          <w:tcPr>
            <w:tcW w:w="60" w:type="dxa"/>
            <w:vAlign w:val="bottom"/>
          </w:tcPr>
          <w:p>
            <w:pPr>
              <w:spacing w:after="0"/>
              <w:rPr>
                <w:sz w:val="9"/>
                <w:szCs w:val="9"/>
                <w:color w:val="auto"/>
              </w:rPr>
            </w:pPr>
          </w:p>
        </w:tc>
        <w:tc>
          <w:tcPr>
            <w:tcW w:w="760" w:type="dxa"/>
            <w:vAlign w:val="bottom"/>
            <w:gridSpan w:val="3"/>
          </w:tcPr>
          <w:p>
            <w:pPr>
              <w:spacing w:after="0" w:line="113" w:lineRule="exact"/>
              <w:rPr>
                <w:sz w:val="20"/>
                <w:szCs w:val="20"/>
                <w:color w:val="auto"/>
              </w:rPr>
            </w:pPr>
            <w:r>
              <w:rPr>
                <w:rFonts w:ascii="Arial" w:cs="Arial" w:eastAsia="Arial" w:hAnsi="Arial"/>
                <w:sz w:val="10"/>
                <w:szCs w:val="10"/>
                <w:b w:val="1"/>
                <w:bCs w:val="1"/>
                <w:color w:val="auto"/>
              </w:rPr>
              <w:t>September 30,</w:t>
            </w:r>
          </w:p>
        </w:tc>
        <w:tc>
          <w:tcPr>
            <w:tcW w:w="540" w:type="dxa"/>
            <w:vAlign w:val="bottom"/>
            <w:gridSpan w:val="2"/>
          </w:tcPr>
          <w:p>
            <w:pPr>
              <w:jc w:val="center"/>
              <w:ind w:right="140"/>
              <w:spacing w:after="0" w:line="113" w:lineRule="exact"/>
              <w:rPr>
                <w:sz w:val="20"/>
                <w:szCs w:val="20"/>
                <w:color w:val="auto"/>
              </w:rPr>
            </w:pPr>
            <w:r>
              <w:rPr>
                <w:rFonts w:ascii="Arial" w:cs="Arial" w:eastAsia="Arial" w:hAnsi="Arial"/>
                <w:sz w:val="10"/>
                <w:szCs w:val="10"/>
                <w:b w:val="1"/>
                <w:bCs w:val="1"/>
                <w:color w:val="auto"/>
                <w:w w:val="89"/>
              </w:rPr>
              <w:t>June 30,</w:t>
            </w:r>
          </w:p>
        </w:tc>
        <w:tc>
          <w:tcPr>
            <w:tcW w:w="580" w:type="dxa"/>
            <w:vAlign w:val="bottom"/>
            <w:gridSpan w:val="2"/>
          </w:tcPr>
          <w:p>
            <w:pPr>
              <w:jc w:val="right"/>
              <w:ind w:right="140"/>
              <w:spacing w:after="0" w:line="113" w:lineRule="exact"/>
              <w:rPr>
                <w:sz w:val="20"/>
                <w:szCs w:val="20"/>
                <w:color w:val="auto"/>
              </w:rPr>
            </w:pPr>
            <w:r>
              <w:rPr>
                <w:rFonts w:ascii="Arial" w:cs="Arial" w:eastAsia="Arial" w:hAnsi="Arial"/>
                <w:sz w:val="10"/>
                <w:szCs w:val="10"/>
                <w:b w:val="1"/>
                <w:bCs w:val="1"/>
                <w:color w:val="auto"/>
                <w:w w:val="90"/>
              </w:rPr>
              <w:t>March 31,</w:t>
            </w:r>
          </w:p>
        </w:tc>
        <w:tc>
          <w:tcPr>
            <w:tcW w:w="760" w:type="dxa"/>
            <w:vAlign w:val="bottom"/>
            <w:gridSpan w:val="3"/>
          </w:tcPr>
          <w:p>
            <w:pPr>
              <w:jc w:val="center"/>
              <w:ind w:right="140"/>
              <w:spacing w:after="0" w:line="113" w:lineRule="exact"/>
              <w:rPr>
                <w:sz w:val="20"/>
                <w:szCs w:val="20"/>
                <w:color w:val="auto"/>
              </w:rPr>
            </w:pPr>
            <w:r>
              <w:rPr>
                <w:rFonts w:ascii="Arial" w:cs="Arial" w:eastAsia="Arial" w:hAnsi="Arial"/>
                <w:sz w:val="10"/>
                <w:szCs w:val="10"/>
                <w:b w:val="1"/>
                <w:bCs w:val="1"/>
                <w:color w:val="auto"/>
                <w:w w:val="89"/>
              </w:rPr>
              <w:t>December 31,</w:t>
            </w:r>
          </w:p>
        </w:tc>
        <w:tc>
          <w:tcPr>
            <w:tcW w:w="760" w:type="dxa"/>
            <w:vAlign w:val="bottom"/>
            <w:gridSpan w:val="3"/>
          </w:tcPr>
          <w:p>
            <w:pPr>
              <w:jc w:val="center"/>
              <w:ind w:right="140"/>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center"/>
              <w:ind w:right="100"/>
              <w:spacing w:after="0" w:line="113" w:lineRule="exact"/>
              <w:rPr>
                <w:sz w:val="20"/>
                <w:szCs w:val="20"/>
                <w:color w:val="auto"/>
              </w:rPr>
            </w:pPr>
            <w:r>
              <w:rPr>
                <w:rFonts w:ascii="Arial" w:cs="Arial" w:eastAsia="Arial" w:hAnsi="Arial"/>
                <w:sz w:val="10"/>
                <w:szCs w:val="10"/>
                <w:b w:val="1"/>
                <w:bCs w:val="1"/>
                <w:color w:val="auto"/>
                <w:w w:val="92"/>
              </w:rPr>
              <w:t>July 15,</w:t>
            </w:r>
          </w:p>
        </w:tc>
        <w:tc>
          <w:tcPr>
            <w:tcW w:w="40" w:type="dxa"/>
            <w:vAlign w:val="bottom"/>
          </w:tcPr>
          <w:p>
            <w:pPr>
              <w:spacing w:after="0"/>
              <w:rPr>
                <w:sz w:val="9"/>
                <w:szCs w:val="9"/>
                <w:color w:val="auto"/>
              </w:rPr>
            </w:pPr>
          </w:p>
        </w:tc>
        <w:tc>
          <w:tcPr>
            <w:tcW w:w="60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9"/>
              </w:rPr>
              <w:t>June 30,</w:t>
            </w:r>
          </w:p>
        </w:tc>
        <w:tc>
          <w:tcPr>
            <w:tcW w:w="520" w:type="dxa"/>
            <w:vAlign w:val="bottom"/>
            <w:gridSpan w:val="2"/>
          </w:tcPr>
          <w:p>
            <w:pPr>
              <w:jc w:val="right"/>
              <w:ind w:right="80"/>
              <w:spacing w:after="0" w:line="113" w:lineRule="exact"/>
              <w:rPr>
                <w:sz w:val="20"/>
                <w:szCs w:val="20"/>
                <w:color w:val="auto"/>
              </w:rPr>
            </w:pPr>
            <w:r>
              <w:rPr>
                <w:rFonts w:ascii="Arial" w:cs="Arial" w:eastAsia="Arial" w:hAnsi="Arial"/>
                <w:sz w:val="10"/>
                <w:szCs w:val="10"/>
                <w:b w:val="1"/>
                <w:bCs w:val="1"/>
                <w:color w:val="auto"/>
                <w:w w:val="90"/>
              </w:rPr>
              <w:t>March 31,</w:t>
            </w:r>
          </w:p>
        </w:tc>
      </w:tr>
      <w:tr>
        <w:trPr>
          <w:trHeight w:val="127"/>
        </w:trPr>
        <w:tc>
          <w:tcPr>
            <w:tcW w:w="2400" w:type="dxa"/>
            <w:vAlign w:val="bottom"/>
          </w:tcPr>
          <w:p>
            <w:pPr>
              <w:ind w:left="820"/>
              <w:spacing w:after="0"/>
              <w:rPr>
                <w:sz w:val="20"/>
                <w:szCs w:val="20"/>
                <w:color w:val="auto"/>
              </w:rPr>
            </w:pPr>
            <w:r>
              <w:rPr>
                <w:rFonts w:ascii="Arial" w:cs="Arial" w:eastAsia="Arial" w:hAnsi="Arial"/>
                <w:sz w:val="10"/>
                <w:szCs w:val="10"/>
                <w:b w:val="1"/>
                <w:bCs w:val="1"/>
                <w:color w:val="auto"/>
              </w:rPr>
              <w:t>($ in thousands)</w:t>
            </w:r>
          </w:p>
        </w:tc>
        <w:tc>
          <w:tcPr>
            <w:tcW w:w="100" w:type="dxa"/>
            <w:vAlign w:val="bottom"/>
          </w:tcPr>
          <w:p>
            <w:pPr>
              <w:spacing w:after="0"/>
              <w:rPr>
                <w:sz w:val="11"/>
                <w:szCs w:val="11"/>
                <w:color w:val="auto"/>
              </w:rPr>
            </w:pPr>
          </w:p>
        </w:tc>
        <w:tc>
          <w:tcPr>
            <w:tcW w:w="520" w:type="dxa"/>
            <w:vAlign w:val="bottom"/>
          </w:tcPr>
          <w:p>
            <w:pPr>
              <w:jc w:val="center"/>
              <w:ind w:right="26"/>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1"/>
                <w:szCs w:val="11"/>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8"/>
              </w:rPr>
              <w:t>2021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6"/>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00" w:type="dxa"/>
            <w:vAlign w:val="bottom"/>
            <w:gridSpan w:val="2"/>
          </w:tcPr>
          <w:p>
            <w:pPr>
              <w:jc w:val="center"/>
              <w:ind w:left="84"/>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1"/>
                <w:szCs w:val="11"/>
                <w:color w:val="auto"/>
              </w:rPr>
            </w:pPr>
          </w:p>
        </w:tc>
        <w:tc>
          <w:tcPr>
            <w:tcW w:w="4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80" w:type="dxa"/>
            <w:vAlign w:val="bottom"/>
          </w:tcPr>
          <w:p>
            <w:pPr>
              <w:spacing w:after="0"/>
              <w:rPr>
                <w:sz w:val="11"/>
                <w:szCs w:val="11"/>
                <w:color w:val="auto"/>
              </w:rPr>
            </w:pPr>
          </w:p>
        </w:tc>
      </w:tr>
      <w:tr>
        <w:trPr>
          <w:trHeight w:val="93"/>
        </w:trPr>
        <w:tc>
          <w:tcPr>
            <w:tcW w:w="240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9"/>
                <w:szCs w:val="9"/>
                <w:color w:val="auto"/>
              </w:rPr>
              <w:t>Net cash provided by (used in) operating</w:t>
            </w: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right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r>
      <w:tr>
        <w:trPr>
          <w:trHeight w:val="141"/>
        </w:trPr>
        <w:tc>
          <w:tcPr>
            <w:tcW w:w="2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activities</w:t>
            </w:r>
            <w:r>
              <w:rPr>
                <w:rFonts w:ascii="Arial" w:cs="Arial" w:eastAsia="Arial" w:hAnsi="Arial"/>
                <w:sz w:val="10"/>
                <w:szCs w:val="10"/>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$ 8,414</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$ 13,527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8,673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795</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$ 5,551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  8,198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1,616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(8,749)</w:t>
            </w:r>
          </w:p>
        </w:tc>
        <w:tc>
          <w:tcPr>
            <w:tcW w:w="12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3"/>
            <w:shd w:val="clear" w:color="auto" w:fill="CCEEFF"/>
          </w:tcPr>
          <w:p>
            <w:pPr>
              <w:jc w:val="center"/>
              <w:ind w:left="4"/>
              <w:spacing w:after="0"/>
              <w:rPr>
                <w:sz w:val="20"/>
                <w:szCs w:val="20"/>
                <w:color w:val="auto"/>
              </w:rPr>
            </w:pPr>
            <w:r>
              <w:rPr>
                <w:rFonts w:ascii="Arial" w:cs="Arial" w:eastAsia="Arial" w:hAnsi="Arial"/>
                <w:sz w:val="12"/>
                <w:szCs w:val="12"/>
                <w:color w:val="auto"/>
                <w:w w:val="84"/>
              </w:rPr>
              <w:t>$ 2,674</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98"/>
              </w:rPr>
              <w:t>$ 13,658</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$ 12,395</w:t>
            </w:r>
          </w:p>
        </w:tc>
      </w:tr>
      <w:tr>
        <w:trPr>
          <w:trHeight w:val="113"/>
        </w:trPr>
        <w:tc>
          <w:tcPr>
            <w:tcW w:w="2400" w:type="dxa"/>
            <w:vAlign w:val="bottom"/>
          </w:tcPr>
          <w:p>
            <w:pPr>
              <w:spacing w:after="0" w:line="113" w:lineRule="exact"/>
              <w:rPr>
                <w:sz w:val="20"/>
                <w:szCs w:val="20"/>
                <w:color w:val="auto"/>
              </w:rPr>
            </w:pPr>
            <w:r>
              <w:rPr>
                <w:rFonts w:ascii="Arial" w:cs="Arial" w:eastAsia="Arial" w:hAnsi="Arial"/>
                <w:sz w:val="12"/>
                <w:szCs w:val="12"/>
                <w:color w:val="auto"/>
              </w:rPr>
              <w:t>Net cash (used in) provided by investing</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1"/>
        </w:trPr>
        <w:tc>
          <w:tcPr>
            <w:tcW w:w="2400" w:type="dxa"/>
            <w:vAlign w:val="bottom"/>
          </w:tcPr>
          <w:p>
            <w:pPr>
              <w:ind w:left="120"/>
              <w:spacing w:after="0"/>
              <w:rPr>
                <w:sz w:val="20"/>
                <w:szCs w:val="20"/>
                <w:color w:val="auto"/>
              </w:rPr>
            </w:pPr>
            <w:r>
              <w:rPr>
                <w:rFonts w:ascii="Arial" w:cs="Arial" w:eastAsia="Arial" w:hAnsi="Arial"/>
                <w:sz w:val="12"/>
                <w:szCs w:val="12"/>
                <w:color w:val="auto"/>
              </w:rPr>
              <w:t>activities</w:t>
            </w:r>
            <w:r>
              <w:rPr>
                <w:rFonts w:ascii="Arial" w:cs="Arial" w:eastAsia="Arial" w:hAnsi="Arial"/>
                <w:sz w:val="10"/>
                <w:szCs w:val="10"/>
                <w:color w:val="auto"/>
              </w:rPr>
              <w:t>(2)(3)</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(440)</w:t>
            </w: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(1,380)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(3,842)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(15,866)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(7,101)</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(547)</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(348)</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(3,974)</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91"/>
              </w:rPr>
              <w:t>(1,105,394)</w:t>
            </w:r>
          </w:p>
        </w:tc>
        <w:tc>
          <w:tcPr>
            <w:tcW w:w="120" w:type="dxa"/>
            <w:vAlign w:val="bottom"/>
            <w:tcBorders>
              <w:right w:val="single" w:sz="8" w:color="auto"/>
            </w:tcBorders>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2"/>
                <w:szCs w:val="12"/>
                <w:color w:val="auto"/>
              </w:rPr>
              <w:t>(11)</w:t>
            </w:r>
          </w:p>
        </w:tc>
        <w:tc>
          <w:tcPr>
            <w:tcW w:w="640" w:type="dxa"/>
            <w:vAlign w:val="bottom"/>
            <w:gridSpan w:val="3"/>
          </w:tcPr>
          <w:p>
            <w:pPr>
              <w:jc w:val="right"/>
              <w:ind w:right="120"/>
              <w:spacing w:after="0"/>
              <w:rPr>
                <w:sz w:val="20"/>
                <w:szCs w:val="20"/>
                <w:color w:val="auto"/>
              </w:rPr>
            </w:pPr>
            <w:r>
              <w:rPr>
                <w:rFonts w:ascii="Arial" w:cs="Arial" w:eastAsia="Arial" w:hAnsi="Arial"/>
                <w:sz w:val="12"/>
                <w:szCs w:val="12"/>
                <w:color w:val="auto"/>
              </w:rPr>
              <w:t>(539)</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(30,010)</w:t>
            </w:r>
          </w:p>
        </w:tc>
      </w:tr>
      <w:tr>
        <w:trPr>
          <w:trHeight w:val="113"/>
        </w:trPr>
        <w:tc>
          <w:tcPr>
            <w:tcW w:w="240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Net cash (used in) provided by financing</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1"/>
        </w:trPr>
        <w:tc>
          <w:tcPr>
            <w:tcW w:w="2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activities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152,757</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(1,766)</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(1,296)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(3,186)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(1,173)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23,875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(7,757)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1,132,876</w:t>
            </w:r>
          </w:p>
        </w:tc>
        <w:tc>
          <w:tcPr>
            <w:tcW w:w="1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(13,279)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-481965</wp:posOffset>
            </wp:positionV>
            <wp:extent cx="158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hanging="403"/>
        <w:spacing w:after="0"/>
        <w:tabs>
          <w:tab w:leader="none" w:pos="8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Net cash provided by (used in) operating activities includes cash payments for interest as follows: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w w:val="94"/>
              </w:rPr>
              <w:t>Successor</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w w:val="93"/>
              </w:rPr>
              <w:t>Predecessor</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5"/>
        </w:trPr>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380"/>
              <w:spacing w:after="0" w:line="95" w:lineRule="exact"/>
              <w:rPr>
                <w:sz w:val="20"/>
                <w:szCs w:val="20"/>
                <w:color w:val="auto"/>
              </w:rPr>
            </w:pPr>
            <w:r>
              <w:rPr>
                <w:rFonts w:ascii="Arial" w:cs="Arial" w:eastAsia="Arial" w:hAnsi="Arial"/>
                <w:sz w:val="10"/>
                <w:szCs w:val="10"/>
                <w:b w:val="1"/>
                <w:bCs w:val="1"/>
                <w:color w:val="auto"/>
                <w:w w:val="89"/>
              </w:rPr>
              <w:t>Period</w:t>
            </w:r>
          </w:p>
        </w:tc>
        <w:tc>
          <w:tcPr>
            <w:tcW w:w="300" w:type="dxa"/>
            <w:vAlign w:val="bottom"/>
          </w:tcPr>
          <w:p>
            <w:pPr>
              <w:spacing w:after="0"/>
              <w:rPr>
                <w:sz w:val="8"/>
                <w:szCs w:val="8"/>
                <w:color w:val="auto"/>
              </w:rPr>
            </w:pPr>
          </w:p>
        </w:tc>
        <w:tc>
          <w:tcPr>
            <w:tcW w:w="34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89"/>
              </w:rPr>
              <w:t>Period</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9"/>
              </w:rPr>
              <w:t>from</w:t>
            </w:r>
          </w:p>
        </w:tc>
        <w:tc>
          <w:tcPr>
            <w:tcW w:w="30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from</w:t>
            </w: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4"/>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4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3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7"/>
              </w:rPr>
              <w:t>July 16,</w:t>
            </w:r>
          </w:p>
        </w:tc>
        <w:tc>
          <w:tcPr>
            <w:tcW w:w="30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July 1,</w:t>
            </w:r>
          </w:p>
        </w:tc>
        <w:tc>
          <w:tcPr>
            <w:tcW w:w="200" w:type="dxa"/>
            <w:vAlign w:val="bottom"/>
          </w:tcPr>
          <w:p>
            <w:pPr>
              <w:spacing w:after="0"/>
              <w:rPr>
                <w:sz w:val="9"/>
                <w:szCs w:val="9"/>
                <w:color w:val="auto"/>
              </w:rPr>
            </w:pPr>
          </w:p>
        </w:tc>
        <w:tc>
          <w:tcPr>
            <w:tcW w:w="5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Three</w:t>
            </w:r>
          </w:p>
        </w:tc>
      </w:tr>
      <w:tr>
        <w:trPr>
          <w:trHeight w:val="114"/>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4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2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3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Months</w:t>
            </w:r>
          </w:p>
        </w:tc>
        <w:tc>
          <w:tcPr>
            <w:tcW w:w="18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520" w:type="dxa"/>
            <w:vAlign w:val="bottom"/>
          </w:tcPr>
          <w:p>
            <w:pPr>
              <w:jc w:val="center"/>
              <w:ind w:right="68"/>
              <w:spacing w:after="0" w:line="114"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9"/>
                <w:szCs w:val="9"/>
                <w:color w:val="auto"/>
              </w:rPr>
            </w:pPr>
          </w:p>
        </w:tc>
        <w:tc>
          <w:tcPr>
            <w:tcW w:w="640" w:type="dxa"/>
            <w:vAlign w:val="bottom"/>
            <w:gridSpan w:val="2"/>
          </w:tcPr>
          <w:p>
            <w:pPr>
              <w:jc w:val="center"/>
              <w:ind w:left="269"/>
              <w:spacing w:after="0" w:line="114"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9"/>
                <w:szCs w:val="9"/>
                <w:color w:val="auto"/>
              </w:rPr>
            </w:pPr>
          </w:p>
        </w:tc>
        <w:tc>
          <w:tcPr>
            <w:tcW w:w="54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Months</w:t>
            </w:r>
          </w:p>
        </w:tc>
        <w:tc>
          <w:tcPr>
            <w:tcW w:w="50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Months</w:t>
            </w:r>
          </w:p>
        </w:tc>
      </w:tr>
      <w:tr>
        <w:trPr>
          <w:trHeight w:val="114"/>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4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3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4"/>
              </w:rPr>
              <w:t>to</w:t>
            </w:r>
          </w:p>
        </w:tc>
        <w:tc>
          <w:tcPr>
            <w:tcW w:w="30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4"/>
              </w:rPr>
              <w:t>to</w:t>
            </w:r>
          </w:p>
        </w:tc>
        <w:tc>
          <w:tcPr>
            <w:tcW w:w="200" w:type="dxa"/>
            <w:vAlign w:val="bottom"/>
          </w:tcPr>
          <w:p>
            <w:pPr>
              <w:spacing w:after="0"/>
              <w:rPr>
                <w:sz w:val="9"/>
                <w:szCs w:val="9"/>
                <w:color w:val="auto"/>
              </w:rPr>
            </w:pPr>
          </w:p>
        </w:tc>
        <w:tc>
          <w:tcPr>
            <w:tcW w:w="54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r>
      <w:tr>
        <w:trPr>
          <w:trHeight w:val="113"/>
        </w:trPr>
        <w:tc>
          <w:tcPr>
            <w:tcW w:w="2040" w:type="dxa"/>
            <w:vAlign w:val="bottom"/>
          </w:tcPr>
          <w:p>
            <w:pPr>
              <w:spacing w:after="0"/>
              <w:rPr>
                <w:sz w:val="9"/>
                <w:szCs w:val="9"/>
                <w:color w:val="auto"/>
              </w:rPr>
            </w:pPr>
          </w:p>
        </w:tc>
        <w:tc>
          <w:tcPr>
            <w:tcW w:w="700" w:type="dxa"/>
            <w:vAlign w:val="bottom"/>
            <w:gridSpan w:val="3"/>
          </w:tcPr>
          <w:p>
            <w:pPr>
              <w:jc w:val="center"/>
              <w:ind w:right="80"/>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100" w:type="dxa"/>
            <w:vAlign w:val="bottom"/>
          </w:tcPr>
          <w:p>
            <w:pPr>
              <w:spacing w:after="0"/>
              <w:rPr>
                <w:sz w:val="9"/>
                <w:szCs w:val="9"/>
                <w:color w:val="auto"/>
              </w:rPr>
            </w:pPr>
          </w:p>
        </w:tc>
        <w:tc>
          <w:tcPr>
            <w:tcW w:w="440" w:type="dxa"/>
            <w:vAlign w:val="bottom"/>
            <w:gridSpan w:val="2"/>
          </w:tcPr>
          <w:p>
            <w:pPr>
              <w:jc w:val="center"/>
              <w:ind w:right="80"/>
              <w:spacing w:after="0" w:line="113" w:lineRule="exact"/>
              <w:rPr>
                <w:sz w:val="20"/>
                <w:szCs w:val="20"/>
                <w:color w:val="auto"/>
              </w:rPr>
            </w:pPr>
            <w:r>
              <w:rPr>
                <w:rFonts w:ascii="Arial" w:cs="Arial" w:eastAsia="Arial" w:hAnsi="Arial"/>
                <w:sz w:val="10"/>
                <w:szCs w:val="10"/>
                <w:b w:val="1"/>
                <w:bCs w:val="1"/>
                <w:color w:val="auto"/>
                <w:w w:val="89"/>
              </w:rPr>
              <w:t>June 30,</w:t>
            </w:r>
          </w:p>
        </w:tc>
        <w:tc>
          <w:tcPr>
            <w:tcW w:w="100" w:type="dxa"/>
            <w:vAlign w:val="bottom"/>
          </w:tcPr>
          <w:p>
            <w:pPr>
              <w:spacing w:after="0"/>
              <w:rPr>
                <w:sz w:val="9"/>
                <w:szCs w:val="9"/>
                <w:color w:val="auto"/>
              </w:rPr>
            </w:pPr>
          </w:p>
        </w:tc>
        <w:tc>
          <w:tcPr>
            <w:tcW w:w="44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5"/>
              </w:rPr>
              <w:t>March 31,</w:t>
            </w:r>
          </w:p>
        </w:tc>
        <w:tc>
          <w:tcPr>
            <w:tcW w:w="200" w:type="dxa"/>
            <w:vAlign w:val="bottom"/>
          </w:tcPr>
          <w:p>
            <w:pPr>
              <w:spacing w:after="0"/>
              <w:rPr>
                <w:sz w:val="9"/>
                <w:szCs w:val="9"/>
                <w:color w:val="auto"/>
              </w:rPr>
            </w:pPr>
          </w:p>
        </w:tc>
        <w:tc>
          <w:tcPr>
            <w:tcW w:w="780" w:type="dxa"/>
            <w:vAlign w:val="bottom"/>
            <w:gridSpan w:val="3"/>
          </w:tcPr>
          <w:p>
            <w:pPr>
              <w:spacing w:after="0" w:line="113" w:lineRule="exact"/>
              <w:rPr>
                <w:sz w:val="20"/>
                <w:szCs w:val="20"/>
                <w:color w:val="auto"/>
              </w:rPr>
            </w:pPr>
            <w:r>
              <w:rPr>
                <w:rFonts w:ascii="Arial" w:cs="Arial" w:eastAsia="Arial" w:hAnsi="Arial"/>
                <w:sz w:val="10"/>
                <w:szCs w:val="10"/>
                <w:b w:val="1"/>
                <w:bCs w:val="1"/>
                <w:color w:val="auto"/>
              </w:rPr>
              <w:t>December 31,</w:t>
            </w:r>
          </w:p>
        </w:tc>
        <w:tc>
          <w:tcPr>
            <w:tcW w:w="720" w:type="dxa"/>
            <w:vAlign w:val="bottom"/>
            <w:gridSpan w:val="3"/>
          </w:tcPr>
          <w:p>
            <w:pPr>
              <w:jc w:val="center"/>
              <w:ind w:right="100"/>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3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9"/>
              </w:rPr>
              <w:t>June 30,</w:t>
            </w:r>
          </w:p>
        </w:tc>
        <w:tc>
          <w:tcPr>
            <w:tcW w:w="180" w:type="dxa"/>
            <w:vAlign w:val="bottom"/>
          </w:tcPr>
          <w:p>
            <w:pPr>
              <w:spacing w:after="0"/>
              <w:rPr>
                <w:sz w:val="9"/>
                <w:szCs w:val="9"/>
                <w:color w:val="auto"/>
              </w:rPr>
            </w:pPr>
          </w:p>
        </w:tc>
        <w:tc>
          <w:tcPr>
            <w:tcW w:w="44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5"/>
              </w:rPr>
              <w:t>March 31,</w:t>
            </w:r>
          </w:p>
        </w:tc>
        <w:tc>
          <w:tcPr>
            <w:tcW w:w="200" w:type="dxa"/>
            <w:vAlign w:val="bottom"/>
          </w:tcPr>
          <w:p>
            <w:pPr>
              <w:spacing w:after="0"/>
              <w:rPr>
                <w:sz w:val="9"/>
                <w:szCs w:val="9"/>
                <w:color w:val="auto"/>
              </w:rPr>
            </w:pPr>
          </w:p>
        </w:tc>
        <w:tc>
          <w:tcPr>
            <w:tcW w:w="780" w:type="dxa"/>
            <w:vAlign w:val="bottom"/>
            <w:gridSpan w:val="3"/>
          </w:tcPr>
          <w:p>
            <w:pPr>
              <w:jc w:val="center"/>
              <w:ind w:right="200"/>
              <w:spacing w:after="0" w:line="113" w:lineRule="exact"/>
              <w:rPr>
                <w:sz w:val="20"/>
                <w:szCs w:val="20"/>
                <w:color w:val="auto"/>
              </w:rPr>
            </w:pPr>
            <w:r>
              <w:rPr>
                <w:rFonts w:ascii="Arial" w:cs="Arial" w:eastAsia="Arial" w:hAnsi="Arial"/>
                <w:sz w:val="10"/>
                <w:szCs w:val="10"/>
                <w:b w:val="1"/>
                <w:bCs w:val="1"/>
                <w:color w:val="auto"/>
                <w:w w:val="89"/>
              </w:rPr>
              <w:t>December 31,</w:t>
            </w:r>
          </w:p>
        </w:tc>
        <w:tc>
          <w:tcPr>
            <w:tcW w:w="880" w:type="dxa"/>
            <w:vAlign w:val="bottom"/>
            <w:gridSpan w:val="3"/>
          </w:tcPr>
          <w:p>
            <w:pPr>
              <w:jc w:val="center"/>
              <w:ind w:right="260"/>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300" w:type="dxa"/>
            <w:vAlign w:val="bottom"/>
          </w:tcPr>
          <w:p>
            <w:pPr>
              <w:spacing w:after="0"/>
              <w:rPr>
                <w:sz w:val="9"/>
                <w:szCs w:val="9"/>
                <w:color w:val="auto"/>
              </w:rPr>
            </w:pPr>
          </w:p>
        </w:tc>
        <w:tc>
          <w:tcPr>
            <w:tcW w:w="34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2"/>
              </w:rPr>
              <w:t>July 15,</w:t>
            </w:r>
          </w:p>
        </w:tc>
        <w:tc>
          <w:tcPr>
            <w:tcW w:w="200" w:type="dxa"/>
            <w:vAlign w:val="bottom"/>
          </w:tcPr>
          <w:p>
            <w:pPr>
              <w:spacing w:after="0"/>
              <w:rPr>
                <w:sz w:val="9"/>
                <w:szCs w:val="9"/>
                <w:color w:val="auto"/>
              </w:rPr>
            </w:pPr>
          </w:p>
        </w:tc>
        <w:tc>
          <w:tcPr>
            <w:tcW w:w="5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June 30,</w:t>
            </w:r>
          </w:p>
        </w:tc>
        <w:tc>
          <w:tcPr>
            <w:tcW w:w="500" w:type="dxa"/>
            <w:vAlign w:val="bottom"/>
            <w:gridSpan w:val="3"/>
          </w:tcPr>
          <w:p>
            <w:pPr>
              <w:jc w:val="center"/>
              <w:ind w:right="40"/>
              <w:spacing w:after="0" w:line="113" w:lineRule="exact"/>
              <w:rPr>
                <w:sz w:val="20"/>
                <w:szCs w:val="20"/>
                <w:color w:val="auto"/>
              </w:rPr>
            </w:pPr>
            <w:r>
              <w:rPr>
                <w:rFonts w:ascii="Arial" w:cs="Arial" w:eastAsia="Arial" w:hAnsi="Arial"/>
                <w:sz w:val="10"/>
                <w:szCs w:val="10"/>
                <w:b w:val="1"/>
                <w:bCs w:val="1"/>
                <w:color w:val="auto"/>
                <w:w w:val="99"/>
              </w:rPr>
              <w:t>March 31,</w:t>
            </w:r>
          </w:p>
        </w:tc>
      </w:tr>
      <w:tr>
        <w:trPr>
          <w:trHeight w:val="127"/>
        </w:trPr>
        <w:tc>
          <w:tcPr>
            <w:tcW w:w="2040" w:type="dxa"/>
            <w:vAlign w:val="bottom"/>
          </w:tcPr>
          <w:p>
            <w:pPr>
              <w:ind w:left="600"/>
              <w:spacing w:after="0"/>
              <w:rPr>
                <w:sz w:val="20"/>
                <w:szCs w:val="20"/>
                <w:color w:val="auto"/>
              </w:rPr>
            </w:pPr>
            <w:r>
              <w:rPr>
                <w:rFonts w:ascii="Arial" w:cs="Arial" w:eastAsia="Arial" w:hAnsi="Arial"/>
                <w:sz w:val="10"/>
                <w:szCs w:val="10"/>
                <w:b w:val="1"/>
                <w:bCs w:val="1"/>
                <w:color w:val="auto"/>
              </w:rPr>
              <w:t>($ in thousands)</w:t>
            </w:r>
          </w:p>
        </w:tc>
        <w:tc>
          <w:tcPr>
            <w:tcW w:w="100" w:type="dxa"/>
            <w:vAlign w:val="bottom"/>
          </w:tcPr>
          <w:p>
            <w:pPr>
              <w:spacing w:after="0"/>
              <w:rPr>
                <w:sz w:val="11"/>
                <w:szCs w:val="11"/>
                <w:color w:val="auto"/>
              </w:rPr>
            </w:pPr>
          </w:p>
        </w:tc>
        <w:tc>
          <w:tcPr>
            <w:tcW w:w="520" w:type="dxa"/>
            <w:vAlign w:val="bottom"/>
          </w:tcPr>
          <w:p>
            <w:pPr>
              <w:jc w:val="center"/>
              <w:ind w:right="67"/>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Pr>
          <w:p>
            <w:pPr>
              <w:spacing w:after="0"/>
              <w:rPr>
                <w:sz w:val="11"/>
                <w:szCs w:val="11"/>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1"/>
                <w:szCs w:val="11"/>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27"/>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7"/>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1"/>
                <w:szCs w:val="11"/>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0"/>
                <w:szCs w:val="10"/>
                <w:b w:val="1"/>
                <w:bCs w:val="1"/>
                <w:color w:val="auto"/>
              </w:rPr>
              <w:t>2020</w:t>
            </w:r>
          </w:p>
        </w:tc>
        <w:tc>
          <w:tcPr>
            <w:tcW w:w="620" w:type="dxa"/>
            <w:vAlign w:val="bottom"/>
            <w:gridSpan w:val="2"/>
          </w:tcPr>
          <w:p>
            <w:pPr>
              <w:jc w:val="center"/>
              <w:ind w:left="129"/>
              <w:spacing w:after="0"/>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27"/>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28"/>
              <w:spacing w:after="0"/>
              <w:rPr>
                <w:sz w:val="20"/>
                <w:szCs w:val="20"/>
                <w:color w:val="auto"/>
              </w:rPr>
            </w:pPr>
            <w:r>
              <w:rPr>
                <w:rFonts w:ascii="Arial" w:cs="Arial" w:eastAsia="Arial" w:hAnsi="Arial"/>
                <w:sz w:val="10"/>
                <w:szCs w:val="10"/>
                <w:b w:val="1"/>
                <w:bCs w:val="1"/>
                <w:color w:val="auto"/>
                <w:w w:val="89"/>
              </w:rPr>
              <w:t>2019</w:t>
            </w:r>
          </w:p>
        </w:tc>
        <w:tc>
          <w:tcPr>
            <w:tcW w:w="260" w:type="dxa"/>
            <w:vAlign w:val="bottom"/>
            <w:tcBorders>
              <w:right w:val="single" w:sz="8" w:color="auto"/>
            </w:tcBorders>
          </w:tcPr>
          <w:p>
            <w:pPr>
              <w:spacing w:after="0"/>
              <w:rPr>
                <w:sz w:val="11"/>
                <w:szCs w:val="11"/>
                <w:color w:val="auto"/>
              </w:rPr>
            </w:pPr>
          </w:p>
        </w:tc>
        <w:tc>
          <w:tcPr>
            <w:tcW w:w="640" w:type="dxa"/>
            <w:vAlign w:val="bottom"/>
            <w:gridSpan w:val="2"/>
          </w:tcPr>
          <w:p>
            <w:pPr>
              <w:jc w:val="center"/>
              <w:ind w:left="269"/>
              <w:spacing w:after="0"/>
              <w:rPr>
                <w:sz w:val="20"/>
                <w:szCs w:val="20"/>
                <w:color w:val="auto"/>
              </w:rPr>
            </w:pPr>
            <w:r>
              <w:rPr>
                <w:rFonts w:ascii="Arial" w:cs="Arial" w:eastAsia="Arial" w:hAnsi="Arial"/>
                <w:sz w:val="10"/>
                <w:szCs w:val="10"/>
                <w:b w:val="1"/>
                <w:bCs w:val="1"/>
                <w:color w:val="auto"/>
                <w:w w:val="89"/>
              </w:rPr>
              <w:t>2019</w:t>
            </w:r>
          </w:p>
        </w:tc>
        <w:tc>
          <w:tcPr>
            <w:tcW w:w="560" w:type="dxa"/>
            <w:vAlign w:val="bottom"/>
            <w:gridSpan w:val="2"/>
          </w:tcPr>
          <w:p>
            <w:pPr>
              <w:jc w:val="center"/>
              <w:ind w:left="149"/>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6"/>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1"/>
                <w:szCs w:val="11"/>
                <w:color w:val="auto"/>
              </w:rPr>
            </w:pPr>
          </w:p>
        </w:tc>
      </w:tr>
      <w:tr>
        <w:trPr>
          <w:trHeight w:val="132"/>
        </w:trPr>
        <w:tc>
          <w:tcPr>
            <w:tcW w:w="204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Cash paid for interest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11,615</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w w:val="78"/>
              </w:rPr>
              <w:t>$ 7,933</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w w:val="89"/>
              </w:rPr>
              <w:t>$  8,039</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2,915</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9,157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w w:val="82"/>
              </w:rPr>
              <w:t>$ 6,970</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2" w:lineRule="exact"/>
              <w:rPr>
                <w:sz w:val="20"/>
                <w:szCs w:val="20"/>
                <w:color w:val="auto"/>
              </w:rPr>
            </w:pPr>
            <w:r>
              <w:rPr>
                <w:rFonts w:ascii="Arial" w:cs="Arial" w:eastAsia="Arial" w:hAnsi="Arial"/>
                <w:sz w:val="13"/>
                <w:szCs w:val="13"/>
                <w:color w:val="auto"/>
                <w:w w:val="93"/>
              </w:rPr>
              <w:t>$  6,916</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7,326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2,613</w:t>
            </w:r>
          </w:p>
        </w:tc>
        <w:tc>
          <w:tcPr>
            <w:tcW w:w="260" w:type="dxa"/>
            <w:vAlign w:val="bottom"/>
            <w:tcBorders>
              <w:top w:val="single" w:sz="8" w:color="CCEEFF"/>
              <w:right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ind w:left="160"/>
              <w:spacing w:after="0" w:line="13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2" w:lineRule="exact"/>
              <w:rPr>
                <w:sz w:val="20"/>
                <w:szCs w:val="20"/>
                <w:color w:val="auto"/>
              </w:rPr>
            </w:pPr>
            <w:r>
              <w:rPr>
                <w:rFonts w:ascii="Arial" w:cs="Arial" w:eastAsia="Arial" w:hAnsi="Arial"/>
                <w:sz w:val="13"/>
                <w:szCs w:val="13"/>
                <w:color w:val="auto"/>
                <w:w w:val="93"/>
              </w:rPr>
              <w:t>$  138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139</w:t>
            </w:r>
          </w:p>
        </w:tc>
        <w:tc>
          <w:tcPr>
            <w:tcW w:w="40" w:type="dxa"/>
            <w:vAlign w:val="bottom"/>
            <w:tcBorders>
              <w:top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-104140</wp:posOffset>
            </wp:positionV>
            <wp:extent cx="241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-104140</wp:posOffset>
            </wp:positionV>
            <wp:extent cx="158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hanging="403"/>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Net cash provided by (used in) investing activities includes purchases of property, equipment and other assets as follows: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Successor</w:t>
            </w: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86"/>
              </w:rPr>
              <w:t>Predecessor</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5"/>
        </w:trPr>
        <w:tc>
          <w:tcPr>
            <w:tcW w:w="2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340"/>
              <w:spacing w:after="0" w:line="95" w:lineRule="exact"/>
              <w:rPr>
                <w:sz w:val="20"/>
                <w:szCs w:val="20"/>
                <w:color w:val="auto"/>
              </w:rPr>
            </w:pPr>
            <w:r>
              <w:rPr>
                <w:rFonts w:ascii="Arial" w:cs="Arial" w:eastAsia="Arial" w:hAnsi="Arial"/>
                <w:sz w:val="10"/>
                <w:szCs w:val="10"/>
                <w:b w:val="1"/>
                <w:bCs w:val="1"/>
                <w:color w:val="auto"/>
                <w:w w:val="89"/>
              </w:rPr>
              <w:t>Period</w:t>
            </w:r>
          </w:p>
        </w:tc>
        <w:tc>
          <w:tcPr>
            <w:tcW w:w="280" w:type="dxa"/>
            <w:vAlign w:val="bottom"/>
          </w:tcPr>
          <w:p>
            <w:pPr>
              <w:spacing w:after="0"/>
              <w:rPr>
                <w:sz w:val="8"/>
                <w:szCs w:val="8"/>
                <w:color w:val="auto"/>
              </w:rPr>
            </w:pPr>
          </w:p>
        </w:tc>
        <w:tc>
          <w:tcPr>
            <w:tcW w:w="40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w w:val="96"/>
              </w:rPr>
              <w:t>Period</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8"/>
              </w:rPr>
              <w:t>from</w:t>
            </w:r>
          </w:p>
        </w:tc>
        <w:tc>
          <w:tcPr>
            <w:tcW w:w="280" w:type="dxa"/>
            <w:vAlign w:val="bottom"/>
          </w:tcPr>
          <w:p>
            <w:pPr>
              <w:spacing w:after="0"/>
              <w:rPr>
                <w:sz w:val="9"/>
                <w:szCs w:val="9"/>
                <w:color w:val="auto"/>
              </w:rPr>
            </w:pPr>
          </w:p>
        </w:tc>
        <w:tc>
          <w:tcPr>
            <w:tcW w:w="4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8"/>
              </w:rPr>
              <w:t>from</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67"/>
              <w:spacing w:after="0" w:line="114" w:lineRule="exact"/>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5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52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67"/>
              <w:spacing w:after="0" w:line="114" w:lineRule="exact"/>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3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Three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2"/>
              </w:rPr>
              <w:t>July 16,</w:t>
            </w:r>
          </w:p>
        </w:tc>
        <w:tc>
          <w:tcPr>
            <w:tcW w:w="280" w:type="dxa"/>
            <w:vAlign w:val="bottom"/>
          </w:tcPr>
          <w:p>
            <w:pPr>
              <w:spacing w:after="0"/>
              <w:rPr>
                <w:sz w:val="9"/>
                <w:szCs w:val="9"/>
                <w:color w:val="auto"/>
              </w:rPr>
            </w:pPr>
          </w:p>
        </w:tc>
        <w:tc>
          <w:tcPr>
            <w:tcW w:w="4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6"/>
              </w:rPr>
              <w:t>July 1,</w:t>
            </w:r>
          </w:p>
        </w:tc>
        <w:tc>
          <w:tcPr>
            <w:tcW w:w="100" w:type="dxa"/>
            <w:vAlign w:val="bottom"/>
          </w:tcPr>
          <w:p>
            <w:pPr>
              <w:spacing w:after="0"/>
              <w:rPr>
                <w:sz w:val="9"/>
                <w:szCs w:val="9"/>
                <w:color w:val="auto"/>
              </w:rPr>
            </w:pPr>
          </w:p>
        </w:tc>
        <w:tc>
          <w:tcPr>
            <w:tcW w:w="5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Three</w:t>
            </w: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89"/>
              </w:rPr>
              <w:t>Months</w:t>
            </w:r>
          </w:p>
        </w:tc>
        <w:tc>
          <w:tcPr>
            <w:tcW w:w="180" w:type="dxa"/>
            <w:vAlign w:val="bottom"/>
          </w:tcPr>
          <w:p>
            <w:pPr>
              <w:spacing w:after="0"/>
              <w:rPr>
                <w:sz w:val="9"/>
                <w:szCs w:val="9"/>
                <w:color w:val="auto"/>
              </w:rPr>
            </w:pPr>
          </w:p>
        </w:tc>
        <w:tc>
          <w:tcPr>
            <w:tcW w:w="5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52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89"/>
              </w:rPr>
              <w:t>Months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3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Months</w:t>
            </w:r>
          </w:p>
        </w:tc>
        <w:tc>
          <w:tcPr>
            <w:tcW w:w="160" w:type="dxa"/>
            <w:vAlign w:val="bottom"/>
          </w:tcPr>
          <w:p>
            <w:pPr>
              <w:spacing w:after="0"/>
              <w:rPr>
                <w:sz w:val="9"/>
                <w:szCs w:val="9"/>
                <w:color w:val="auto"/>
              </w:rPr>
            </w:pPr>
          </w:p>
        </w:tc>
        <w:tc>
          <w:tcPr>
            <w:tcW w:w="62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520" w:type="dxa"/>
            <w:vAlign w:val="bottom"/>
          </w:tcPr>
          <w:p>
            <w:pPr>
              <w:jc w:val="center"/>
              <w:ind w:right="68"/>
              <w:spacing w:after="0" w:line="114" w:lineRule="exact"/>
              <w:rPr>
                <w:sz w:val="20"/>
                <w:szCs w:val="20"/>
                <w:color w:val="auto"/>
              </w:rPr>
            </w:pPr>
            <w:r>
              <w:rPr>
                <w:rFonts w:ascii="Arial" w:cs="Arial" w:eastAsia="Arial" w:hAnsi="Arial"/>
                <w:sz w:val="10"/>
                <w:szCs w:val="10"/>
                <w:b w:val="1"/>
                <w:bCs w:val="1"/>
                <w:color w:val="auto"/>
                <w:w w:val="89"/>
              </w:rPr>
              <w:t>2019</w:t>
            </w:r>
          </w:p>
        </w:tc>
        <w:tc>
          <w:tcPr>
            <w:tcW w:w="220" w:type="dxa"/>
            <w:vAlign w:val="bottom"/>
          </w:tcPr>
          <w:p>
            <w:pPr>
              <w:spacing w:after="0"/>
              <w:rPr>
                <w:sz w:val="9"/>
                <w:szCs w:val="9"/>
                <w:color w:val="auto"/>
              </w:rPr>
            </w:pPr>
          </w:p>
        </w:tc>
        <w:tc>
          <w:tcPr>
            <w:tcW w:w="620" w:type="dxa"/>
            <w:vAlign w:val="bottom"/>
            <w:gridSpan w:val="2"/>
          </w:tcPr>
          <w:p>
            <w:pPr>
              <w:jc w:val="center"/>
              <w:ind w:left="205"/>
              <w:spacing w:after="0" w:line="114" w:lineRule="exact"/>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50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Months</w:t>
            </w: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5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52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4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to</w:t>
            </w:r>
          </w:p>
        </w:tc>
        <w:tc>
          <w:tcPr>
            <w:tcW w:w="280" w:type="dxa"/>
            <w:vAlign w:val="bottom"/>
          </w:tcPr>
          <w:p>
            <w:pPr>
              <w:spacing w:after="0"/>
              <w:rPr>
                <w:sz w:val="9"/>
                <w:szCs w:val="9"/>
                <w:color w:val="auto"/>
              </w:rPr>
            </w:pPr>
          </w:p>
        </w:tc>
        <w:tc>
          <w:tcPr>
            <w:tcW w:w="4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rPr>
              <w:t>to</w:t>
            </w:r>
          </w:p>
        </w:tc>
        <w:tc>
          <w:tcPr>
            <w:tcW w:w="100" w:type="dxa"/>
            <w:vAlign w:val="bottom"/>
          </w:tcPr>
          <w:p>
            <w:pPr>
              <w:spacing w:after="0"/>
              <w:rPr>
                <w:sz w:val="9"/>
                <w:szCs w:val="9"/>
                <w:color w:val="auto"/>
              </w:rPr>
            </w:pPr>
          </w:p>
        </w:tc>
        <w:tc>
          <w:tcPr>
            <w:tcW w:w="5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r>
      <w:tr>
        <w:trPr>
          <w:trHeight w:val="113"/>
        </w:trPr>
        <w:tc>
          <w:tcPr>
            <w:tcW w:w="2320" w:type="dxa"/>
            <w:vAlign w:val="bottom"/>
          </w:tcPr>
          <w:p>
            <w:pPr>
              <w:spacing w:after="0"/>
              <w:rPr>
                <w:sz w:val="9"/>
                <w:szCs w:val="9"/>
                <w:color w:val="auto"/>
              </w:rPr>
            </w:pPr>
          </w:p>
        </w:tc>
        <w:tc>
          <w:tcPr>
            <w:tcW w:w="62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180" w:type="dxa"/>
            <w:vAlign w:val="bottom"/>
          </w:tcPr>
          <w:p>
            <w:pPr>
              <w:spacing w:after="0"/>
              <w:rPr>
                <w:sz w:val="9"/>
                <w:szCs w:val="9"/>
                <w:color w:val="auto"/>
              </w:rPr>
            </w:pPr>
          </w:p>
        </w:tc>
        <w:tc>
          <w:tcPr>
            <w:tcW w:w="5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June 30,</w:t>
            </w:r>
          </w:p>
        </w:tc>
        <w:tc>
          <w:tcPr>
            <w:tcW w:w="520" w:type="dxa"/>
            <w:vAlign w:val="bottom"/>
            <w:gridSpan w:val="2"/>
          </w:tcPr>
          <w:p>
            <w:pPr>
              <w:jc w:val="center"/>
              <w:ind w:right="80"/>
              <w:spacing w:after="0" w:line="113" w:lineRule="exact"/>
              <w:rPr>
                <w:sz w:val="20"/>
                <w:szCs w:val="20"/>
                <w:color w:val="auto"/>
              </w:rPr>
            </w:pPr>
            <w:r>
              <w:rPr>
                <w:rFonts w:ascii="Arial" w:cs="Arial" w:eastAsia="Arial" w:hAnsi="Arial"/>
                <w:sz w:val="10"/>
                <w:szCs w:val="10"/>
                <w:b w:val="1"/>
                <w:bCs w:val="1"/>
                <w:color w:val="auto"/>
                <w:w w:val="95"/>
              </w:rPr>
              <w:t>March 31,</w:t>
            </w:r>
          </w:p>
        </w:tc>
        <w:tc>
          <w:tcPr>
            <w:tcW w:w="100" w:type="dxa"/>
            <w:vAlign w:val="bottom"/>
          </w:tcPr>
          <w:p>
            <w:pPr>
              <w:spacing w:after="0"/>
              <w:rPr>
                <w:sz w:val="9"/>
                <w:szCs w:val="9"/>
                <w:color w:val="auto"/>
              </w:rPr>
            </w:pPr>
          </w:p>
        </w:tc>
        <w:tc>
          <w:tcPr>
            <w:tcW w:w="580" w:type="dxa"/>
            <w:vAlign w:val="bottom"/>
            <w:gridSpan w:val="2"/>
          </w:tcPr>
          <w:p>
            <w:pPr>
              <w:jc w:val="center"/>
              <w:spacing w:after="0" w:line="113" w:lineRule="exact"/>
              <w:rPr>
                <w:sz w:val="20"/>
                <w:szCs w:val="20"/>
                <w:color w:val="auto"/>
              </w:rPr>
            </w:pPr>
            <w:r>
              <w:rPr>
                <w:rFonts w:ascii="Arial" w:cs="Arial" w:eastAsia="Arial" w:hAnsi="Arial"/>
                <w:sz w:val="10"/>
                <w:szCs w:val="10"/>
                <w:b w:val="1"/>
                <w:bCs w:val="1"/>
                <w:color w:val="auto"/>
                <w:w w:val="89"/>
              </w:rPr>
              <w:t>December 31,</w:t>
            </w:r>
          </w:p>
        </w:tc>
        <w:tc>
          <w:tcPr>
            <w:tcW w:w="180" w:type="dxa"/>
            <w:vAlign w:val="bottom"/>
          </w:tcPr>
          <w:p>
            <w:pPr>
              <w:spacing w:after="0"/>
              <w:rPr>
                <w:sz w:val="9"/>
                <w:szCs w:val="9"/>
                <w:color w:val="auto"/>
              </w:rPr>
            </w:pPr>
          </w:p>
        </w:tc>
        <w:tc>
          <w:tcPr>
            <w:tcW w:w="780" w:type="dxa"/>
            <w:vAlign w:val="bottom"/>
            <w:gridSpan w:val="3"/>
          </w:tcPr>
          <w:p>
            <w:pPr>
              <w:jc w:val="right"/>
              <w:ind w:right="160"/>
              <w:spacing w:after="0" w:line="113" w:lineRule="exact"/>
              <w:rPr>
                <w:sz w:val="20"/>
                <w:szCs w:val="20"/>
                <w:color w:val="auto"/>
              </w:rPr>
            </w:pPr>
            <w:r>
              <w:rPr>
                <w:rFonts w:ascii="Arial" w:cs="Arial" w:eastAsia="Arial" w:hAnsi="Arial"/>
                <w:sz w:val="10"/>
                <w:szCs w:val="10"/>
                <w:b w:val="1"/>
                <w:bCs w:val="1"/>
                <w:color w:val="auto"/>
                <w:w w:val="87"/>
              </w:rPr>
              <w:t>September 30,</w:t>
            </w:r>
          </w:p>
        </w:tc>
        <w:tc>
          <w:tcPr>
            <w:tcW w:w="3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9"/>
              </w:rPr>
              <w:t>June 30,</w:t>
            </w:r>
          </w:p>
        </w:tc>
        <w:tc>
          <w:tcPr>
            <w:tcW w:w="160" w:type="dxa"/>
            <w:vAlign w:val="bottom"/>
          </w:tcPr>
          <w:p>
            <w:pPr>
              <w:spacing w:after="0"/>
              <w:rPr>
                <w:sz w:val="9"/>
                <w:szCs w:val="9"/>
                <w:color w:val="auto"/>
              </w:rPr>
            </w:pPr>
          </w:p>
        </w:tc>
        <w:tc>
          <w:tcPr>
            <w:tcW w:w="620" w:type="dxa"/>
            <w:vAlign w:val="bottom"/>
            <w:gridSpan w:val="3"/>
          </w:tcPr>
          <w:p>
            <w:pPr>
              <w:jc w:val="center"/>
              <w:ind w:right="160"/>
              <w:spacing w:after="0" w:line="113" w:lineRule="exact"/>
              <w:rPr>
                <w:sz w:val="20"/>
                <w:szCs w:val="20"/>
                <w:color w:val="auto"/>
              </w:rPr>
            </w:pPr>
            <w:r>
              <w:rPr>
                <w:rFonts w:ascii="Arial" w:cs="Arial" w:eastAsia="Arial" w:hAnsi="Arial"/>
                <w:sz w:val="10"/>
                <w:szCs w:val="10"/>
                <w:b w:val="1"/>
                <w:bCs w:val="1"/>
                <w:color w:val="auto"/>
                <w:w w:val="99"/>
              </w:rPr>
              <w:t>March 31,</w:t>
            </w:r>
          </w:p>
        </w:tc>
        <w:tc>
          <w:tcPr>
            <w:tcW w:w="760" w:type="dxa"/>
            <w:vAlign w:val="bottom"/>
            <w:gridSpan w:val="3"/>
          </w:tcPr>
          <w:p>
            <w:pPr>
              <w:jc w:val="center"/>
              <w:ind w:right="180"/>
              <w:spacing w:after="0" w:line="113" w:lineRule="exact"/>
              <w:rPr>
                <w:sz w:val="20"/>
                <w:szCs w:val="20"/>
                <w:color w:val="auto"/>
              </w:rPr>
            </w:pPr>
            <w:r>
              <w:rPr>
                <w:rFonts w:ascii="Arial" w:cs="Arial" w:eastAsia="Arial" w:hAnsi="Arial"/>
                <w:sz w:val="10"/>
                <w:szCs w:val="10"/>
                <w:b w:val="1"/>
                <w:bCs w:val="1"/>
                <w:color w:val="auto"/>
                <w:w w:val="89"/>
              </w:rPr>
              <w:t>December 31,</w:t>
            </w:r>
          </w:p>
        </w:tc>
        <w:tc>
          <w:tcPr>
            <w:tcW w:w="840" w:type="dxa"/>
            <w:vAlign w:val="bottom"/>
            <w:gridSpan w:val="3"/>
          </w:tcPr>
          <w:p>
            <w:pPr>
              <w:jc w:val="center"/>
              <w:ind w:right="220"/>
              <w:spacing w:after="0" w:line="113" w:lineRule="exact"/>
              <w:rPr>
                <w:sz w:val="20"/>
                <w:szCs w:val="20"/>
                <w:color w:val="auto"/>
              </w:rPr>
            </w:pPr>
            <w:r>
              <w:rPr>
                <w:rFonts w:ascii="Arial" w:cs="Arial" w:eastAsia="Arial" w:hAnsi="Arial"/>
                <w:sz w:val="10"/>
                <w:szCs w:val="10"/>
                <w:b w:val="1"/>
                <w:bCs w:val="1"/>
                <w:color w:val="auto"/>
                <w:w w:val="90"/>
              </w:rPr>
              <w:t>September 30,</w:t>
            </w:r>
          </w:p>
        </w:tc>
        <w:tc>
          <w:tcPr>
            <w:tcW w:w="280" w:type="dxa"/>
            <w:vAlign w:val="bottom"/>
          </w:tcPr>
          <w:p>
            <w:pPr>
              <w:spacing w:after="0"/>
              <w:rPr>
                <w:sz w:val="9"/>
                <w:szCs w:val="9"/>
                <w:color w:val="auto"/>
              </w:rPr>
            </w:pPr>
          </w:p>
        </w:tc>
        <w:tc>
          <w:tcPr>
            <w:tcW w:w="4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July 15,</w:t>
            </w:r>
          </w:p>
        </w:tc>
        <w:tc>
          <w:tcPr>
            <w:tcW w:w="100" w:type="dxa"/>
            <w:vAlign w:val="bottom"/>
          </w:tcPr>
          <w:p>
            <w:pPr>
              <w:spacing w:after="0"/>
              <w:rPr>
                <w:sz w:val="9"/>
                <w:szCs w:val="9"/>
                <w:color w:val="auto"/>
              </w:rPr>
            </w:pPr>
          </w:p>
        </w:tc>
        <w:tc>
          <w:tcPr>
            <w:tcW w:w="5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9"/>
              </w:rPr>
              <w:t>June 30,</w:t>
            </w:r>
          </w:p>
        </w:tc>
        <w:tc>
          <w:tcPr>
            <w:tcW w:w="500" w:type="dxa"/>
            <w:vAlign w:val="bottom"/>
            <w:gridSpan w:val="3"/>
          </w:tcPr>
          <w:p>
            <w:pPr>
              <w:jc w:val="center"/>
              <w:ind w:right="40"/>
              <w:spacing w:after="0" w:line="113" w:lineRule="exact"/>
              <w:rPr>
                <w:sz w:val="20"/>
                <w:szCs w:val="20"/>
                <w:color w:val="auto"/>
              </w:rPr>
            </w:pPr>
            <w:r>
              <w:rPr>
                <w:rFonts w:ascii="Arial" w:cs="Arial" w:eastAsia="Arial" w:hAnsi="Arial"/>
                <w:sz w:val="10"/>
                <w:szCs w:val="10"/>
                <w:b w:val="1"/>
                <w:bCs w:val="1"/>
                <w:color w:val="auto"/>
                <w:w w:val="99"/>
              </w:rPr>
              <w:t>March 31,</w:t>
            </w:r>
          </w:p>
        </w:tc>
      </w:tr>
      <w:tr>
        <w:trPr>
          <w:trHeight w:val="127"/>
        </w:trPr>
        <w:tc>
          <w:tcPr>
            <w:tcW w:w="2320" w:type="dxa"/>
            <w:vAlign w:val="bottom"/>
          </w:tcPr>
          <w:p>
            <w:pPr>
              <w:jc w:val="center"/>
              <w:ind w:right="63"/>
              <w:spacing w:after="0"/>
              <w:rPr>
                <w:sz w:val="20"/>
                <w:szCs w:val="20"/>
                <w:color w:val="auto"/>
              </w:rPr>
            </w:pPr>
            <w:r>
              <w:rPr>
                <w:rFonts w:ascii="Arial" w:cs="Arial" w:eastAsia="Arial" w:hAnsi="Arial"/>
                <w:sz w:val="10"/>
                <w:szCs w:val="10"/>
                <w:b w:val="1"/>
                <w:bCs w:val="1"/>
                <w:color w:val="auto"/>
                <w:w w:val="87"/>
              </w:rPr>
              <w:t>($ in thousands)</w:t>
            </w:r>
          </w:p>
        </w:tc>
        <w:tc>
          <w:tcPr>
            <w:tcW w:w="120" w:type="dxa"/>
            <w:vAlign w:val="bottom"/>
          </w:tcPr>
          <w:p>
            <w:pPr>
              <w:spacing w:after="0"/>
              <w:rPr>
                <w:sz w:val="11"/>
                <w:szCs w:val="11"/>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2021</w:t>
            </w:r>
          </w:p>
        </w:tc>
        <w:tc>
          <w:tcPr>
            <w:tcW w:w="540" w:type="dxa"/>
            <w:vAlign w:val="bottom"/>
            <w:gridSpan w:val="2"/>
          </w:tcPr>
          <w:p>
            <w:pPr>
              <w:jc w:val="right"/>
              <w:ind w:right="29"/>
              <w:spacing w:after="0"/>
              <w:rPr>
                <w:sz w:val="20"/>
                <w:szCs w:val="20"/>
                <w:color w:val="auto"/>
              </w:rPr>
            </w:pPr>
            <w:r>
              <w:rPr>
                <w:rFonts w:ascii="Arial" w:cs="Arial" w:eastAsia="Arial" w:hAnsi="Arial"/>
                <w:sz w:val="10"/>
                <w:szCs w:val="10"/>
                <w:b w:val="1"/>
                <w:bCs w:val="1"/>
                <w:color w:val="auto"/>
              </w:rPr>
              <w:t>2021</w:t>
            </w:r>
          </w:p>
        </w:tc>
        <w:tc>
          <w:tcPr>
            <w:tcW w:w="160" w:type="dxa"/>
            <w:vAlign w:val="bottom"/>
          </w:tcPr>
          <w:p>
            <w:pPr>
              <w:spacing w:after="0"/>
              <w:rPr>
                <w:sz w:val="11"/>
                <w:szCs w:val="11"/>
                <w:color w:val="auto"/>
              </w:rPr>
            </w:pPr>
          </w:p>
        </w:tc>
        <w:tc>
          <w:tcPr>
            <w:tcW w:w="440" w:type="dxa"/>
            <w:vAlign w:val="bottom"/>
          </w:tcPr>
          <w:p>
            <w:pPr>
              <w:jc w:val="right"/>
              <w:ind w:right="67"/>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27"/>
              <w:spacing w:after="0"/>
              <w:rPr>
                <w:sz w:val="20"/>
                <w:szCs w:val="20"/>
                <w:color w:val="auto"/>
              </w:rPr>
            </w:pPr>
            <w:r>
              <w:rPr>
                <w:rFonts w:ascii="Arial" w:cs="Arial" w:eastAsia="Arial" w:hAnsi="Arial"/>
                <w:sz w:val="10"/>
                <w:szCs w:val="10"/>
                <w:b w:val="1"/>
                <w:bCs w:val="1"/>
                <w:color w:val="auto"/>
                <w:w w:val="98"/>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1"/>
                <w:szCs w:val="11"/>
                <w:color w:val="auto"/>
              </w:rPr>
            </w:pPr>
          </w:p>
        </w:tc>
        <w:tc>
          <w:tcPr>
            <w:tcW w:w="360" w:type="dxa"/>
            <w:vAlign w:val="bottom"/>
          </w:tcPr>
          <w:p>
            <w:pPr>
              <w:jc w:val="right"/>
              <w:ind w:right="27"/>
              <w:spacing w:after="0"/>
              <w:rPr>
                <w:sz w:val="20"/>
                <w:szCs w:val="20"/>
                <w:color w:val="auto"/>
              </w:rPr>
            </w:pPr>
            <w:r>
              <w:rPr>
                <w:rFonts w:ascii="Arial" w:cs="Arial" w:eastAsia="Arial" w:hAnsi="Arial"/>
                <w:sz w:val="10"/>
                <w:szCs w:val="10"/>
                <w:b w:val="1"/>
                <w:bCs w:val="1"/>
                <w:color w:val="auto"/>
              </w:rPr>
              <w:t>2020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6"/>
              <w:spacing w:after="0"/>
              <w:rPr>
                <w:sz w:val="20"/>
                <w:szCs w:val="20"/>
                <w:color w:val="auto"/>
              </w:rPr>
            </w:pPr>
            <w:r>
              <w:rPr>
                <w:rFonts w:ascii="Arial" w:cs="Arial" w:eastAsia="Arial" w:hAnsi="Arial"/>
                <w:sz w:val="10"/>
                <w:szCs w:val="10"/>
                <w:b w:val="1"/>
                <w:bCs w:val="1"/>
                <w:color w:val="auto"/>
                <w:w w:val="98"/>
              </w:rPr>
              <w:t>2020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27"/>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8"/>
              <w:spacing w:after="0"/>
              <w:rPr>
                <w:sz w:val="20"/>
                <w:szCs w:val="20"/>
                <w:color w:val="auto"/>
              </w:rPr>
            </w:pPr>
            <w:r>
              <w:rPr>
                <w:rFonts w:ascii="Arial" w:cs="Arial" w:eastAsia="Arial" w:hAnsi="Arial"/>
                <w:sz w:val="10"/>
                <w:szCs w:val="10"/>
                <w:b w:val="1"/>
                <w:bCs w:val="1"/>
                <w:color w:val="auto"/>
                <w:w w:val="89"/>
              </w:rPr>
              <w:t>2019</w:t>
            </w:r>
          </w:p>
        </w:tc>
        <w:tc>
          <w:tcPr>
            <w:tcW w:w="220" w:type="dxa"/>
            <w:vAlign w:val="bottom"/>
            <w:tcBorders>
              <w:right w:val="single" w:sz="8" w:color="auto"/>
            </w:tcBorders>
          </w:tcPr>
          <w:p>
            <w:pPr>
              <w:spacing w:after="0"/>
              <w:rPr>
                <w:sz w:val="11"/>
                <w:szCs w:val="11"/>
                <w:color w:val="auto"/>
              </w:rPr>
            </w:pPr>
          </w:p>
        </w:tc>
        <w:tc>
          <w:tcPr>
            <w:tcW w:w="620" w:type="dxa"/>
            <w:vAlign w:val="bottom"/>
            <w:gridSpan w:val="2"/>
          </w:tcPr>
          <w:p>
            <w:pPr>
              <w:jc w:val="center"/>
              <w:ind w:left="205"/>
              <w:spacing w:after="0"/>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11"/>
                <w:szCs w:val="11"/>
                <w:color w:val="auto"/>
              </w:rPr>
            </w:pPr>
          </w:p>
        </w:tc>
        <w:tc>
          <w:tcPr>
            <w:tcW w:w="460" w:type="dxa"/>
            <w:vAlign w:val="bottom"/>
            <w:gridSpan w:val="2"/>
          </w:tcPr>
          <w:p>
            <w:pPr>
              <w:jc w:val="right"/>
              <w:ind w:right="29"/>
              <w:spacing w:after="0"/>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6"/>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1"/>
                <w:szCs w:val="11"/>
                <w:color w:val="auto"/>
              </w:rPr>
            </w:pPr>
          </w:p>
        </w:tc>
      </w:tr>
      <w:tr>
        <w:trPr>
          <w:trHeight w:val="110"/>
        </w:trPr>
        <w:tc>
          <w:tcPr>
            <w:tcW w:w="2320" w:type="dxa"/>
            <w:vAlign w:val="bottom"/>
            <w:tcBorders>
              <w:top w:val="single" w:sz="8" w:color="CCEEFF"/>
            </w:tcBorders>
            <w:shd w:val="clear" w:color="auto" w:fill="CCEEFF"/>
          </w:tcPr>
          <w:p>
            <w:pPr>
              <w:jc w:val="center"/>
              <w:ind w:right="63"/>
              <w:spacing w:after="0" w:line="111" w:lineRule="exact"/>
              <w:rPr>
                <w:sz w:val="20"/>
                <w:szCs w:val="20"/>
                <w:color w:val="auto"/>
              </w:rPr>
            </w:pPr>
            <w:r>
              <w:rPr>
                <w:rFonts w:ascii="Arial" w:cs="Arial" w:eastAsia="Arial" w:hAnsi="Arial"/>
                <w:sz w:val="12"/>
                <w:szCs w:val="12"/>
                <w:color w:val="auto"/>
                <w:w w:val="93"/>
              </w:rPr>
              <w:t>Purchases of property, equipment and other</w:t>
            </w: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8"/>
        </w:trPr>
        <w:tc>
          <w:tcPr>
            <w:tcW w:w="232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440</w:t>
            </w:r>
          </w:p>
        </w:tc>
        <w:tc>
          <w:tcPr>
            <w:tcW w:w="7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$ 1,380</w:t>
            </w: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9"/>
              </w:rPr>
              <w:t>$  3,842</w:t>
            </w: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334</w:t>
            </w:r>
          </w:p>
        </w:tc>
        <w:tc>
          <w:tcPr>
            <w:tcW w:w="2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166</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  547</w:t>
            </w:r>
          </w:p>
        </w:tc>
        <w:tc>
          <w:tcPr>
            <w:tcW w:w="2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1,130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w:t>
            </w:r>
          </w:p>
        </w:tc>
        <w:tc>
          <w:tcPr>
            <w:tcW w:w="220" w:type="dxa"/>
            <w:vAlign w:val="bottom"/>
            <w:tcBorders>
              <w:right w:val="single" w:sz="8" w:color="auto"/>
            </w:tcBorders>
            <w:shd w:val="clear" w:color="auto" w:fill="CCEEFF"/>
          </w:tcPr>
          <w:p>
            <w:pPr>
              <w:spacing w:after="0"/>
              <w:rPr>
                <w:sz w:val="12"/>
                <w:szCs w:val="12"/>
                <w:color w:val="auto"/>
              </w:rPr>
            </w:pPr>
          </w:p>
        </w:tc>
        <w:tc>
          <w:tcPr>
            <w:tcW w:w="680" w:type="dxa"/>
            <w:vAlign w:val="bottom"/>
            <w:gridSpan w:val="3"/>
            <w:shd w:val="clear" w:color="auto" w:fill="CCEEFF"/>
          </w:tcPr>
          <w:p>
            <w:pPr>
              <w:jc w:val="center"/>
              <w:ind w:left="165"/>
              <w:spacing w:after="0" w:line="148" w:lineRule="exact"/>
              <w:rPr>
                <w:sz w:val="20"/>
                <w:szCs w:val="20"/>
                <w:color w:val="auto"/>
              </w:rPr>
            </w:pPr>
            <w:r>
              <w:rPr>
                <w:rFonts w:ascii="Arial" w:cs="Arial" w:eastAsia="Arial" w:hAnsi="Arial"/>
                <w:sz w:val="13"/>
                <w:szCs w:val="13"/>
                <w:color w:val="auto"/>
              </w:rPr>
              <w:t>$   11</w:t>
            </w:r>
          </w:p>
        </w:tc>
        <w:tc>
          <w:tcPr>
            <w:tcW w:w="6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  539</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179</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5678170</wp:posOffset>
            </wp:positionH>
            <wp:positionV relativeFrom="paragraph">
              <wp:posOffset>-184150</wp:posOffset>
            </wp:positionV>
            <wp:extent cx="241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-184150</wp:posOffset>
            </wp:positionV>
            <wp:extent cx="158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2" w:lineRule="exact"/>
        <w:rPr>
          <w:sz w:val="20"/>
          <w:szCs w:val="20"/>
          <w:color w:val="auto"/>
        </w:rPr>
      </w:pPr>
    </w:p>
    <w:p>
      <w:pPr>
        <w:ind w:left="860" w:right="560" w:hanging="403"/>
        <w:spacing w:after="0" w:line="272" w:lineRule="auto"/>
        <w:tabs>
          <w:tab w:leader="none" w:pos="8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Net cash (used in) investing activities for the period from July 16, 2019 to September 30, 2019 primarily includes cash paid for the Advent Acquisition.</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800"/>
          </w:cols>
          <w:pgMar w:left="320" w:top="440" w:right="77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Balance Sheet Items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1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in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8"/>
              </w:rPr>
              <w:t>Successor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4"/>
          </w:tcPr>
          <w:p>
            <w:pPr>
              <w:ind w:left="24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94"/>
        </w:trPr>
        <w:tc>
          <w:tcPr>
            <w:tcW w:w="1980" w:type="dxa"/>
            <w:vAlign w:val="bottom"/>
            <w:gridSpan w:val="2"/>
            <w:vMerge w:val="continue"/>
          </w:tcPr>
          <w:p>
            <w:pPr>
              <w:spacing w:after="0"/>
              <w:rPr>
                <w:sz w:val="8"/>
                <w:szCs w:val="8"/>
                <w:color w:val="auto"/>
              </w:rPr>
            </w:pPr>
          </w:p>
        </w:tc>
        <w:tc>
          <w:tcPr>
            <w:tcW w:w="780" w:type="dxa"/>
            <w:vAlign w:val="bottom"/>
            <w:tcBorders>
              <w:top w:val="single" w:sz="8" w:color="auto"/>
            </w:tcBorders>
            <w:gridSpan w:val="3"/>
          </w:tcPr>
          <w:p>
            <w:pPr>
              <w:spacing w:after="0" w:line="94" w:lineRule="exact"/>
              <w:rPr>
                <w:sz w:val="20"/>
                <w:szCs w:val="20"/>
                <w:color w:val="auto"/>
              </w:rPr>
            </w:pPr>
            <w:r>
              <w:rPr>
                <w:rFonts w:ascii="Arial" w:cs="Arial" w:eastAsia="Arial" w:hAnsi="Arial"/>
                <w:sz w:val="9"/>
                <w:szCs w:val="9"/>
                <w:b w:val="1"/>
                <w:bCs w:val="1"/>
                <w:color w:val="auto"/>
              </w:rPr>
              <w:t>September 30,</w:t>
            </w: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right"/>
              <w:ind w:right="220"/>
              <w:spacing w:after="0" w:line="94" w:lineRule="exact"/>
              <w:rPr>
                <w:sz w:val="20"/>
                <w:szCs w:val="20"/>
                <w:color w:val="auto"/>
              </w:rPr>
            </w:pPr>
            <w:r>
              <w:rPr>
                <w:rFonts w:ascii="Arial" w:cs="Arial" w:eastAsia="Arial" w:hAnsi="Arial"/>
                <w:sz w:val="9"/>
                <w:szCs w:val="9"/>
                <w:b w:val="1"/>
                <w:bCs w:val="1"/>
                <w:color w:val="auto"/>
              </w:rPr>
              <w:t>June 30,</w:t>
            </w:r>
          </w:p>
        </w:tc>
        <w:tc>
          <w:tcPr>
            <w:tcW w:w="660" w:type="dxa"/>
            <w:vAlign w:val="bottom"/>
            <w:tcBorders>
              <w:top w:val="single" w:sz="8" w:color="auto"/>
            </w:tcBorders>
            <w:gridSpan w:val="2"/>
          </w:tcPr>
          <w:p>
            <w:pPr>
              <w:spacing w:after="0" w:line="94" w:lineRule="exact"/>
              <w:rPr>
                <w:sz w:val="20"/>
                <w:szCs w:val="20"/>
                <w:color w:val="auto"/>
              </w:rPr>
            </w:pPr>
            <w:r>
              <w:rPr>
                <w:rFonts w:ascii="Arial" w:cs="Arial" w:eastAsia="Arial" w:hAnsi="Arial"/>
                <w:sz w:val="9"/>
                <w:szCs w:val="9"/>
                <w:b w:val="1"/>
                <w:bCs w:val="1"/>
                <w:color w:val="auto"/>
              </w:rPr>
              <w:t>March 31,</w:t>
            </w:r>
          </w:p>
        </w:tc>
        <w:tc>
          <w:tcPr>
            <w:tcW w:w="820" w:type="dxa"/>
            <w:vAlign w:val="bottom"/>
            <w:tcBorders>
              <w:top w:val="single" w:sz="8" w:color="auto"/>
            </w:tcBorders>
            <w:gridSpan w:val="2"/>
          </w:tcPr>
          <w:p>
            <w:pPr>
              <w:jc w:val="right"/>
              <w:ind w:right="120"/>
              <w:spacing w:after="0" w:line="94" w:lineRule="exact"/>
              <w:rPr>
                <w:sz w:val="20"/>
                <w:szCs w:val="20"/>
                <w:color w:val="auto"/>
              </w:rPr>
            </w:pPr>
            <w:r>
              <w:rPr>
                <w:rFonts w:ascii="Arial" w:cs="Arial" w:eastAsia="Arial" w:hAnsi="Arial"/>
                <w:sz w:val="9"/>
                <w:szCs w:val="9"/>
                <w:b w:val="1"/>
                <w:bCs w:val="1"/>
                <w:color w:val="auto"/>
              </w:rPr>
              <w:t>December 31,</w:t>
            </w:r>
          </w:p>
        </w:tc>
        <w:tc>
          <w:tcPr>
            <w:tcW w:w="860" w:type="dxa"/>
            <w:vAlign w:val="bottom"/>
            <w:tcBorders>
              <w:top w:val="single" w:sz="8" w:color="auto"/>
            </w:tcBorders>
            <w:gridSpan w:val="3"/>
          </w:tcPr>
          <w:p>
            <w:pPr>
              <w:spacing w:after="0" w:line="94" w:lineRule="exact"/>
              <w:rPr>
                <w:sz w:val="20"/>
                <w:szCs w:val="20"/>
                <w:color w:val="auto"/>
              </w:rPr>
            </w:pPr>
            <w:r>
              <w:rPr>
                <w:rFonts w:ascii="Arial" w:cs="Arial" w:eastAsia="Arial" w:hAnsi="Arial"/>
                <w:sz w:val="9"/>
                <w:szCs w:val="9"/>
                <w:b w:val="1"/>
                <w:bCs w:val="1"/>
                <w:color w:val="auto"/>
              </w:rPr>
              <w:t>September 30,</w:t>
            </w:r>
          </w:p>
        </w:tc>
        <w:tc>
          <w:tcPr>
            <w:tcW w:w="660" w:type="dxa"/>
            <w:vAlign w:val="bottom"/>
            <w:tcBorders>
              <w:top w:val="single" w:sz="8" w:color="auto"/>
            </w:tcBorders>
            <w:gridSpan w:val="2"/>
          </w:tcPr>
          <w:p>
            <w:pPr>
              <w:ind w:left="80"/>
              <w:spacing w:after="0" w:line="94" w:lineRule="exact"/>
              <w:rPr>
                <w:sz w:val="20"/>
                <w:szCs w:val="20"/>
                <w:color w:val="auto"/>
              </w:rPr>
            </w:pPr>
            <w:r>
              <w:rPr>
                <w:rFonts w:ascii="Arial" w:cs="Arial" w:eastAsia="Arial" w:hAnsi="Arial"/>
                <w:sz w:val="9"/>
                <w:szCs w:val="9"/>
                <w:b w:val="1"/>
                <w:bCs w:val="1"/>
                <w:color w:val="auto"/>
              </w:rPr>
              <w:t>June 30</w:t>
            </w:r>
          </w:p>
        </w:tc>
        <w:tc>
          <w:tcPr>
            <w:tcW w:w="680" w:type="dxa"/>
            <w:vAlign w:val="bottom"/>
            <w:tcBorders>
              <w:top w:val="single" w:sz="8" w:color="auto"/>
            </w:tcBorders>
            <w:gridSpan w:val="2"/>
          </w:tcPr>
          <w:p>
            <w:pPr>
              <w:ind w:left="20"/>
              <w:spacing w:after="0" w:line="94" w:lineRule="exact"/>
              <w:rPr>
                <w:sz w:val="20"/>
                <w:szCs w:val="20"/>
                <w:color w:val="auto"/>
              </w:rPr>
            </w:pPr>
            <w:r>
              <w:rPr>
                <w:rFonts w:ascii="Arial" w:cs="Arial" w:eastAsia="Arial" w:hAnsi="Arial"/>
                <w:sz w:val="9"/>
                <w:szCs w:val="9"/>
                <w:b w:val="1"/>
                <w:bCs w:val="1"/>
                <w:color w:val="auto"/>
              </w:rPr>
              <w:t>March 31,</w:t>
            </w:r>
          </w:p>
        </w:tc>
        <w:tc>
          <w:tcPr>
            <w:tcW w:w="820" w:type="dxa"/>
            <w:vAlign w:val="bottom"/>
            <w:tcBorders>
              <w:top w:val="single" w:sz="8" w:color="auto"/>
            </w:tcBorders>
            <w:gridSpan w:val="2"/>
          </w:tcPr>
          <w:p>
            <w:pPr>
              <w:spacing w:after="0" w:line="94" w:lineRule="exact"/>
              <w:rPr>
                <w:sz w:val="20"/>
                <w:szCs w:val="20"/>
                <w:color w:val="auto"/>
              </w:rPr>
            </w:pPr>
            <w:r>
              <w:rPr>
                <w:rFonts w:ascii="Arial" w:cs="Arial" w:eastAsia="Arial" w:hAnsi="Arial"/>
                <w:sz w:val="9"/>
                <w:szCs w:val="9"/>
                <w:b w:val="1"/>
                <w:bCs w:val="1"/>
                <w:color w:val="auto"/>
              </w:rPr>
              <w:t>December 31,</w:t>
            </w:r>
          </w:p>
        </w:tc>
        <w:tc>
          <w:tcPr>
            <w:tcW w:w="940" w:type="dxa"/>
            <w:vAlign w:val="bottom"/>
            <w:tcBorders>
              <w:top w:val="single" w:sz="8" w:color="auto"/>
              <w:right w:val="single" w:sz="8" w:color="auto"/>
            </w:tcBorders>
            <w:gridSpan w:val="3"/>
          </w:tcPr>
          <w:p>
            <w:pPr>
              <w:spacing w:after="0" w:line="94" w:lineRule="exact"/>
              <w:rPr>
                <w:sz w:val="20"/>
                <w:szCs w:val="20"/>
                <w:color w:val="auto"/>
              </w:rPr>
            </w:pPr>
            <w:r>
              <w:rPr>
                <w:rFonts w:ascii="Arial" w:cs="Arial" w:eastAsia="Arial" w:hAnsi="Arial"/>
                <w:sz w:val="9"/>
                <w:szCs w:val="9"/>
                <w:b w:val="1"/>
                <w:bCs w:val="1"/>
                <w:color w:val="auto"/>
              </w:rPr>
              <w:t>September 30,</w:t>
            </w:r>
          </w:p>
        </w:tc>
        <w:tc>
          <w:tcPr>
            <w:tcW w:w="260" w:type="dxa"/>
            <w:vAlign w:val="bottom"/>
          </w:tcPr>
          <w:p>
            <w:pPr>
              <w:spacing w:after="0"/>
              <w:rPr>
                <w:sz w:val="8"/>
                <w:szCs w:val="8"/>
                <w:color w:val="auto"/>
              </w:rPr>
            </w:pPr>
          </w:p>
        </w:tc>
        <w:tc>
          <w:tcPr>
            <w:tcW w:w="580" w:type="dxa"/>
            <w:vAlign w:val="bottom"/>
            <w:tcBorders>
              <w:top w:val="single" w:sz="8" w:color="auto"/>
            </w:tcBorders>
            <w:gridSpan w:val="2"/>
          </w:tcPr>
          <w:p>
            <w:pPr>
              <w:jc w:val="right"/>
              <w:ind w:right="160"/>
              <w:spacing w:after="0" w:line="94" w:lineRule="exact"/>
              <w:rPr>
                <w:sz w:val="20"/>
                <w:szCs w:val="20"/>
                <w:color w:val="auto"/>
              </w:rPr>
            </w:pPr>
            <w:r>
              <w:rPr>
                <w:rFonts w:ascii="Arial" w:cs="Arial" w:eastAsia="Arial" w:hAnsi="Arial"/>
                <w:sz w:val="9"/>
                <w:szCs w:val="9"/>
                <w:b w:val="1"/>
                <w:bCs w:val="1"/>
                <w:color w:val="auto"/>
              </w:rPr>
              <w:t>June 30,</w:t>
            </w:r>
          </w:p>
        </w:tc>
        <w:tc>
          <w:tcPr>
            <w:tcW w:w="5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3"/>
              </w:rPr>
              <w:t>thousands)</w:t>
            </w: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81"/>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3"/>
                <w:szCs w:val="13"/>
                <w:color w:val="auto"/>
              </w:rPr>
            </w:pPr>
          </w:p>
        </w:tc>
        <w:tc>
          <w:tcPr>
            <w:tcW w:w="60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3"/>
                <w:szCs w:val="13"/>
                <w:color w:val="auto"/>
              </w:rPr>
            </w:pPr>
          </w:p>
        </w:tc>
        <w:tc>
          <w:tcPr>
            <w:tcW w:w="540" w:type="dxa"/>
            <w:vAlign w:val="bottom"/>
          </w:tcPr>
          <w:p>
            <w:pPr>
              <w:jc w:val="right"/>
              <w:ind w:right="103"/>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700" w:type="dxa"/>
            <w:vAlign w:val="bottom"/>
          </w:tcPr>
          <w:p>
            <w:pPr>
              <w:jc w:val="right"/>
              <w:ind w:right="163"/>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81"/>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540" w:type="dxa"/>
            <w:vAlign w:val="bottom"/>
          </w:tcPr>
          <w:p>
            <w:pPr>
              <w:jc w:val="right"/>
              <w:ind w:right="103"/>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560" w:type="dxa"/>
            <w:vAlign w:val="bottom"/>
          </w:tcPr>
          <w:p>
            <w:pPr>
              <w:jc w:val="right"/>
              <w:ind w:right="103"/>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700" w:type="dxa"/>
            <w:vAlign w:val="bottom"/>
          </w:tcPr>
          <w:p>
            <w:pPr>
              <w:jc w:val="right"/>
              <w:ind w:right="18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81"/>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right w:val="single" w:sz="8" w:color="auto"/>
            </w:tcBorders>
          </w:tcPr>
          <w:p>
            <w:pPr>
              <w:spacing w:after="0"/>
              <w:rPr>
                <w:sz w:val="13"/>
                <w:szCs w:val="13"/>
                <w:color w:val="auto"/>
              </w:rPr>
            </w:pPr>
          </w:p>
        </w:tc>
        <w:tc>
          <w:tcPr>
            <w:tcW w:w="700" w:type="dxa"/>
            <w:vAlign w:val="bottom"/>
            <w:gridSpan w:val="2"/>
          </w:tcPr>
          <w:p>
            <w:pPr>
              <w:jc w:val="right"/>
              <w:ind w:right="44"/>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3"/>
                <w:szCs w:val="13"/>
                <w:color w:val="auto"/>
              </w:rPr>
            </w:pPr>
          </w:p>
        </w:tc>
        <w:tc>
          <w:tcPr>
            <w:tcW w:w="520" w:type="dxa"/>
            <w:vAlign w:val="bottom"/>
          </w:tcPr>
          <w:p>
            <w:pPr>
              <w:jc w:val="right"/>
              <w:ind w:right="83"/>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980" w:type="dxa"/>
            <w:vAlign w:val="bottom"/>
            <w:tcBorders>
              <w:top w:val="single" w:sz="8" w:color="CCEEFF"/>
            </w:tcBorders>
            <w:gridSpan w:val="2"/>
            <w:shd w:val="clear" w:color="auto" w:fill="CCEEFF"/>
          </w:tcPr>
          <w:p>
            <w:pPr>
              <w:spacing w:after="0" w:line="112" w:lineRule="exact"/>
              <w:rPr>
                <w:sz w:val="20"/>
                <w:szCs w:val="20"/>
                <w:color w:val="auto"/>
              </w:rPr>
            </w:pPr>
            <w:r>
              <w:rPr>
                <w:rFonts w:ascii="Arial" w:cs="Arial" w:eastAsia="Arial" w:hAnsi="Arial"/>
                <w:sz w:val="12"/>
                <w:szCs w:val="12"/>
                <w:color w:val="auto"/>
              </w:rPr>
              <w:t>Total assets</w:t>
            </w:r>
          </w:p>
        </w:tc>
        <w:tc>
          <w:tcPr>
            <w:tcW w:w="14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1,869,799</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1"/>
              </w:rPr>
              <w:t>$ 1,729,513</w:t>
            </w: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1"/>
              </w:rPr>
              <w:t>$ 1,737,840</w:t>
            </w: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96"/>
              </w:rPr>
              <w:t>$   1,745,359</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1,702,689</w:t>
            </w: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1"/>
              </w:rPr>
              <w:t>$ 1,724,606</w:t>
            </w: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5"/>
              </w:rPr>
              <w:t>$ 1,735,228</w:t>
            </w: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96"/>
              </w:rPr>
              <w:t>$   1,721,154</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1,727,382</w:t>
            </w:r>
          </w:p>
        </w:tc>
        <w:tc>
          <w:tcPr>
            <w:tcW w:w="220" w:type="dxa"/>
            <w:vAlign w:val="bottom"/>
            <w:tcBorders>
              <w:top w:val="single" w:sz="8" w:color="CCEEFF"/>
              <w:right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78"/>
              </w:rPr>
              <w:t>$ 139,976</w:t>
            </w:r>
          </w:p>
        </w:tc>
        <w:tc>
          <w:tcPr>
            <w:tcW w:w="1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w w:val="88"/>
              </w:rPr>
              <w:t>$  139,984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980" w:type="dxa"/>
            <w:vAlign w:val="bottom"/>
            <w:gridSpan w:val="2"/>
          </w:tcPr>
          <w:p>
            <w:pPr>
              <w:spacing w:after="0" w:line="113" w:lineRule="exact"/>
              <w:rPr>
                <w:sz w:val="20"/>
                <w:szCs w:val="20"/>
                <w:color w:val="auto"/>
              </w:rPr>
            </w:pPr>
            <w:r>
              <w:rPr>
                <w:rFonts w:ascii="Arial" w:cs="Arial" w:eastAsia="Arial" w:hAnsi="Arial"/>
                <w:sz w:val="12"/>
                <w:szCs w:val="12"/>
                <w:color w:val="auto"/>
              </w:rPr>
              <w:t>Long-term debt (including current</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980" w:type="dxa"/>
            <w:vAlign w:val="bottom"/>
            <w:gridSpan w:val="2"/>
          </w:tcPr>
          <w:p>
            <w:pPr>
              <w:ind w:left="120"/>
              <w:spacing w:after="0"/>
              <w:rPr>
                <w:sz w:val="20"/>
                <w:szCs w:val="20"/>
                <w:color w:val="auto"/>
              </w:rPr>
            </w:pPr>
            <w:r>
              <w:rPr>
                <w:rFonts w:ascii="Arial" w:cs="Arial" w:eastAsia="Arial" w:hAnsi="Arial"/>
                <w:sz w:val="12"/>
                <w:szCs w:val="12"/>
                <w:color w:val="auto"/>
              </w:rPr>
              <w:t>portion)</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272,263</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rPr>
              <w:t>460,518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461,197</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461,877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469,786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467,413</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465,946</w:t>
            </w:r>
          </w:p>
        </w:tc>
        <w:tc>
          <w:tcPr>
            <w:tcW w:w="700" w:type="dxa"/>
            <w:vAlign w:val="bottom"/>
          </w:tcPr>
          <w:p>
            <w:pPr>
              <w:jc w:val="right"/>
              <w:spacing w:after="0"/>
              <w:rPr>
                <w:sz w:val="20"/>
                <w:szCs w:val="20"/>
                <w:color w:val="auto"/>
              </w:rPr>
            </w:pPr>
            <w:r>
              <w:rPr>
                <w:rFonts w:ascii="Arial" w:cs="Arial" w:eastAsia="Arial" w:hAnsi="Arial"/>
                <w:sz w:val="12"/>
                <w:szCs w:val="12"/>
                <w:color w:val="auto"/>
              </w:rPr>
              <w:t>439,349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437,073</w:t>
            </w:r>
          </w:p>
        </w:tc>
        <w:tc>
          <w:tcPr>
            <w:tcW w:w="26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13,000</w:t>
            </w:r>
          </w:p>
        </w:tc>
        <w:tc>
          <w:tcPr>
            <w:tcW w:w="0" w:type="dxa"/>
            <w:vAlign w:val="bottom"/>
          </w:tcPr>
          <w:p>
            <w:pPr>
              <w:spacing w:after="0"/>
              <w:rPr>
                <w:sz w:val="1"/>
                <w:szCs w:val="1"/>
                <w:color w:val="auto"/>
              </w:rPr>
            </w:pPr>
          </w:p>
        </w:tc>
      </w:tr>
      <w:tr>
        <w:trPr>
          <w:trHeight w:val="113"/>
        </w:trPr>
        <w:tc>
          <w:tcPr>
            <w:tcW w:w="198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Unearned revenue (including current</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tcBorders>
              <w:right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portion)</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70,179</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69,121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71,591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61,200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47,517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49,963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51,047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46,125</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36,182</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39,707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36,809</w:t>
            </w:r>
          </w:p>
        </w:tc>
        <w:tc>
          <w:tcPr>
            <w:tcW w:w="0" w:type="dxa"/>
            <w:vAlign w:val="bottom"/>
          </w:tcPr>
          <w:p>
            <w:pPr>
              <w:spacing w:after="0"/>
              <w:rPr>
                <w:sz w:val="1"/>
                <w:szCs w:val="1"/>
                <w:color w:val="auto"/>
              </w:rPr>
            </w:pPr>
          </w:p>
        </w:tc>
      </w:tr>
      <w:tr>
        <w:trPr>
          <w:trHeight w:val="127"/>
        </w:trPr>
        <w:tc>
          <w:tcPr>
            <w:tcW w:w="1980" w:type="dxa"/>
            <w:vAlign w:val="bottom"/>
            <w:gridSpan w:val="2"/>
          </w:tcPr>
          <w:p>
            <w:pPr>
              <w:spacing w:after="0" w:line="127" w:lineRule="exact"/>
              <w:rPr>
                <w:sz w:val="20"/>
                <w:szCs w:val="20"/>
                <w:color w:val="auto"/>
              </w:rPr>
            </w:pPr>
            <w:r>
              <w:rPr>
                <w:rFonts w:ascii="Arial" w:cs="Arial" w:eastAsia="Arial" w:hAnsi="Arial"/>
                <w:sz w:val="12"/>
                <w:szCs w:val="12"/>
                <w:color w:val="auto"/>
              </w:rPr>
              <w:t>Total liabilities</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586,715</w:t>
            </w:r>
          </w:p>
        </w:tc>
        <w:tc>
          <w:tcPr>
            <w:tcW w:w="740" w:type="dxa"/>
            <w:vAlign w:val="bottom"/>
            <w:gridSpan w:val="3"/>
          </w:tcPr>
          <w:p>
            <w:pPr>
              <w:jc w:val="right"/>
              <w:ind w:right="140"/>
              <w:spacing w:after="0" w:line="127" w:lineRule="exact"/>
              <w:rPr>
                <w:sz w:val="20"/>
                <w:szCs w:val="20"/>
                <w:color w:val="auto"/>
              </w:rPr>
            </w:pPr>
            <w:r>
              <w:rPr>
                <w:rFonts w:ascii="Arial" w:cs="Arial" w:eastAsia="Arial" w:hAnsi="Arial"/>
                <w:sz w:val="12"/>
                <w:szCs w:val="12"/>
                <w:color w:val="auto"/>
              </w:rPr>
              <w:t>555,140</w:t>
            </w: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552,196</w:t>
            </w:r>
          </w:p>
        </w:tc>
        <w:tc>
          <w:tcPr>
            <w:tcW w:w="82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549,796</w:t>
            </w: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522,521</w:t>
            </w: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532,875</w:t>
            </w:r>
          </w:p>
        </w:tc>
        <w:tc>
          <w:tcPr>
            <w:tcW w:w="68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532,393</w:t>
            </w:r>
          </w:p>
        </w:tc>
        <w:tc>
          <w:tcPr>
            <w:tcW w:w="700" w:type="dxa"/>
            <w:vAlign w:val="bottom"/>
          </w:tcPr>
          <w:p>
            <w:pPr>
              <w:jc w:val="right"/>
              <w:spacing w:after="0" w:line="127" w:lineRule="exact"/>
              <w:rPr>
                <w:sz w:val="20"/>
                <w:szCs w:val="20"/>
                <w:color w:val="auto"/>
              </w:rPr>
            </w:pPr>
            <w:r>
              <w:rPr>
                <w:rFonts w:ascii="Arial" w:cs="Arial" w:eastAsia="Arial" w:hAnsi="Arial"/>
                <w:sz w:val="12"/>
                <w:szCs w:val="12"/>
                <w:color w:val="auto"/>
              </w:rPr>
              <w:t>504,914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27" w:lineRule="exact"/>
              <w:rPr>
                <w:sz w:val="20"/>
                <w:szCs w:val="20"/>
                <w:color w:val="auto"/>
              </w:rPr>
            </w:pPr>
            <w:r>
              <w:rPr>
                <w:rFonts w:ascii="Arial" w:cs="Arial" w:eastAsia="Arial" w:hAnsi="Arial"/>
                <w:sz w:val="12"/>
                <w:szCs w:val="12"/>
                <w:color w:val="auto"/>
              </w:rPr>
              <w:t>490,579</w:t>
            </w:r>
          </w:p>
        </w:tc>
        <w:tc>
          <w:tcPr>
            <w:tcW w:w="840" w:type="dxa"/>
            <w:vAlign w:val="bottom"/>
            <w:gridSpan w:val="3"/>
          </w:tcPr>
          <w:p>
            <w:pPr>
              <w:jc w:val="right"/>
              <w:ind w:right="140"/>
              <w:spacing w:after="0" w:line="127" w:lineRule="exact"/>
              <w:rPr>
                <w:sz w:val="20"/>
                <w:szCs w:val="20"/>
                <w:color w:val="auto"/>
              </w:rPr>
            </w:pPr>
            <w:r>
              <w:rPr>
                <w:rFonts w:ascii="Arial" w:cs="Arial" w:eastAsia="Arial" w:hAnsi="Arial"/>
                <w:sz w:val="12"/>
                <w:szCs w:val="12"/>
                <w:color w:val="auto"/>
              </w:rPr>
              <w:t>44,291</w:t>
            </w:r>
          </w:p>
        </w:tc>
        <w:tc>
          <w:tcPr>
            <w:tcW w:w="56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53,696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Liquidity and Capital Resources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w:t>
      </w:r>
    </w:p>
    <w:p>
      <w:pPr>
        <w:spacing w:after="0" w:line="108"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Our principal uses for liquidity have been working capital, capital expenditures to support the growth in our business, debt service, distributions to Unitholders and acquisitions. Our capital expenditures were $1.4 million, $1.2 million and $0.7 million for the year ended December 31, 2020, for the period from July 16, 2019 to December 31, 2019 (Successor), and for the period from January 1, 2019 to July 15, 2019 (Predecessor), respectively. Our capital expenditures were $5.6 million and $8.0 million for the nine months ended September 30, 2021 and 2020, respectively.</w:t>
      </w:r>
    </w:p>
    <w:p>
      <w:pPr>
        <w:spacing w:after="0" w:line="148" w:lineRule="exact"/>
        <w:rPr>
          <w:sz w:val="20"/>
          <w:szCs w:val="20"/>
          <w:color w:val="auto"/>
        </w:rPr>
      </w:pPr>
    </w:p>
    <w:p>
      <w:pPr>
        <w:ind w:left="460" w:right="60" w:firstLine="413"/>
        <w:spacing w:after="0" w:line="274" w:lineRule="auto"/>
        <w:rPr>
          <w:sz w:val="20"/>
          <w:szCs w:val="20"/>
          <w:color w:val="auto"/>
        </w:rPr>
      </w:pPr>
      <w:r>
        <w:rPr>
          <w:rFonts w:ascii="Arial" w:cs="Arial" w:eastAsia="Arial" w:hAnsi="Arial"/>
          <w:sz w:val="16"/>
          <w:szCs w:val="16"/>
          <w:color w:val="auto"/>
        </w:rPr>
        <w:t>We have historically funded our operations and growth primarily with cash flow from operations and borrowings under our Credit Agreement and equity contributions from Unitholders. As of September 30, 2021 and December 31, 2020, we had unrestricted cash and cash equivalents of $189.8 million and $24.8 million, respectively. Our total indebtedness, net of unamortized discount, was $272.3 million and $461.9 million as of September 30, 2021 and December 31, 2020, respectively. See “—Debt Obligations” and Note 8 of our consolidated financial statements included elsewhere in this prospectus for additional information related to our debt obligations and debt repayments.</w:t>
      </w:r>
    </w:p>
    <w:p>
      <w:pPr>
        <w:spacing w:after="0" w:line="165"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See Note 12 of our consolidated financial statements included elsewhere in this prospectus for additional information related to contributions and distributions from and to members of Definitive OpCo.</w:t>
      </w:r>
    </w:p>
    <w:p>
      <w:pPr>
        <w:spacing w:after="0" w:line="165" w:lineRule="exact"/>
        <w:rPr>
          <w:sz w:val="20"/>
          <w:szCs w:val="20"/>
          <w:color w:val="auto"/>
        </w:rPr>
      </w:pPr>
    </w:p>
    <w:p>
      <w:pPr>
        <w:ind w:left="460" w:right="40" w:firstLine="413"/>
        <w:spacing w:after="0" w:line="267" w:lineRule="auto"/>
        <w:rPr>
          <w:sz w:val="20"/>
          <w:szCs w:val="20"/>
          <w:color w:val="auto"/>
        </w:rPr>
      </w:pPr>
      <w:r>
        <w:rPr>
          <w:rFonts w:ascii="Arial" w:cs="Arial" w:eastAsia="Arial" w:hAnsi="Arial"/>
          <w:sz w:val="16"/>
          <w:szCs w:val="16"/>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“Prospectus Summary—Organizational Structure.”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w:t>
      </w:r>
    </w:p>
    <w:p>
      <w:pPr>
        <w:spacing w:after="0" w:line="11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800"/>
          </w:cols>
          <w:pgMar w:left="320" w:top="440" w:right="77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77" w:lineRule="auto"/>
        <w:rPr>
          <w:sz w:val="20"/>
          <w:szCs w:val="20"/>
          <w:color w:val="auto"/>
        </w:rPr>
      </w:pPr>
      <w:r>
        <w:rPr>
          <w:rFonts w:ascii="Arial" w:cs="Arial" w:eastAsia="Arial" w:hAnsi="Arial"/>
          <w:sz w:val="16"/>
          <w:szCs w:val="16"/>
          <w:color w:val="auto"/>
        </w:rPr>
        <w:t>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Structure—In certain circumstances, Definitive OpCo will be required to make distributions to us and the other Unitholders, and the distributions that Definitive OpCo will be required to make may be substantial.”</w:t>
      </w:r>
    </w:p>
    <w:p>
      <w:pPr>
        <w:spacing w:after="0" w:line="164"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3"/>
            <w:vMerge w:val="restart"/>
          </w:tcPr>
          <w:p>
            <w:pPr>
              <w:jc w:val="center"/>
              <w:ind w:left="264"/>
              <w:spacing w:after="0"/>
              <w:rPr>
                <w:sz w:val="20"/>
                <w:szCs w:val="20"/>
                <w:color w:val="auto"/>
              </w:rPr>
            </w:pPr>
            <w:r>
              <w:rPr>
                <w:rFonts w:ascii="Arial" w:cs="Arial" w:eastAsia="Arial" w:hAnsi="Arial"/>
                <w:sz w:val="13"/>
                <w:szCs w:val="13"/>
                <w:b w:val="1"/>
                <w:bCs w:val="1"/>
                <w:color w:val="auto"/>
                <w:w w:val="96"/>
              </w:rPr>
              <w:t>Definitive OpCo</w:t>
            </w: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tcPr>
          <w:p>
            <w:pPr>
              <w:jc w:val="center"/>
              <w:ind w:right="500"/>
              <w:spacing w:after="0" w:line="139" w:lineRule="exact"/>
              <w:rPr>
                <w:sz w:val="20"/>
                <w:szCs w:val="20"/>
                <w:color w:val="auto"/>
              </w:rPr>
            </w:pPr>
            <w:r>
              <w:rPr>
                <w:rFonts w:ascii="Arial" w:cs="Arial" w:eastAsia="Arial" w:hAnsi="Arial"/>
                <w:sz w:val="13"/>
                <w:szCs w:val="13"/>
                <w:b w:val="1"/>
                <w:bCs w:val="1"/>
                <w:color w:val="auto"/>
              </w:rPr>
              <w:t>(AIDH TopCo, LLC)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0"/>
              </w:rPr>
              <w:t>Successor Company</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Predecessor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80" w:type="dxa"/>
            <w:vAlign w:val="bottom"/>
            <w:tcBorders>
              <w:top w:val="single" w:sz="8" w:color="auto"/>
            </w:tcBorders>
            <w:gridSpan w:val="5"/>
            <w:vMerge w:val="restart"/>
          </w:tcPr>
          <w:p>
            <w:pPr>
              <w:jc w:val="right"/>
              <w:ind w:right="620"/>
              <w:spacing w:after="0"/>
              <w:rPr>
                <w:sz w:val="20"/>
                <w:szCs w:val="20"/>
                <w:color w:val="auto"/>
              </w:rPr>
            </w:pPr>
            <w:r>
              <w:rPr>
                <w:rFonts w:ascii="Arial" w:cs="Arial" w:eastAsia="Arial" w:hAnsi="Arial"/>
                <w:sz w:val="13"/>
                <w:szCs w:val="13"/>
                <w:b w:val="1"/>
                <w:bCs w:val="1"/>
                <w:color w:val="auto"/>
                <w:w w:val="95"/>
              </w:rPr>
              <w:t>Nine Months Ended September 30,</w:t>
            </w:r>
          </w:p>
        </w:tc>
        <w:tc>
          <w:tcPr>
            <w:tcW w:w="104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4"/>
              </w:rPr>
              <w:t>Year ended</w:t>
            </w: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42"/>
              <w:spacing w:after="0" w:line="112"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vMerge w:val="restart"/>
          </w:tcPr>
          <w:p>
            <w:pPr>
              <w:jc w:val="center"/>
              <w:ind w:right="5"/>
              <w:spacing w:after="0"/>
              <w:rPr>
                <w:sz w:val="20"/>
                <w:szCs w:val="20"/>
                <w:color w:val="auto"/>
              </w:rPr>
            </w:pPr>
            <w:r>
              <w:rPr>
                <w:rFonts w:ascii="Arial" w:cs="Arial" w:eastAsia="Arial" w:hAnsi="Arial"/>
                <w:sz w:val="13"/>
                <w:szCs w:val="13"/>
                <w:b w:val="1"/>
                <w:bCs w:val="1"/>
                <w:color w:val="auto"/>
                <w:w w:val="95"/>
              </w:rPr>
              <w:t>Period from</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80"/>
              <w:spacing w:after="0" w:line="147" w:lineRule="exact"/>
              <w:rPr>
                <w:sz w:val="20"/>
                <w:szCs w:val="20"/>
                <w:color w:val="auto"/>
              </w:rPr>
            </w:pPr>
            <w:r>
              <w:rPr>
                <w:rFonts w:ascii="Arial" w:cs="Arial" w:eastAsia="Arial" w:hAnsi="Arial"/>
                <w:sz w:val="13"/>
                <w:szCs w:val="13"/>
                <w:b w:val="1"/>
                <w:bCs w:val="1"/>
                <w:color w:val="auto"/>
                <w:w w:val="93"/>
              </w:rPr>
              <w:t>July 16, 2019 to</w:t>
            </w:r>
          </w:p>
        </w:tc>
        <w:tc>
          <w:tcPr>
            <w:tcW w:w="4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ind w:right="221"/>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vMerge w:val="restart"/>
          </w:tcPr>
          <w:p>
            <w:pPr>
              <w:jc w:val="right"/>
              <w:ind w:right="244"/>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9"/>
                <w:szCs w:val="9"/>
                <w:color w:val="auto"/>
              </w:rPr>
            </w:pPr>
          </w:p>
        </w:tc>
        <w:tc>
          <w:tcPr>
            <w:tcW w:w="1040" w:type="dxa"/>
            <w:vAlign w:val="bottom"/>
            <w:gridSpan w:val="3"/>
          </w:tcPr>
          <w:p>
            <w:pPr>
              <w:spacing w:after="0" w:line="112" w:lineRule="exact"/>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9"/>
                <w:szCs w:val="9"/>
                <w:color w:val="auto"/>
              </w:rPr>
            </w:pPr>
          </w:p>
        </w:tc>
        <w:tc>
          <w:tcPr>
            <w:tcW w:w="1020" w:type="dxa"/>
            <w:vAlign w:val="bottom"/>
            <w:gridSpan w:val="3"/>
          </w:tcPr>
          <w:p>
            <w:pPr>
              <w:jc w:val="center"/>
              <w:ind w:right="80"/>
              <w:spacing w:after="0" w:line="112" w:lineRule="exact"/>
              <w:rPr>
                <w:sz w:val="20"/>
                <w:szCs w:val="20"/>
                <w:color w:val="auto"/>
              </w:rPr>
            </w:pPr>
            <w:r>
              <w:rPr>
                <w:rFonts w:ascii="Arial" w:cs="Arial" w:eastAsia="Arial" w:hAnsi="Arial"/>
                <w:sz w:val="12"/>
                <w:szCs w:val="12"/>
                <w:b w:val="1"/>
                <w:bCs w:val="1"/>
                <w:color w:val="auto"/>
                <w:w w:val="99"/>
              </w:rPr>
              <w:t>December 31,</w:t>
            </w:r>
          </w:p>
        </w:tc>
        <w:tc>
          <w:tcPr>
            <w:tcW w:w="4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jc w:val="center"/>
              <w:ind w:right="200"/>
              <w:spacing w:after="0" w:line="112" w:lineRule="exact"/>
              <w:rPr>
                <w:sz w:val="20"/>
                <w:szCs w:val="20"/>
                <w:color w:val="auto"/>
              </w:rPr>
            </w:pPr>
            <w:r>
              <w:rPr>
                <w:rFonts w:ascii="Arial" w:cs="Arial" w:eastAsia="Arial" w:hAnsi="Arial"/>
                <w:sz w:val="12"/>
                <w:szCs w:val="12"/>
                <w:b w:val="1"/>
                <w:bCs w:val="1"/>
                <w:color w:val="auto"/>
              </w:rPr>
              <w:t>January 1, 2019 to</w:t>
            </w:r>
          </w:p>
        </w:tc>
        <w:tc>
          <w:tcPr>
            <w:tcW w:w="0" w:type="dxa"/>
            <w:vAlign w:val="bottom"/>
          </w:tcPr>
          <w:p>
            <w:pPr>
              <w:spacing w:after="0"/>
              <w:rPr>
                <w:sz w:val="1"/>
                <w:szCs w:val="1"/>
                <w:color w:val="auto"/>
              </w:rPr>
            </w:pPr>
          </w:p>
        </w:tc>
      </w:tr>
      <w:tr>
        <w:trPr>
          <w:trHeight w:val="160"/>
        </w:trPr>
        <w:tc>
          <w:tcPr>
            <w:tcW w:w="3040" w:type="dxa"/>
            <w:vAlign w:val="bottom"/>
            <w:gridSpan w:val="2"/>
          </w:tcPr>
          <w:p>
            <w:pPr>
              <w:spacing w:after="0"/>
              <w:rPr>
                <w:sz w:val="20"/>
                <w:szCs w:val="20"/>
                <w:color w:val="auto"/>
              </w:rPr>
            </w:pPr>
            <w:r>
              <w:rPr>
                <w:rFonts w:ascii="Arial" w:cs="Arial" w:eastAsia="Arial" w:hAnsi="Arial"/>
                <w:sz w:val="13"/>
                <w:szCs w:val="13"/>
                <w:color w:val="auto"/>
              </w:rPr>
              <w:t>($ in thousands)</w:t>
            </w: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79"/>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2"/>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Cash provided by (used in):</w:t>
            </w: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20,993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14,544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23,217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(7,133)</w:t>
            </w:r>
          </w:p>
        </w:tc>
        <w:tc>
          <w:tcPr>
            <w:tcW w:w="4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Investing activities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(5,662)</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(7,996)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(23,862)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(1,109,368)</w:t>
            </w:r>
          </w:p>
        </w:tc>
        <w:tc>
          <w:tcPr>
            <w:tcW w:w="480" w:type="dxa"/>
            <w:vAlign w:val="bottom"/>
            <w:tcBorders>
              <w:right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Financing activities</w:t>
            </w: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149,695</w:t>
            </w: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19,516</w:t>
            </w: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16,655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1,125,119</w:t>
            </w:r>
          </w:p>
        </w:tc>
        <w:tc>
          <w:tcPr>
            <w:tcW w:w="4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Change in cash and cash equivalents</w:t>
            </w: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(excluding exchange rate changes)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165,026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26,064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8,618</w:t>
            </w:r>
          </w:p>
        </w:tc>
        <w:tc>
          <w:tcPr>
            <w:tcW w:w="480" w:type="dxa"/>
            <w:vAlign w:val="bottom"/>
            <w:tcBorders>
              <w:right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 provided by (used in) Operating Activities</w:t>
      </w:r>
    </w:p>
    <w:p>
      <w:pPr>
        <w:spacing w:after="0" w:line="108" w:lineRule="exact"/>
        <w:rPr>
          <w:sz w:val="20"/>
          <w:szCs w:val="20"/>
          <w:color w:val="auto"/>
        </w:rPr>
      </w:pPr>
    </w:p>
    <w:p>
      <w:pPr>
        <w:ind w:left="460" w:right="140" w:firstLine="413"/>
        <w:spacing w:after="0" w:line="274" w:lineRule="auto"/>
        <w:rPr>
          <w:sz w:val="20"/>
          <w:szCs w:val="20"/>
          <w:color w:val="auto"/>
        </w:rPr>
      </w:pPr>
      <w:r>
        <w:rPr>
          <w:rFonts w:ascii="Arial" w:cs="Arial" w:eastAsia="Arial" w:hAnsi="Arial"/>
          <w:sz w:val="16"/>
          <w:szCs w:val="16"/>
          <w:color w:val="auto"/>
        </w:rPr>
        <w:t>Net cash provided by operations was $21.0 million during the nine months ended September 30, 2021, primarily as a result of a net loss of $46.5 million, which was offset by non-cash charges of $66.9 million. The non-cash charges were primarily comprised of amortization of intangible assets of $43.5 million, a loss on the extinguishment of the previous debt facility of $9.9 million, equity compensation costs of $4.3 million, a $3.2 million increase in the earnout liability related to the Monocl acquisition, amortization of deferred contract costs of $3.2 million, and amortization of debt issuance costs of $1.5 million. The change in operating assets and liabilities</w:t>
      </w:r>
    </w:p>
    <w:p>
      <w:pPr>
        <w:spacing w:after="0" w:line="10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800"/>
          </w:cols>
          <w:pgMar w:left="320" w:top="440" w:right="7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40"/>
        <w:spacing w:after="0" w:line="311" w:lineRule="auto"/>
        <w:rPr>
          <w:sz w:val="20"/>
          <w:szCs w:val="20"/>
          <w:color w:val="auto"/>
        </w:rPr>
      </w:pPr>
      <w:r>
        <w:rPr>
          <w:rFonts w:ascii="Arial" w:cs="Arial" w:eastAsia="Arial" w:hAnsi="Arial"/>
          <w:sz w:val="15"/>
          <w:szCs w:val="15"/>
          <w:color w:val="auto"/>
        </w:rPr>
        <w:t>was primarily the result of an increase in deferred revenue of $9.0 million due to the timing of billings and cash received in advance of revenue recognition for subscription services and a decrease in accounts receivable of $5.2 million, partially offset by an increase in deferred contract costs of $9.0 million and cash outflows resulting from lower accounts payable, accrued expenses and other current liabilities collectively of $4.0 million.</w:t>
      </w:r>
    </w:p>
    <w:p>
      <w:pPr>
        <w:spacing w:after="0" w:line="140"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Net cash provided by operations was $14.5 million during the nine months ended September 30, 2020, as a result of a net loss of $35.3 million and a change of $6.3 million in our operating assets and liabilities, which were offset by non-cash charges of $56.2 million. The non-cash charges were primarily comprised of amortization of intangible assets of $43.5 million, non-cash paid in kind interest expense of $7.4 million and amortization of debt issuance costs of $1.5 million. The change in operating assets and liabilities was primarily the result of a decrease in accounts receivable of $3.9 million and an increase in deferred revenue of $1.4 million due to the timing of billings and cash received in advance of revenue recognition for subscription services, partially offset by cash outflows resulting from lower accounts payable, accrued expenses and other current liabilities collectively of $7.3 million and an increase in deferred contract costs of $4.3 million.</w:t>
      </w:r>
    </w:p>
    <w:p>
      <w:pPr>
        <w:spacing w:after="0" w:line="172" w:lineRule="exact"/>
        <w:rPr>
          <w:sz w:val="20"/>
          <w:szCs w:val="20"/>
          <w:color w:val="auto"/>
        </w:rPr>
      </w:pPr>
    </w:p>
    <w:p>
      <w:pPr>
        <w:ind w:left="460" w:right="260" w:firstLine="413"/>
        <w:spacing w:after="0" w:line="293" w:lineRule="auto"/>
        <w:rPr>
          <w:sz w:val="20"/>
          <w:szCs w:val="20"/>
          <w:color w:val="auto"/>
        </w:rPr>
      </w:pPr>
      <w:r>
        <w:rPr>
          <w:rFonts w:ascii="Arial" w:cs="Arial" w:eastAsia="Arial" w:hAnsi="Arial"/>
          <w:sz w:val="15"/>
          <w:szCs w:val="15"/>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 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55"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Net cash used in operations was $7.1 million for the period from July 16, 2019 to December 31, 2019 (Successor), as a result of a net loss of $49.3 million, adjusted by non-cash charges of $36.5 million and a change of $5.7 million in our operating assets and liabilities. The non-cash charges were primarily comprised of amortization of intangible assets of $30.6 million, non-cash paid in kind interest expense of $3.0 million and amortization of debt issuance costs of $1.1 million. The change in operating assets and liabilities was primarily the result of an increase in deferred revenue of $13.8 million and higher accounts payable, accrued expenses and other current liabilities of $7.4 million, partially offset by an increase in accounts receivable of $12.5 million and in deferred contract costs of $3.1 million.</w:t>
      </w:r>
    </w:p>
    <w:p>
      <w:pPr>
        <w:spacing w:after="0" w:line="167" w:lineRule="exact"/>
        <w:rPr>
          <w:sz w:val="20"/>
          <w:szCs w:val="20"/>
          <w:color w:val="auto"/>
        </w:rPr>
      </w:pPr>
    </w:p>
    <w:p>
      <w:pPr>
        <w:ind w:left="460" w:right="80" w:firstLine="413"/>
        <w:spacing w:after="0" w:line="274" w:lineRule="auto"/>
        <w:rPr>
          <w:sz w:val="20"/>
          <w:szCs w:val="20"/>
          <w:color w:val="auto"/>
        </w:rPr>
      </w:pPr>
      <w:r>
        <w:rPr>
          <w:rFonts w:ascii="Arial" w:cs="Arial" w:eastAsia="Arial" w:hAnsi="Arial"/>
          <w:sz w:val="16"/>
          <w:szCs w:val="16"/>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65"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68" w:lineRule="exact"/>
        <w:rPr>
          <w:sz w:val="20"/>
          <w:szCs w:val="20"/>
          <w:color w:val="auto"/>
        </w:rPr>
      </w:pPr>
    </w:p>
    <w:p>
      <w:pPr>
        <w:ind w:left="1360" w:right="180" w:hanging="498"/>
        <w:spacing w:after="0" w:line="303" w:lineRule="auto"/>
        <w:tabs>
          <w:tab w:leader="none" w:pos="1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Interest paid in cash increased significantly from the year ended December 31, 2019 to the year ended December 31, 2020. This increase primarily related to the additional debt that we incurred to fund the Advent acquisition on July 16, 2019.</w:t>
      </w:r>
    </w:p>
    <w:p>
      <w:pPr>
        <w:spacing w:after="0" w:line="8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780"/>
          </w:cols>
          <w:pgMar w:left="320" w:top="440" w:right="79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140" w:hanging="498"/>
        <w:spacing w:after="0" w:line="260" w:lineRule="auto"/>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86" w:lineRule="exact"/>
        <w:rPr>
          <w:rFonts w:ascii="Arial" w:cs="Arial" w:eastAsia="Arial" w:hAnsi="Arial"/>
          <w:sz w:val="17"/>
          <w:szCs w:val="17"/>
          <w:color w:val="auto"/>
        </w:rPr>
      </w:pPr>
    </w:p>
    <w:p>
      <w:pPr>
        <w:ind w:left="1360" w:right="120" w:hanging="498"/>
        <w:spacing w:after="0" w:line="260" w:lineRule="auto"/>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 used in Investing Activities</w:t>
      </w:r>
    </w:p>
    <w:p>
      <w:pPr>
        <w:spacing w:after="0" w:line="108" w:lineRule="exact"/>
        <w:rPr>
          <w:sz w:val="20"/>
          <w:szCs w:val="20"/>
          <w:color w:val="auto"/>
        </w:rPr>
      </w:pPr>
    </w:p>
    <w:p>
      <w:pPr>
        <w:ind w:left="460" w:right="620" w:firstLine="413"/>
        <w:spacing w:after="0" w:line="272" w:lineRule="auto"/>
        <w:rPr>
          <w:sz w:val="20"/>
          <w:szCs w:val="20"/>
          <w:color w:val="auto"/>
        </w:rPr>
      </w:pPr>
      <w:r>
        <w:rPr>
          <w:rFonts w:ascii="Arial" w:cs="Arial" w:eastAsia="Arial" w:hAnsi="Arial"/>
          <w:sz w:val="17"/>
          <w:szCs w:val="17"/>
          <w:color w:val="auto"/>
        </w:rPr>
        <w:t>Cash used in investing activities during the nine months ended September 30, 2021 was $5.6 million, primarily as a result of purchases of property, equipment and data of $5.2 million.</w:t>
      </w:r>
    </w:p>
    <w:p>
      <w:pPr>
        <w:spacing w:after="0" w:line="165" w:lineRule="exact"/>
        <w:rPr>
          <w:sz w:val="20"/>
          <w:szCs w:val="20"/>
          <w:color w:val="auto"/>
        </w:rPr>
      </w:pPr>
    </w:p>
    <w:p>
      <w:pPr>
        <w:ind w:left="460" w:right="640" w:firstLine="413"/>
        <w:spacing w:after="0" w:line="272" w:lineRule="auto"/>
        <w:rPr>
          <w:sz w:val="20"/>
          <w:szCs w:val="20"/>
          <w:color w:val="auto"/>
        </w:rPr>
      </w:pPr>
      <w:r>
        <w:rPr>
          <w:rFonts w:ascii="Arial" w:cs="Arial" w:eastAsia="Arial" w:hAnsi="Arial"/>
          <w:sz w:val="17"/>
          <w:szCs w:val="17"/>
          <w:color w:val="auto"/>
        </w:rPr>
        <w:t>Cash used in investing activities during the nine months ended September 30, 2020 was $8.0 million, as a result of purchases of property, equipment and data and cash paid for acquisitions</w:t>
      </w:r>
    </w:p>
    <w:p>
      <w:pPr>
        <w:spacing w:after="0" w:line="165"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Cash used in investing activities during the year ended December 31, 2020 was $23.9 million, primarily as a result of cash payments for the acquisition of Monocl of $15.5 million, and $6.9 million paid to former members for the Advent acquisition, which was included in accrued expenses at December 31, 2019, and purchases of property and equipment of $1.4 million.</w:t>
      </w:r>
    </w:p>
    <w:p>
      <w:pPr>
        <w:spacing w:after="0" w:line="175" w:lineRule="exact"/>
        <w:rPr>
          <w:sz w:val="20"/>
          <w:szCs w:val="20"/>
          <w:color w:val="auto"/>
        </w:rPr>
      </w:pPr>
    </w:p>
    <w:p>
      <w:pPr>
        <w:ind w:left="460" w:firstLine="413"/>
        <w:spacing w:after="0" w:line="340" w:lineRule="auto"/>
        <w:rPr>
          <w:sz w:val="20"/>
          <w:szCs w:val="20"/>
          <w:color w:val="auto"/>
        </w:rPr>
      </w:pPr>
      <w:r>
        <w:rPr>
          <w:rFonts w:ascii="Arial" w:cs="Arial" w:eastAsia="Arial" w:hAnsi="Arial"/>
          <w:sz w:val="15"/>
          <w:szCs w:val="15"/>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19"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 provided by (used in) Financing Activities</w:t>
      </w:r>
    </w:p>
    <w:p>
      <w:pPr>
        <w:spacing w:after="0" w:line="108"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Cash provided by financing activities during the nine months ended September 30, 2021 was $149.7 million, primarily driven by net proceeds received from the Company’s IPO in September 2021 of $360.0 million and proceeds of $275.0 million from the 2021 Term Loan under the 2021 Credit Agreement executed in the third quarter of 2021. These cash inflows were partially offset by repayments of the 2019 Term Loan of $472.7 million, distributions paid to members of $7.1 million, and payments of debt issuance costs of $3.5 million.</w:t>
      </w:r>
    </w:p>
    <w:p>
      <w:pPr>
        <w:spacing w:after="0" w:line="179"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Cash provided by financing activities during the nine months ended September 30, 2020 was $19.5 million, primarily as a result of proceeds from the Revolving Line of Credit of $25.0 million, partially offset by repayments on the 2019 Term loan of $3.4 million and distributions paid to members of $2.1 million.</w:t>
      </w:r>
    </w:p>
    <w:p>
      <w:pPr>
        <w:spacing w:after="0" w:line="175"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2019 Term Loan and debt issuance costs of $4.7 million.</w:t>
      </w:r>
    </w:p>
    <w:p>
      <w:pPr>
        <w:spacing w:after="0" w:line="175"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Cash provided from financing activities for the period from July 16, 2019 to December 31, 2019 (Successor) was $1,125.1 million, primarily as a result of a capital contribution of $697.0 million in connection with the Advent acquisition, proceeds from the 2019 Term Loan of $450.0 million, partially offset by distributions to members of $6.5 million, payments of debt issuance costs of $14.3 million and repayments on the 2019 Term Loan of $1.1 million. See “Description of Material Indebtedness.”</w:t>
      </w:r>
    </w:p>
    <w:p>
      <w:pPr>
        <w:spacing w:after="0" w:line="34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780"/>
          </w:cols>
          <w:pgMar w:left="320" w:top="440" w:right="79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0" w:firstLine="413"/>
        <w:spacing w:after="0" w:line="272" w:lineRule="auto"/>
        <w:rPr>
          <w:sz w:val="20"/>
          <w:szCs w:val="20"/>
          <w:color w:val="auto"/>
        </w:rPr>
      </w:pPr>
      <w:r>
        <w:rPr>
          <w:rFonts w:ascii="Arial" w:cs="Arial" w:eastAsia="Arial" w:hAnsi="Arial"/>
          <w:sz w:val="17"/>
          <w:szCs w:val="17"/>
          <w:color w:val="auto"/>
        </w:rPr>
        <w:t>Cash used in financing activities for the period from January 1, 2019 to July 15, 2019 (Predecessor) was $0.5 million, primarily as a result of distributions to members of $0.5 million.</w:t>
      </w:r>
    </w:p>
    <w:p>
      <w:pPr>
        <w:spacing w:after="0" w:line="165" w:lineRule="exact"/>
        <w:rPr>
          <w:sz w:val="20"/>
          <w:szCs w:val="20"/>
          <w:color w:val="auto"/>
        </w:rPr>
      </w:pPr>
    </w:p>
    <w:p>
      <w:pPr>
        <w:ind w:left="460" w:right="200" w:firstLine="413"/>
        <w:spacing w:after="0" w:line="303" w:lineRule="auto"/>
        <w:rPr>
          <w:sz w:val="20"/>
          <w:szCs w:val="20"/>
          <w:color w:val="auto"/>
        </w:rPr>
      </w:pPr>
      <w:r>
        <w:rPr>
          <w:rFonts w:ascii="Arial" w:cs="Arial" w:eastAsia="Arial" w:hAnsi="Arial"/>
          <w:sz w:val="16"/>
          <w:szCs w:val="16"/>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Debt Obligations</w:t>
      </w:r>
    </w:p>
    <w:p>
      <w:pPr>
        <w:spacing w:after="0" w:line="108"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6"/>
          <w:szCs w:val="16"/>
          <w:color w:val="auto"/>
        </w:rPr>
        <w:t>On September 17, 2021, DH Holdings entered into the Credit Agreement with Bank of America, N.A., as administrative agent, the lenders party thereto and the other parties specified therein. The Credit Agreement provides for (i) the $275 million Term Facility and (ii) $75 million Revolving Credit Facility. The Senior Credit Facilities includes certain financial covenants and the Senior Credit Facilities thereunder are guaranteed by all of DH Holdings’s wholly-owned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167" w:lineRule="exact"/>
        <w:rPr>
          <w:sz w:val="20"/>
          <w:szCs w:val="20"/>
          <w:color w:val="auto"/>
        </w:rPr>
      </w:pPr>
    </w:p>
    <w:p>
      <w:pPr>
        <w:ind w:left="460" w:right="360" w:firstLine="413"/>
        <w:spacing w:after="0" w:line="340" w:lineRule="auto"/>
        <w:rPr>
          <w:sz w:val="20"/>
          <w:szCs w:val="20"/>
          <w:color w:val="auto"/>
        </w:rPr>
      </w:pPr>
      <w:r>
        <w:rPr>
          <w:rFonts w:ascii="Arial" w:cs="Arial" w:eastAsia="Arial" w:hAnsi="Arial"/>
          <w:sz w:val="15"/>
          <w:szCs w:val="15"/>
          <w:color w:val="auto"/>
        </w:rPr>
        <w:t>The Term Facility is for $275.0 million and has a maturity date of September 17, 2026. The Term Facility was recorded net of $3.5 million in issuance costs. The issuance costs are amortized to interest expense over the term of the Term Facility using the effective interest method.</w:t>
      </w:r>
    </w:p>
    <w:p>
      <w:pPr>
        <w:spacing w:after="0" w:line="119" w:lineRule="exact"/>
        <w:rPr>
          <w:sz w:val="20"/>
          <w:szCs w:val="20"/>
          <w:color w:val="auto"/>
        </w:rPr>
      </w:pPr>
    </w:p>
    <w:p>
      <w:pPr>
        <w:ind w:left="460" w:right="300" w:firstLine="413"/>
        <w:spacing w:after="0" w:line="274" w:lineRule="auto"/>
        <w:rPr>
          <w:sz w:val="20"/>
          <w:szCs w:val="20"/>
          <w:color w:val="auto"/>
        </w:rPr>
      </w:pPr>
      <w:r>
        <w:rPr>
          <w:rFonts w:ascii="Arial" w:cs="Arial" w:eastAsia="Arial" w:hAnsi="Arial"/>
          <w:sz w:val="16"/>
          <w:szCs w:val="16"/>
          <w:color w:val="auto"/>
        </w:rPr>
        <w:t>The Term Facility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Term Facility. There was $275.0 million outstanding on the Term Facility at September 30, 2021.</w:t>
      </w:r>
    </w:p>
    <w:p>
      <w:pPr>
        <w:spacing w:after="0" w:line="16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Revolving Credit Facility is committed for $75.0 million and has a maturity date of September 17, 2026. There was no outstanding balance on the Revolving Credit Facility as of September 30, 2021.</w:t>
      </w:r>
    </w:p>
    <w:p>
      <w:pPr>
        <w:spacing w:after="0" w:line="165"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On September 17, 2021, DH Holdings repaid the outstanding principal balances of the 2019 Term Loan of $442.1 million and the Delayed Draw Term Loan of $17.9 million.</w:t>
      </w:r>
    </w:p>
    <w:p>
      <w:pPr>
        <w:spacing w:after="0" w:line="165" w:lineRule="exact"/>
        <w:rPr>
          <w:sz w:val="20"/>
          <w:szCs w:val="20"/>
          <w:color w:val="auto"/>
        </w:rPr>
      </w:pPr>
    </w:p>
    <w:p>
      <w:pPr>
        <w:ind w:left="460" w:right="460" w:firstLine="413"/>
        <w:spacing w:after="0" w:line="272" w:lineRule="auto"/>
        <w:rPr>
          <w:sz w:val="20"/>
          <w:szCs w:val="20"/>
          <w:color w:val="auto"/>
        </w:rPr>
      </w:pPr>
      <w:r>
        <w:rPr>
          <w:rFonts w:ascii="Arial" w:cs="Arial" w:eastAsia="Arial" w:hAnsi="Arial"/>
          <w:sz w:val="17"/>
          <w:szCs w:val="17"/>
          <w:color w:val="auto"/>
        </w:rPr>
        <w:t>DH Holdings was compliant with its financial covenants under the 2019 Credit Agreement. The financial covenants under the Senior Credit Facilities will apply to the Test Periods ending December 31, 2021 and thereafter.</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Capital Expenditures</w:t>
      </w:r>
    </w:p>
    <w:p>
      <w:pPr>
        <w:spacing w:after="0" w:line="112" w:lineRule="exact"/>
        <w:rPr>
          <w:sz w:val="20"/>
          <w:szCs w:val="20"/>
          <w:color w:val="auto"/>
        </w:rPr>
      </w:pPr>
    </w:p>
    <w:p>
      <w:pPr>
        <w:ind w:left="460" w:right="280" w:firstLine="413"/>
        <w:spacing w:after="0" w:line="340" w:lineRule="auto"/>
        <w:rPr>
          <w:sz w:val="20"/>
          <w:szCs w:val="20"/>
          <w:color w:val="auto"/>
        </w:rPr>
      </w:pPr>
      <w:r>
        <w:rPr>
          <w:rFonts w:ascii="Arial" w:cs="Arial" w:eastAsia="Arial" w:hAnsi="Arial"/>
          <w:sz w:val="15"/>
          <w:szCs w:val="15"/>
          <w:color w:val="auto"/>
        </w:rPr>
        <w:t>Capital expenditures increased by $4.6 million to $5.7 million for the nine months ended September 30, 2021 compared to $1.1 million for the same period in the prior year, primarily due to the purchases of data and expenditures related to the buildout of one of our office facilities.</w:t>
      </w:r>
    </w:p>
    <w:p>
      <w:pPr>
        <w:spacing w:after="0" w:line="119"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780"/>
          </w:cols>
          <w:pgMar w:left="320" w:top="440" w:right="79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08"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The following table sets forth certain contractual obligations, debt obligations and commitments as of September 30, 2021, and December 31, 2020,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September 30, 2021</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11"/>
          </w:tcPr>
          <w:p>
            <w:pPr>
              <w:jc w:val="right"/>
              <w:ind w:right="880"/>
              <w:spacing w:after="0"/>
              <w:rPr>
                <w:sz w:val="20"/>
                <w:szCs w:val="20"/>
                <w:color w:val="auto"/>
              </w:rPr>
            </w:pPr>
            <w:r>
              <w:rPr>
                <w:rFonts w:ascii="Arial" w:cs="Arial" w:eastAsia="Arial" w:hAnsi="Arial"/>
                <w:sz w:val="13"/>
                <w:szCs w:val="13"/>
                <w:b w:val="1"/>
                <w:bCs w:val="1"/>
                <w:color w:val="auto"/>
                <w:w w:val="98"/>
              </w:rPr>
              <w:t>Payments Due by Period</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76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960" w:type="dxa"/>
            <w:vAlign w:val="bottom"/>
            <w:gridSpan w:val="3"/>
            <w:vMerge w:val="restart"/>
          </w:tcPr>
          <w:p>
            <w:pPr>
              <w:jc w:val="right"/>
              <w:ind w:right="50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9"/>
                <w:szCs w:val="9"/>
                <w:color w:val="auto"/>
              </w:rPr>
            </w:pPr>
          </w:p>
        </w:tc>
        <w:tc>
          <w:tcPr>
            <w:tcW w:w="940" w:type="dxa"/>
            <w:vAlign w:val="bottom"/>
            <w:gridSpan w:val="6"/>
          </w:tcPr>
          <w:p>
            <w:pPr>
              <w:spacing w:after="0" w:line="112" w:lineRule="exact"/>
              <w:rPr>
                <w:sz w:val="20"/>
                <w:szCs w:val="20"/>
                <w:color w:val="auto"/>
              </w:rPr>
            </w:pPr>
            <w:r>
              <w:rPr>
                <w:rFonts w:ascii="Arial" w:cs="Arial" w:eastAsia="Arial" w:hAnsi="Arial"/>
                <w:sz w:val="12"/>
                <w:szCs w:val="12"/>
                <w:b w:val="1"/>
                <w:bCs w:val="1"/>
                <w:color w:val="auto"/>
              </w:rPr>
              <w:t>Less Than</w:t>
            </w:r>
          </w:p>
        </w:tc>
        <w:tc>
          <w:tcPr>
            <w:tcW w:w="20" w:type="dxa"/>
            <w:vAlign w:val="bottom"/>
          </w:tcPr>
          <w:p>
            <w:pPr>
              <w:spacing w:after="0"/>
              <w:rPr>
                <w:sz w:val="9"/>
                <w:szCs w:val="9"/>
                <w:color w:val="auto"/>
              </w:rPr>
            </w:pPr>
          </w:p>
        </w:tc>
        <w:tc>
          <w:tcPr>
            <w:tcW w:w="900" w:type="dxa"/>
            <w:vAlign w:val="bottom"/>
            <w:gridSpan w:val="4"/>
            <w:vMerge w:val="restart"/>
          </w:tcPr>
          <w:p>
            <w:pPr>
              <w:jc w:val="right"/>
              <w:ind w:right="360"/>
              <w:spacing w:after="0"/>
              <w:rPr>
                <w:sz w:val="20"/>
                <w:szCs w:val="20"/>
                <w:color w:val="auto"/>
              </w:rPr>
            </w:pPr>
            <w:r>
              <w:rPr>
                <w:rFonts w:ascii="Arial" w:cs="Arial" w:eastAsia="Arial" w:hAnsi="Arial"/>
                <w:sz w:val="13"/>
                <w:szCs w:val="13"/>
                <w:b w:val="1"/>
                <w:bCs w:val="1"/>
                <w:color w:val="auto"/>
                <w:w w:val="89"/>
              </w:rPr>
              <w:t>1-3 Years</w:t>
            </w:r>
          </w:p>
        </w:tc>
        <w:tc>
          <w:tcPr>
            <w:tcW w:w="98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w w:val="96"/>
              </w:rPr>
              <w:t>3-5 Years</w:t>
            </w:r>
          </w:p>
        </w:tc>
        <w:tc>
          <w:tcPr>
            <w:tcW w:w="20" w:type="dxa"/>
            <w:vAlign w:val="bottom"/>
          </w:tcPr>
          <w:p>
            <w:pPr>
              <w:spacing w:after="0"/>
              <w:rPr>
                <w:sz w:val="9"/>
                <w:szCs w:val="9"/>
                <w:color w:val="auto"/>
              </w:rPr>
            </w:pPr>
          </w:p>
        </w:tc>
        <w:tc>
          <w:tcPr>
            <w:tcW w:w="660" w:type="dxa"/>
            <w:vAlign w:val="bottom"/>
            <w:gridSpan w:val="2"/>
          </w:tcPr>
          <w:p>
            <w:pPr>
              <w:spacing w:after="0" w:line="112"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76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6"/>
          </w:tcPr>
          <w:p>
            <w:pPr>
              <w:jc w:val="right"/>
              <w:ind w:right="313"/>
              <w:spacing w:after="0" w:line="147" w:lineRule="exact"/>
              <w:rPr>
                <w:sz w:val="20"/>
                <w:szCs w:val="20"/>
                <w:color w:val="auto"/>
              </w:rPr>
            </w:pPr>
            <w:r>
              <w:rPr>
                <w:rFonts w:ascii="Arial" w:cs="Arial" w:eastAsia="Arial" w:hAnsi="Arial"/>
                <w:sz w:val="13"/>
                <w:szCs w:val="13"/>
                <w:b w:val="1"/>
                <w:bCs w:val="1"/>
                <w:color w:val="auto"/>
                <w:w w:val="94"/>
              </w:rPr>
              <w:t>One Year</w:t>
            </w:r>
          </w:p>
        </w:tc>
        <w:tc>
          <w:tcPr>
            <w:tcW w:w="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Five Years</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60" w:type="dxa"/>
            <w:vAlign w:val="bottom"/>
            <w:gridSpan w:val="3"/>
            <w:shd w:val="clear" w:color="auto" w:fill="CCEEFF"/>
          </w:tcPr>
          <w:p>
            <w:pPr>
              <w:spacing w:after="0" w:line="188" w:lineRule="exact"/>
              <w:rPr>
                <w:sz w:val="20"/>
                <w:szCs w:val="20"/>
                <w:color w:val="auto"/>
              </w:rPr>
            </w:pPr>
            <w:r>
              <w:rPr>
                <w:rFonts w:ascii="Arial" w:cs="Arial" w:eastAsia="Arial" w:hAnsi="Arial"/>
                <w:sz w:val="17"/>
                <w:szCs w:val="17"/>
                <w:color w:val="auto"/>
              </w:rPr>
              <w:t>Long-term Debt Obligations</w:t>
            </w:r>
          </w:p>
        </w:tc>
        <w:tc>
          <w:tcPr>
            <w:tcW w:w="6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w w:val="87"/>
              </w:rPr>
              <w:t>$275,000</w:t>
            </w: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spacing w:after="0" w:line="188" w:lineRule="exact"/>
              <w:rPr>
                <w:sz w:val="20"/>
                <w:szCs w:val="20"/>
                <w:color w:val="auto"/>
              </w:rPr>
            </w:pPr>
            <w:r>
              <w:rPr>
                <w:rFonts w:ascii="Arial" w:cs="Arial" w:eastAsia="Arial" w:hAnsi="Arial"/>
                <w:sz w:val="17"/>
                <w:szCs w:val="17"/>
                <w:color w:val="auto"/>
              </w:rPr>
              <w:t>6,875</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w w:val="84"/>
              </w:rPr>
              <w:t>$20,625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w w:val="87"/>
              </w:rPr>
              <w:t>$247,500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gridSpan w:val="3"/>
          </w:tcPr>
          <w:p>
            <w:pPr>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960" w:type="dxa"/>
            <w:vAlign w:val="bottom"/>
            <w:gridSpan w:val="3"/>
          </w:tcPr>
          <w:p>
            <w:pPr>
              <w:jc w:val="right"/>
              <w:ind w:right="320"/>
              <w:spacing w:after="0"/>
              <w:rPr>
                <w:sz w:val="20"/>
                <w:szCs w:val="20"/>
                <w:color w:val="auto"/>
              </w:rPr>
            </w:pPr>
            <w:r>
              <w:rPr>
                <w:rFonts w:ascii="Arial" w:cs="Arial" w:eastAsia="Arial" w:hAnsi="Arial"/>
                <w:sz w:val="17"/>
                <w:szCs w:val="17"/>
                <w:color w:val="auto"/>
              </w:rPr>
              <w:t>17,171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3,100</w:t>
            </w:r>
          </w:p>
        </w:tc>
        <w:tc>
          <w:tcPr>
            <w:tcW w:w="3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4,359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4,358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5,354</w:t>
            </w:r>
          </w:p>
        </w:tc>
        <w:tc>
          <w:tcPr>
            <w:tcW w:w="0" w:type="dxa"/>
            <w:vAlign w:val="bottom"/>
          </w:tcPr>
          <w:p>
            <w:pPr>
              <w:spacing w:after="0"/>
              <w:rPr>
                <w:sz w:val="1"/>
                <w:szCs w:val="1"/>
                <w:color w:val="auto"/>
              </w:rPr>
            </w:pPr>
          </w:p>
        </w:tc>
      </w:tr>
      <w:tr>
        <w:trPr>
          <w:trHeight w:val="203"/>
        </w:trPr>
        <w:tc>
          <w:tcPr>
            <w:tcW w:w="5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4"/>
                <w:szCs w:val="14"/>
                <w:color w:val="auto"/>
              </w:rPr>
              <w:t>(2)</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22,426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5,672</w:t>
            </w:r>
          </w:p>
        </w:tc>
        <w:tc>
          <w:tcPr>
            <w:tcW w:w="34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12,328</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4,426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spacing w:after="0"/>
              <w:rPr>
                <w:sz w:val="20"/>
                <w:szCs w:val="20"/>
                <w:color w:val="auto"/>
              </w:rPr>
            </w:pPr>
            <w:r>
              <w:rPr>
                <w:rFonts w:ascii="Arial" w:cs="Arial" w:eastAsia="Arial" w:hAnsi="Arial"/>
                <w:sz w:val="17"/>
                <w:szCs w:val="17"/>
                <w:color w:val="auto"/>
              </w:rPr>
              <w:t>Total</w:t>
            </w: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gridSpan w:val="3"/>
            <w:vMerge w:val="continue"/>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314,597</w:t>
            </w:r>
          </w:p>
        </w:tc>
        <w:tc>
          <w:tcPr>
            <w:tcW w:w="980" w:type="dxa"/>
            <w:vAlign w:val="bottom"/>
            <w:gridSpan w:val="7"/>
          </w:tcPr>
          <w:p>
            <w:pPr>
              <w:jc w:val="right"/>
              <w:ind w:right="273"/>
              <w:spacing w:after="0"/>
              <w:rPr>
                <w:sz w:val="20"/>
                <w:szCs w:val="20"/>
                <w:color w:val="auto"/>
              </w:rPr>
            </w:pPr>
            <w:r>
              <w:rPr>
                <w:rFonts w:ascii="Arial" w:cs="Arial" w:eastAsia="Arial" w:hAnsi="Arial"/>
                <w:sz w:val="17"/>
                <w:szCs w:val="17"/>
                <w:color w:val="auto"/>
                <w:w w:val="93"/>
              </w:rPr>
              <w:t>$ 15,647</w:t>
            </w:r>
          </w:p>
        </w:tc>
        <w:tc>
          <w:tcPr>
            <w:tcW w:w="820" w:type="dxa"/>
            <w:vAlign w:val="bottom"/>
            <w:gridSpan w:val="4"/>
          </w:tcPr>
          <w:p>
            <w:pPr>
              <w:jc w:val="right"/>
              <w:ind w:right="26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37,312</w:t>
            </w: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256,284</w:t>
            </w:r>
          </w:p>
        </w:tc>
        <w:tc>
          <w:tcPr>
            <w:tcW w:w="26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5,354</w:t>
            </w: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spacing w:after="0"/>
              <w:rPr>
                <w:sz w:val="20"/>
                <w:szCs w:val="20"/>
                <w:color w:val="auto"/>
              </w:rPr>
            </w:pPr>
            <w:r>
              <w:rPr>
                <w:rFonts w:ascii="Arial" w:cs="Arial" w:eastAsia="Arial" w:hAnsi="Arial"/>
                <w:sz w:val="17"/>
                <w:szCs w:val="17"/>
                <w:color w:val="auto"/>
              </w:rPr>
              <w:t>At December 31, 2020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7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3"/>
                <w:szCs w:val="13"/>
                <w:b w:val="1"/>
                <w:bCs w:val="1"/>
                <w:color w:val="auto"/>
              </w:rPr>
              <w:t>Payments Due by Period</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76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420" w:type="dxa"/>
            <w:vAlign w:val="bottom"/>
          </w:tcPr>
          <w:p>
            <w:pPr>
              <w:spacing w:after="0"/>
              <w:rPr>
                <w:sz w:val="9"/>
                <w:szCs w:val="9"/>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3"/>
          </w:tcPr>
          <w:p>
            <w:pPr>
              <w:ind w:left="20"/>
              <w:spacing w:after="0" w:line="112" w:lineRule="exact"/>
              <w:rPr>
                <w:sz w:val="20"/>
                <w:szCs w:val="20"/>
                <w:color w:val="auto"/>
              </w:rPr>
            </w:pPr>
            <w:r>
              <w:rPr>
                <w:rFonts w:ascii="Arial" w:cs="Arial" w:eastAsia="Arial" w:hAnsi="Arial"/>
                <w:sz w:val="12"/>
                <w:szCs w:val="12"/>
                <w:b w:val="1"/>
                <w:bCs w:val="1"/>
                <w:color w:val="auto"/>
                <w:w w:val="97"/>
              </w:rPr>
              <w:t>Less Than</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89"/>
              </w:rPr>
              <w:t>1-3 Years</w:t>
            </w:r>
          </w:p>
        </w:tc>
        <w:tc>
          <w:tcPr>
            <w:tcW w:w="160" w:type="dxa"/>
            <w:vAlign w:val="bottom"/>
          </w:tcPr>
          <w:p>
            <w:pPr>
              <w:spacing w:after="0"/>
              <w:rPr>
                <w:sz w:val="9"/>
                <w:szCs w:val="9"/>
                <w:color w:val="auto"/>
              </w:rPr>
            </w:pP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w w:val="89"/>
              </w:rPr>
              <w:t>3-5 Years</w:t>
            </w:r>
          </w:p>
        </w:tc>
        <w:tc>
          <w:tcPr>
            <w:tcW w:w="680" w:type="dxa"/>
            <w:vAlign w:val="bottom"/>
            <w:gridSpan w:val="3"/>
          </w:tcPr>
          <w:p>
            <w:pPr>
              <w:spacing w:after="0" w:line="112"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7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b w:val="1"/>
                <w:bCs w:val="1"/>
                <w:color w:val="auto"/>
                <w:w w:val="98"/>
              </w:rPr>
              <w:t>One Year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Five Years</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60" w:type="dxa"/>
            <w:vAlign w:val="bottom"/>
            <w:gridSpan w:val="3"/>
            <w:shd w:val="clear" w:color="auto" w:fill="CCEEFF"/>
          </w:tcPr>
          <w:p>
            <w:pPr>
              <w:spacing w:after="0" w:line="188" w:lineRule="exact"/>
              <w:rPr>
                <w:sz w:val="20"/>
                <w:szCs w:val="20"/>
                <w:color w:val="auto"/>
              </w:rPr>
            </w:pPr>
            <w:r>
              <w:rPr>
                <w:rFonts w:ascii="Arial" w:cs="Arial" w:eastAsia="Arial" w:hAnsi="Arial"/>
                <w:sz w:val="17"/>
                <w:szCs w:val="17"/>
                <w:color w:val="auto"/>
              </w:rPr>
              <w:t>Long-term Debt Obligations</w:t>
            </w:r>
          </w:p>
        </w:tc>
        <w:tc>
          <w:tcPr>
            <w:tcW w:w="42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7"/>
                <w:szCs w:val="17"/>
                <w:color w:val="auto"/>
                <w:w w:val="90"/>
              </w:rPr>
              <w:t>$472,742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4,680</w:t>
            </w:r>
          </w:p>
        </w:tc>
        <w:tc>
          <w:tcPr>
            <w:tcW w:w="260" w:type="dxa"/>
            <w:vAlign w:val="bottom"/>
            <w:gridSpan w:val="2"/>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w w:val="95"/>
              </w:rPr>
              <w:t>$ 9,360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w w:val="95"/>
              </w:rPr>
              <w:t>$ 9,360</w:t>
            </w:r>
          </w:p>
        </w:tc>
        <w:tc>
          <w:tcPr>
            <w:tcW w:w="2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3"/>
            <w:shd w:val="clear" w:color="auto" w:fill="CCEEFF"/>
          </w:tcPr>
          <w:p>
            <w:pPr>
              <w:spacing w:after="0" w:line="188" w:lineRule="exact"/>
              <w:rPr>
                <w:sz w:val="20"/>
                <w:szCs w:val="20"/>
                <w:color w:val="auto"/>
              </w:rPr>
            </w:pPr>
            <w:r>
              <w:rPr>
                <w:rFonts w:ascii="Arial" w:cs="Arial" w:eastAsia="Arial" w:hAnsi="Arial"/>
                <w:sz w:val="17"/>
                <w:szCs w:val="17"/>
                <w:color w:val="auto"/>
                <w:w w:val="84"/>
              </w:rPr>
              <w:t>$ 449,342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gridSpan w:val="3"/>
          </w:tcPr>
          <w:p>
            <w:pPr>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1080" w:type="dxa"/>
            <w:vAlign w:val="bottom"/>
            <w:gridSpan w:val="5"/>
          </w:tcPr>
          <w:p>
            <w:pPr>
              <w:jc w:val="right"/>
              <w:spacing w:after="0"/>
              <w:rPr>
                <w:sz w:val="20"/>
                <w:szCs w:val="20"/>
                <w:color w:val="auto"/>
              </w:rPr>
            </w:pPr>
            <w:r>
              <w:rPr>
                <w:rFonts w:ascii="Arial" w:cs="Arial" w:eastAsia="Arial" w:hAnsi="Arial"/>
                <w:sz w:val="17"/>
                <w:szCs w:val="17"/>
                <w:color w:val="auto"/>
              </w:rPr>
              <w:t>17,072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3,035</w:t>
            </w:r>
          </w:p>
        </w:tc>
        <w:tc>
          <w:tcPr>
            <w:tcW w:w="920" w:type="dxa"/>
            <w:vAlign w:val="bottom"/>
            <w:gridSpan w:val="5"/>
          </w:tcPr>
          <w:p>
            <w:pPr>
              <w:jc w:val="right"/>
              <w:ind w:right="100"/>
              <w:spacing w:after="0"/>
              <w:rPr>
                <w:sz w:val="20"/>
                <w:szCs w:val="20"/>
                <w:color w:val="auto"/>
              </w:rPr>
            </w:pPr>
            <w:r>
              <w:rPr>
                <w:rFonts w:ascii="Arial" w:cs="Arial" w:eastAsia="Arial" w:hAnsi="Arial"/>
                <w:sz w:val="17"/>
                <w:szCs w:val="17"/>
                <w:color w:val="auto"/>
              </w:rPr>
              <w:t>4,716</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4,531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4"/>
                <w:szCs w:val="14"/>
                <w:color w:val="auto"/>
              </w:rPr>
              <w:t>(2)</w:t>
            </w:r>
          </w:p>
        </w:tc>
        <w:tc>
          <w:tcPr>
            <w:tcW w:w="420" w:type="dxa"/>
            <w:vAlign w:val="bottom"/>
            <w:shd w:val="clear" w:color="auto" w:fill="CCEEFF"/>
          </w:tcPr>
          <w:p>
            <w:pPr>
              <w:spacing w:after="0"/>
              <w:rPr>
                <w:sz w:val="17"/>
                <w:szCs w:val="17"/>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22,046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5,396</w:t>
            </w:r>
          </w:p>
        </w:tc>
        <w:tc>
          <w:tcPr>
            <w:tcW w:w="260" w:type="dxa"/>
            <w:vAlign w:val="bottom"/>
            <w:gridSpan w:val="2"/>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10,355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6,295</w:t>
            </w:r>
          </w:p>
        </w:tc>
        <w:tc>
          <w:tcPr>
            <w:tcW w:w="2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60" w:type="dxa"/>
            <w:vAlign w:val="bottom"/>
            <w:gridSpan w:val="3"/>
          </w:tcPr>
          <w:p>
            <w:pPr>
              <w:spacing w:after="0"/>
              <w:rPr>
                <w:sz w:val="20"/>
                <w:szCs w:val="20"/>
                <w:color w:val="auto"/>
              </w:rPr>
            </w:pPr>
            <w:r>
              <w:rPr>
                <w:rFonts w:ascii="Arial" w:cs="Arial" w:eastAsia="Arial" w:hAnsi="Arial"/>
                <w:sz w:val="17"/>
                <w:szCs w:val="17"/>
                <w:color w:val="auto"/>
              </w:rPr>
              <w:t>Total</w:t>
            </w:r>
          </w:p>
        </w:tc>
        <w:tc>
          <w:tcPr>
            <w:tcW w:w="1080" w:type="dxa"/>
            <w:vAlign w:val="bottom"/>
            <w:gridSpan w:val="5"/>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511,860</w:t>
            </w:r>
          </w:p>
        </w:tc>
        <w:tc>
          <w:tcPr>
            <w:tcW w:w="6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13,111</w:t>
            </w:r>
          </w:p>
        </w:tc>
        <w:tc>
          <w:tcPr>
            <w:tcW w:w="920" w:type="dxa"/>
            <w:vAlign w:val="bottom"/>
            <w:gridSpan w:val="5"/>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24,431</w:t>
            </w:r>
          </w:p>
        </w:tc>
        <w:tc>
          <w:tcPr>
            <w:tcW w:w="980" w:type="dxa"/>
            <w:vAlign w:val="bottom"/>
            <w:gridSpan w:val="4"/>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20,186</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w w:val="84"/>
              </w:rPr>
              <w:t>$ 454,132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60" w:right="540" w:hanging="403"/>
        <w:spacing w:after="0" w:line="290" w:lineRule="auto"/>
        <w:tabs>
          <w:tab w:leader="none" w:pos="8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860" w:hanging="403"/>
        <w:spacing w:after="0"/>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Minimum purchase obligations are legally binding agreements entered into in the normal course of business.</w:t>
      </w:r>
    </w:p>
    <w:p>
      <w:pPr>
        <w:spacing w:after="0" w:line="198"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Other contractual obligations recorded on the balance sheet include the Monocl acquisition earn-out liability of $6.9 million and $5.2 million as of September 30, 2021 and December 31, 2020, respectively. The Company had the potential to make a maximum of $10.0 million and a minimum of $0.0 million (undiscounted) in earn-out payments at September 30, 2021. In April 2021, a first payment of $1.5 million was made. Assuming the achievement of the applicable performance criteria, the second and last earn-out payment of $10 million or less will be made in April 2022.</w:t>
      </w:r>
    </w:p>
    <w:p>
      <w:pPr>
        <w:spacing w:after="0" w:line="148" w:lineRule="exact"/>
        <w:rPr>
          <w:sz w:val="20"/>
          <w:szCs w:val="20"/>
          <w:color w:val="auto"/>
        </w:rPr>
      </w:pPr>
    </w:p>
    <w:p>
      <w:pPr>
        <w:jc w:val="both"/>
        <w:ind w:left="460" w:right="520" w:firstLine="413"/>
        <w:spacing w:after="0" w:line="284" w:lineRule="auto"/>
        <w:rPr>
          <w:sz w:val="20"/>
          <w:szCs w:val="20"/>
          <w:color w:val="auto"/>
        </w:rPr>
      </w:pPr>
      <w:r>
        <w:rPr>
          <w:rFonts w:ascii="Arial" w:cs="Arial" w:eastAsia="Arial" w:hAnsi="Arial"/>
          <w:sz w:val="16"/>
          <w:szCs w:val="16"/>
          <w:color w:val="auto"/>
        </w:rPr>
        <w:t>The payments we may be required to make under the Tax Receivable Agreement may be significant and are not reflected in the contractual obligations tables set forth above, as we are currently unable to estimate the amounts and timing of the payments that may be due thereunder. See “Prospectus Summary—Organizational Structure—Holding Company Structure and the Tax Receivable Agreement.”</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September 30, 2021 and December 31, 2020, we had no off-balance sheet arrangements.</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2"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800"/>
          </w:cols>
          <w:pgMar w:left="320" w:top="440" w:right="77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72" w:lineRule="auto"/>
        <w:rPr>
          <w:sz w:val="20"/>
          <w:szCs w:val="20"/>
          <w:color w:val="auto"/>
        </w:rPr>
      </w:pPr>
      <w:r>
        <w:rPr>
          <w:rFonts w:ascii="Arial" w:cs="Arial" w:eastAsia="Arial" w:hAnsi="Arial"/>
          <w:sz w:val="16"/>
          <w:szCs w:val="16"/>
          <w:color w:val="auto"/>
        </w:rPr>
        <w:t>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67"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8" w:lineRule="exact"/>
        <w:rPr>
          <w:sz w:val="20"/>
          <w:szCs w:val="20"/>
          <w:color w:val="auto"/>
        </w:rPr>
      </w:pPr>
    </w:p>
    <w:p>
      <w:pPr>
        <w:ind w:left="460" w:firstLine="413"/>
        <w:spacing w:after="0" w:line="311" w:lineRule="auto"/>
        <w:rPr>
          <w:sz w:val="20"/>
          <w:szCs w:val="20"/>
          <w:color w:val="auto"/>
        </w:rPr>
      </w:pPr>
      <w:r>
        <w:rPr>
          <w:rFonts w:ascii="Arial" w:cs="Arial" w:eastAsia="Arial" w:hAnsi="Arial"/>
          <w:sz w:val="15"/>
          <w:szCs w:val="15"/>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0"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We recognize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5"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75" w:lineRule="exact"/>
        <w:rPr>
          <w:sz w:val="20"/>
          <w:szCs w:val="20"/>
          <w:color w:val="auto"/>
        </w:rPr>
      </w:pPr>
    </w:p>
    <w:p>
      <w:pPr>
        <w:ind w:left="460" w:right="240" w:firstLine="413"/>
        <w:spacing w:after="0" w:line="256" w:lineRule="auto"/>
        <w:rPr>
          <w:sz w:val="20"/>
          <w:szCs w:val="20"/>
          <w:color w:val="auto"/>
        </w:rPr>
      </w:pPr>
      <w:r>
        <w:rPr>
          <w:rFonts w:ascii="Arial" w:cs="Arial" w:eastAsia="Arial" w:hAnsi="Arial"/>
          <w:sz w:val="17"/>
          <w:szCs w:val="17"/>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79"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79"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w:t>
      </w:r>
    </w:p>
    <w:p>
      <w:pPr>
        <w:spacing w:after="0" w:line="11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760"/>
          </w:cols>
          <w:pgMar w:left="320" w:top="440" w:right="81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80"/>
        <w:spacing w:after="0" w:line="256" w:lineRule="auto"/>
        <w:rPr>
          <w:sz w:val="20"/>
          <w:szCs w:val="20"/>
          <w:color w:val="auto"/>
        </w:rPr>
      </w:pPr>
      <w:r>
        <w:rPr>
          <w:rFonts w:ascii="Arial" w:cs="Arial" w:eastAsia="Arial" w:hAnsi="Arial"/>
          <w:sz w:val="17"/>
          <w:szCs w:val="17"/>
          <w:color w:val="auto"/>
        </w:rPr>
        <w:t>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79"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w:t>
      </w:r>
    </w:p>
    <w:p>
      <w:pPr>
        <w:spacing w:after="0" w:line="181"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The Company historically has not experienced any significant incidents that affected the defined levels of reliability and performance as required by the contracts.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40" w:firstLine="413"/>
        <w:spacing w:after="0" w:line="289" w:lineRule="auto"/>
        <w:rPr>
          <w:sz w:val="20"/>
          <w:szCs w:val="20"/>
          <w:color w:val="auto"/>
        </w:rPr>
      </w:pPr>
      <w:r>
        <w:rPr>
          <w:rFonts w:ascii="Arial" w:cs="Arial" w:eastAsia="Arial" w:hAnsi="Arial"/>
          <w:sz w:val="15"/>
          <w:szCs w:val="15"/>
          <w:color w:val="auto"/>
        </w:rPr>
        <w:t>We account for business combinations using the acquisition method in accordance with ASC 805—</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7"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1"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64"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780"/>
          </w:cols>
          <w:pgMar w:left="320" w:top="440" w:right="79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Goodwill</w:t>
      </w:r>
    </w:p>
    <w:p>
      <w:pPr>
        <w:spacing w:after="0" w:line="108" w:lineRule="exact"/>
        <w:rPr>
          <w:sz w:val="20"/>
          <w:szCs w:val="20"/>
          <w:color w:val="auto"/>
        </w:rPr>
      </w:pPr>
    </w:p>
    <w:p>
      <w:pPr>
        <w:ind w:left="460" w:right="40" w:firstLine="413"/>
        <w:spacing w:after="0" w:line="251" w:lineRule="auto"/>
        <w:rPr>
          <w:sz w:val="20"/>
          <w:szCs w:val="20"/>
          <w:color w:val="auto"/>
        </w:rPr>
      </w:pPr>
      <w:r>
        <w:rPr>
          <w:rFonts w:ascii="Arial" w:cs="Arial" w:eastAsia="Arial" w:hAnsi="Arial"/>
          <w:sz w:val="17"/>
          <w:szCs w:val="17"/>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08" w:lineRule="exact"/>
        <w:rPr>
          <w:sz w:val="20"/>
          <w:szCs w:val="20"/>
          <w:color w:val="auto"/>
        </w:rPr>
      </w:pPr>
    </w:p>
    <w:p>
      <w:pPr>
        <w:ind w:left="460" w:right="160" w:firstLine="413"/>
        <w:spacing w:after="0" w:line="311" w:lineRule="auto"/>
        <w:rPr>
          <w:sz w:val="20"/>
          <w:szCs w:val="20"/>
          <w:color w:val="auto"/>
        </w:rPr>
      </w:pPr>
      <w:r>
        <w:rPr>
          <w:rFonts w:ascii="Arial" w:cs="Arial" w:eastAsia="Arial" w:hAnsi="Arial"/>
          <w:sz w:val="15"/>
          <w:szCs w:val="15"/>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0" w:lineRule="exact"/>
        <w:rPr>
          <w:sz w:val="20"/>
          <w:szCs w:val="20"/>
          <w:color w:val="auto"/>
        </w:rPr>
      </w:pPr>
    </w:p>
    <w:p>
      <w:pPr>
        <w:ind w:left="460" w:right="20" w:firstLine="413"/>
        <w:spacing w:after="0" w:line="289"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which is required to be applied prospectively for fiscal years beginning after December 15, 2019 and interim periods within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years beginning after December 15, 2020, with early adoption permitted, and aligns most of the guidance on share- based payments to nonemployees with share-based payments to employees. Effective January 1, 2020, we adopted the guidance in its 2020 consolidated financial statements with no impact. We account for these profit interest units in accordance with ASC 718—</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57" w:lineRule="exact"/>
        <w:rPr>
          <w:sz w:val="20"/>
          <w:szCs w:val="20"/>
          <w:color w:val="auto"/>
        </w:rPr>
      </w:pPr>
    </w:p>
    <w:p>
      <w:pPr>
        <w:ind w:left="460" w:right="160" w:firstLine="413"/>
        <w:spacing w:after="0" w:line="293" w:lineRule="auto"/>
        <w:rPr>
          <w:sz w:val="20"/>
          <w:szCs w:val="20"/>
          <w:color w:val="auto"/>
        </w:rPr>
      </w:pPr>
      <w:r>
        <w:rPr>
          <w:rFonts w:ascii="Arial" w:cs="Arial" w:eastAsia="Arial" w:hAnsi="Arial"/>
          <w:sz w:val="15"/>
          <w:szCs w:val="15"/>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9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780"/>
          </w:cols>
          <w:pgMar w:left="320" w:top="440" w:right="79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nine months ended September 30, 2021, or the tax years ended December 31, 2020 and 2019, nor was it subject to state income taxes in certain jurisdictions for the tax years ended December 31, 2020 and 2019.</w:t>
      </w:r>
    </w:p>
    <w:p>
      <w:pPr>
        <w:spacing w:after="0" w:line="182"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72" w:lineRule="exact"/>
        <w:rPr>
          <w:sz w:val="20"/>
          <w:szCs w:val="20"/>
          <w:color w:val="auto"/>
        </w:rPr>
      </w:pPr>
    </w:p>
    <w:p>
      <w:pPr>
        <w:ind w:left="460" w:right="340" w:firstLine="413"/>
        <w:spacing w:after="0" w:line="274" w:lineRule="auto"/>
        <w:rPr>
          <w:sz w:val="20"/>
          <w:szCs w:val="20"/>
          <w:color w:val="auto"/>
        </w:rPr>
      </w:pPr>
      <w:r>
        <w:rPr>
          <w:rFonts w:ascii="Arial" w:cs="Arial" w:eastAsia="Arial" w:hAnsi="Arial"/>
          <w:sz w:val="16"/>
          <w:szCs w:val="16"/>
          <w:color w:val="auto"/>
        </w:rPr>
        <w:t>Definitive Healthcare Corp. is subject to U.S. federal, state and local income taxes with respect to its allocable share of any taxable income of Definitive OpCo and will be taxed at the prevailing corporate tax rates. In addition to tax expenses, we will also make payments under the Tax Receivable Agreement, which we expect to be significant. We anticipate that we will account for the income tax effects and corresponding Tax Receivable Agreement’s effects resulting from future taxable exchanges of LLC Units of Unitholders by us or Definitive OpCo by recognizing an increase in our deferred tax assets, based on enacted tax rates at the date of the purchase or exchange.</w:t>
      </w:r>
    </w:p>
    <w:p>
      <w:pPr>
        <w:spacing w:after="0" w:line="165"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57" w:lineRule="exact"/>
        <w:rPr>
          <w:sz w:val="20"/>
          <w:szCs w:val="20"/>
          <w:color w:val="auto"/>
        </w:rPr>
      </w:pPr>
    </w:p>
    <w:p>
      <w:pPr>
        <w:jc w:val="both"/>
        <w:ind w:left="460" w:right="100" w:firstLine="413"/>
        <w:spacing w:after="0" w:line="256"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Income Taxes</w:t>
      </w:r>
      <w:r>
        <w:rPr>
          <w:rFonts w:ascii="Arial" w:cs="Arial" w:eastAsia="Arial" w:hAnsi="Arial"/>
          <w:sz w:val="17"/>
          <w:szCs w:val="17"/>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JOBS Act Accounting Election</w:t>
      </w:r>
    </w:p>
    <w:p>
      <w:pPr>
        <w:spacing w:after="0" w:line="108"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780"/>
          </w:cols>
          <w:pgMar w:left="320" w:top="440" w:right="7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0"/>
        <w:spacing w:after="0" w:line="256" w:lineRule="auto"/>
        <w:rPr>
          <w:sz w:val="20"/>
          <w:szCs w:val="20"/>
          <w:color w:val="auto"/>
        </w:rPr>
      </w:pPr>
      <w:r>
        <w:rPr>
          <w:rFonts w:ascii="Arial" w:cs="Arial" w:eastAsia="Arial" w:hAnsi="Arial"/>
          <w:sz w:val="17"/>
          <w:szCs w:val="17"/>
          <w:color w:val="auto"/>
        </w:rPr>
        <w:t>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08"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For a summary of recent accounting pronouncements applicable to our consolidated financial statements, see Note 2 to our historical consolidated financial statements included elsewhere in this prospectus.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12" w:lineRule="exact"/>
        <w:rPr>
          <w:sz w:val="20"/>
          <w:szCs w:val="20"/>
          <w:color w:val="auto"/>
        </w:rPr>
      </w:pPr>
    </w:p>
    <w:p>
      <w:pPr>
        <w:ind w:left="460" w:right="300" w:firstLine="413"/>
        <w:spacing w:after="0" w:line="303" w:lineRule="auto"/>
        <w:rPr>
          <w:sz w:val="20"/>
          <w:szCs w:val="20"/>
          <w:color w:val="auto"/>
        </w:rPr>
      </w:pPr>
      <w:r>
        <w:rPr>
          <w:rFonts w:ascii="Arial" w:cs="Arial" w:eastAsia="Arial" w:hAnsi="Arial"/>
          <w:sz w:val="16"/>
          <w:szCs w:val="16"/>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08"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Our cash, cash equivalents, and marketable securities primarily consist of cash on hand and highly liquid investments in money market funds and U.S. government securities. As of September 30, 2021 and December 31, 2020 we had cash and cash equivalents of $189.7 million and $24.8 million, respectively.</w:t>
      </w:r>
    </w:p>
    <w:p>
      <w:pPr>
        <w:spacing w:after="0" w:line="175"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Our operating results are subject to market risk from interest rate fluctuations on our Term Loans, which bears a variable interest rate based on the Eurodollar Rate. As of December 31, 2020, the total principal balance outstanding was $472.7 million. At September 30, 2021, the total principal balance outstanding was $275 million. A hypothetical 1.0% increase or decrease in the interest rate associated with borrowings under the Credit Agreement would have resulted in a $4.8 million impact to interest expense for the year ended December 31, 2020, and a $4.2 million impact for the nine months ended September 30, 2021.</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08"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108"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780"/>
          </w:cols>
          <w:pgMar w:left="320" w:top="440" w:right="79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Credit Risk</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1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740"/>
          </w:cols>
          <w:pgMar w:left="320" w:top="440" w:right="8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BUSINESS</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Mission</w:t>
      </w:r>
    </w:p>
    <w:p>
      <w:pPr>
        <w:spacing w:after="0" w:line="112"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112" w:lineRule="exact"/>
        <w:rPr>
          <w:sz w:val="20"/>
          <w:szCs w:val="20"/>
          <w:color w:val="auto"/>
        </w:rPr>
      </w:pPr>
    </w:p>
    <w:p>
      <w:pPr>
        <w:jc w:val="both"/>
        <w:ind w:left="460" w:right="40" w:firstLine="413"/>
        <w:spacing w:after="0" w:line="256"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2,700 customers as of September 30, 2021.</w:t>
      </w:r>
    </w:p>
    <w:p>
      <w:pPr>
        <w:spacing w:after="0" w:line="179" w:lineRule="exact"/>
        <w:rPr>
          <w:sz w:val="20"/>
          <w:szCs w:val="20"/>
          <w:color w:val="auto"/>
        </w:rPr>
      </w:pPr>
    </w:p>
    <w:p>
      <w:pPr>
        <w:ind w:left="460" w:right="40" w:firstLine="413"/>
        <w:spacing w:after="0" w:line="293" w:lineRule="auto"/>
        <w:rPr>
          <w:sz w:val="20"/>
          <w:szCs w:val="20"/>
          <w:color w:val="auto"/>
        </w:rPr>
      </w:pPr>
      <w:r>
        <w:rPr>
          <w:rFonts w:ascii="Arial" w:cs="Arial" w:eastAsia="Arial" w:hAnsi="Arial"/>
          <w:sz w:val="15"/>
          <w:szCs w:val="15"/>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55" w:lineRule="exact"/>
        <w:rPr>
          <w:sz w:val="20"/>
          <w:szCs w:val="20"/>
          <w:color w:val="auto"/>
        </w:rPr>
      </w:pPr>
    </w:p>
    <w:p>
      <w:pPr>
        <w:ind w:left="460" w:right="180" w:firstLine="413"/>
        <w:spacing w:after="0" w:line="277" w:lineRule="auto"/>
        <w:rPr>
          <w:sz w:val="20"/>
          <w:szCs w:val="20"/>
          <w:color w:val="auto"/>
        </w:rPr>
      </w:pPr>
      <w:r>
        <w:rPr>
          <w:rFonts w:ascii="Arial" w:cs="Arial" w:eastAsia="Arial" w:hAnsi="Arial"/>
          <w:sz w:val="16"/>
          <w:szCs w:val="16"/>
          <w:color w:val="auto"/>
        </w:rPr>
        <w:t>Our customers include Life Sciences companies,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1" w:lineRule="exact"/>
        <w:rPr>
          <w:sz w:val="20"/>
          <w:szCs w:val="20"/>
          <w:color w:val="auto"/>
        </w:rPr>
      </w:pPr>
    </w:p>
    <w:p>
      <w:pPr>
        <w:ind w:left="860" w:hanging="301"/>
        <w:spacing w:after="0"/>
        <w:tabs>
          <w:tab w:leader="none" w:pos="860" w:val="left"/>
        </w:tabs>
        <w:numPr>
          <w:ilvl w:val="0"/>
          <w:numId w:val="8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Sales: </w:t>
      </w:r>
      <w:r>
        <w:rPr>
          <w:rFonts w:ascii="Arial" w:cs="Arial" w:eastAsia="Arial" w:hAnsi="Arial"/>
          <w:sz w:val="15"/>
          <w:szCs w:val="15"/>
          <w:color w:val="auto"/>
        </w:rPr>
        <w:t>Size markets, build efficient go-to-market strategies and generate actionable intelligence including prospect and decision maker intelligence</w:t>
      </w:r>
    </w:p>
    <w:p>
      <w:pPr>
        <w:spacing w:after="0" w:line="144" w:lineRule="exact"/>
        <w:rPr>
          <w:rFonts w:ascii="Arial" w:cs="Arial" w:eastAsia="Arial" w:hAnsi="Arial"/>
          <w:sz w:val="15"/>
          <w:szCs w:val="15"/>
          <w:color w:val="auto"/>
        </w:rPr>
      </w:pPr>
    </w:p>
    <w:p>
      <w:pPr>
        <w:ind w:left="860" w:hanging="301"/>
        <w:spacing w:after="0"/>
        <w:tabs>
          <w:tab w:leader="none" w:pos="8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Marketing: </w:t>
      </w:r>
      <w:r>
        <w:rPr>
          <w:rFonts w:ascii="Arial" w:cs="Arial" w:eastAsia="Arial" w:hAnsi="Arial"/>
          <w:sz w:val="16"/>
          <w:szCs w:val="16"/>
          <w:color w:val="auto"/>
        </w:rPr>
        <w:t>Develop highly targeted marketing campaigns and gain contextual intelligence to quantify ROI for their products and services</w:t>
      </w:r>
    </w:p>
    <w:p>
      <w:pPr>
        <w:spacing w:after="0" w:line="132" w:lineRule="exact"/>
        <w:rPr>
          <w:rFonts w:ascii="Arial" w:cs="Arial" w:eastAsia="Arial" w:hAnsi="Arial"/>
          <w:sz w:val="16"/>
          <w:szCs w:val="16"/>
          <w:color w:val="auto"/>
        </w:rPr>
      </w:pPr>
    </w:p>
    <w:p>
      <w:pPr>
        <w:ind w:left="860" w:right="20" w:hanging="301"/>
        <w:spacing w:after="0" w:line="272" w:lineRule="auto"/>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Clinical Research &amp; Product Development: </w:t>
      </w:r>
      <w:r>
        <w:rPr>
          <w:rFonts w:ascii="Arial" w:cs="Arial" w:eastAsia="Arial" w:hAnsi="Arial"/>
          <w:sz w:val="17"/>
          <w:szCs w:val="17"/>
          <w:color w:val="auto"/>
        </w:rPr>
        <w:t>Identify experts within a specific disease area to find important sites for clinical trials and make data-driven investment decisions</w:t>
      </w:r>
    </w:p>
    <w:p>
      <w:pPr>
        <w:spacing w:after="0" w:line="76" w:lineRule="exact"/>
        <w:rPr>
          <w:rFonts w:ascii="Arial" w:cs="Arial" w:eastAsia="Arial" w:hAnsi="Arial"/>
          <w:sz w:val="17"/>
          <w:szCs w:val="17"/>
          <w:color w:val="auto"/>
        </w:rPr>
      </w:pPr>
    </w:p>
    <w:p>
      <w:pPr>
        <w:ind w:left="860" w:hanging="301"/>
        <w:spacing w:after="0"/>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8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Talent Acquisition: </w:t>
      </w:r>
      <w:r>
        <w:rPr>
          <w:rFonts w:ascii="Arial" w:cs="Arial" w:eastAsia="Arial" w:hAnsi="Arial"/>
          <w:sz w:val="15"/>
          <w:szCs w:val="15"/>
          <w:color w:val="auto"/>
        </w:rPr>
        <w:t>Identify and conduct outreach to candidates for healthcare-specific roles including physicians, nurses and hospital executives</w:t>
      </w:r>
    </w:p>
    <w:p>
      <w:pPr>
        <w:spacing w:after="0" w:line="144" w:lineRule="exact"/>
        <w:rPr>
          <w:rFonts w:ascii="Arial" w:cs="Arial" w:eastAsia="Arial" w:hAnsi="Arial"/>
          <w:sz w:val="15"/>
          <w:szCs w:val="15"/>
          <w:color w:val="auto"/>
        </w:rPr>
      </w:pPr>
    </w:p>
    <w:p>
      <w:pPr>
        <w:ind w:left="860" w:right="380" w:hanging="301"/>
        <w:spacing w:after="0" w:line="272" w:lineRule="auto"/>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5"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These three elements are:</w:t>
      </w:r>
    </w:p>
    <w:p>
      <w:pPr>
        <w:spacing w:after="0" w:line="121" w:lineRule="exact"/>
        <w:rPr>
          <w:sz w:val="20"/>
          <w:szCs w:val="20"/>
          <w:color w:val="auto"/>
        </w:rPr>
      </w:pPr>
    </w:p>
    <w:p>
      <w:pPr>
        <w:ind w:left="5500" w:right="2820" w:hanging="4638"/>
        <w:spacing w:after="0" w:line="443" w:lineRule="auto"/>
        <w:tabs>
          <w:tab w:leader="none" w:pos="1372"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109</w:t>
      </w:r>
    </w:p>
    <w:p>
      <w:pPr>
        <w:sectPr>
          <w:pgSz w:w="11900" w:h="16838" w:orient="portrait"/>
          <w:cols w:equalWidth="0" w:num="1">
            <w:col w:w="10780"/>
          </w:cols>
          <w:pgMar w:left="320" w:top="440" w:right="79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hanging="498"/>
        <w:spacing w:after="0"/>
        <w:tabs>
          <w:tab w:leader="none" w:pos="13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A.I. Engine, </w:t>
      </w:r>
      <w:r>
        <w:rPr>
          <w:rFonts w:ascii="Arial" w:cs="Arial" w:eastAsia="Arial" w:hAnsi="Arial"/>
          <w:sz w:val="17"/>
          <w:szCs w:val="17"/>
          <w:color w:val="auto"/>
        </w:rPr>
        <w:t>built by our team of data scientists, that cleanses, links and creates new information and intelligence; and</w:t>
      </w:r>
    </w:p>
    <w:p>
      <w:pPr>
        <w:spacing w:after="0" w:line="121" w:lineRule="exact"/>
        <w:rPr>
          <w:rFonts w:ascii="Arial" w:cs="Arial" w:eastAsia="Arial" w:hAnsi="Arial"/>
          <w:sz w:val="17"/>
          <w:szCs w:val="17"/>
          <w:color w:val="auto"/>
        </w:rPr>
      </w:pPr>
    </w:p>
    <w:p>
      <w:pPr>
        <w:ind w:left="1360" w:right="200" w:hanging="498"/>
        <w:spacing w:after="0" w:line="272" w:lineRule="auto"/>
        <w:tabs>
          <w:tab w:leader="none" w:pos="13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generate actionable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insights and create a path to commercial success.</w:t>
      </w:r>
    </w:p>
    <w:p>
      <w:pPr>
        <w:spacing w:after="0" w:line="165"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79"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75"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640 employees are committed to growing a platform that delivers meaningful insights to our customers. This has resulted in a highly scalable business model and strong financial performance, including:</w:t>
      </w:r>
    </w:p>
    <w:p>
      <w:pPr>
        <w:spacing w:after="0" w:line="87" w:lineRule="exact"/>
        <w:rPr>
          <w:sz w:val="20"/>
          <w:szCs w:val="20"/>
          <w:color w:val="auto"/>
        </w:rPr>
      </w:pPr>
    </w:p>
    <w:p>
      <w:pPr>
        <w:ind w:left="1360" w:right="260" w:hanging="498"/>
        <w:spacing w:after="0" w:line="284" w:lineRule="auto"/>
        <w:tabs>
          <w:tab w:leader="none" w:pos="13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Significant Revenue Growth at Scale. </w:t>
      </w:r>
      <w:r>
        <w:rPr>
          <w:rFonts w:ascii="Arial" w:cs="Arial" w:eastAsia="Arial" w:hAnsi="Arial"/>
          <w:sz w:val="16"/>
          <w:szCs w:val="16"/>
          <w:color w:val="auto"/>
        </w:rPr>
        <w:t>We generated revenue of $118.3 million and $85.5 million in the years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and December 31, 2019, respectively, representing 38% growth. We generated revenue of $119.8 million and $84.7 million in the nine months ended September 30, 2021 and 2020, respectively, representing 41% growth.</w:t>
      </w:r>
    </w:p>
    <w:p>
      <w:pPr>
        <w:spacing w:after="0" w:line="68" w:lineRule="exact"/>
        <w:rPr>
          <w:rFonts w:ascii="Arial" w:cs="Arial" w:eastAsia="Arial" w:hAnsi="Arial"/>
          <w:sz w:val="16"/>
          <w:szCs w:val="16"/>
          <w:color w:val="auto"/>
        </w:rPr>
      </w:pPr>
    </w:p>
    <w:p>
      <w:pPr>
        <w:ind w:left="1360" w:right="40" w:hanging="498"/>
        <w:spacing w:after="0" w:line="340" w:lineRule="auto"/>
        <w:tabs>
          <w:tab w:leader="none" w:pos="1360" w:val="left"/>
        </w:tabs>
        <w:numPr>
          <w:ilvl w:val="0"/>
          <w:numId w:val="8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Subscription-based Business Model with Significant Visibility. </w:t>
      </w:r>
      <w:r>
        <w:rPr>
          <w:rFonts w:ascii="Arial" w:cs="Arial" w:eastAsia="Arial" w:hAnsi="Arial"/>
          <w:sz w:val="15"/>
          <w:szCs w:val="15"/>
          <w:color w:val="auto"/>
        </w:rPr>
        <w:t>We generate substantially all of our revenue from subscription fees,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accounted for 99% of our revenue for the year ended December 31, 2020 and the nine months ended September 30, 2021.</w:t>
      </w:r>
    </w:p>
    <w:p>
      <w:pPr>
        <w:spacing w:after="0" w:line="26" w:lineRule="exact"/>
        <w:rPr>
          <w:rFonts w:ascii="Arial" w:cs="Arial" w:eastAsia="Arial" w:hAnsi="Arial"/>
          <w:sz w:val="15"/>
          <w:szCs w:val="15"/>
          <w:color w:val="auto"/>
        </w:rPr>
      </w:pPr>
    </w:p>
    <w:p>
      <w:pPr>
        <w:ind w:left="1360" w:right="60" w:hanging="498"/>
        <w:spacing w:after="0" w:line="262" w:lineRule="auto"/>
        <w:tabs>
          <w:tab w:leader="none" w:pos="136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Diversified Customer Base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2,700 companies use our platform to help sell into or compete in the healthcare ecosystem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No single customer made up more than 2% of our revenue for the nine months ended September 30, 2021 or the year ended December 31, 2020.</w:t>
      </w:r>
    </w:p>
    <w:p>
      <w:pPr>
        <w:spacing w:after="0" w:line="85" w:lineRule="exact"/>
        <w:rPr>
          <w:rFonts w:ascii="Arial" w:cs="Arial" w:eastAsia="Arial" w:hAnsi="Arial"/>
          <w:sz w:val="17"/>
          <w:szCs w:val="17"/>
          <w:color w:val="auto"/>
        </w:rPr>
      </w:pPr>
    </w:p>
    <w:p>
      <w:pPr>
        <w:ind w:left="1360" w:right="220" w:hanging="498"/>
        <w:spacing w:after="0" w:line="277" w:lineRule="auto"/>
        <w:tabs>
          <w:tab w:leader="none" w:pos="13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of which we had 292 for the year ended December 31, 2020 and 377 for the trailing twelve months ended September 30, 2021. Our NDR for Enterprise Customers for the year ended December 31, 2020 was 124%. Our NDR for Enterprise Customers for the trailing 12 months ended June 30, 2021 was 125%.</w:t>
      </w:r>
    </w:p>
    <w:p>
      <w:pPr>
        <w:spacing w:after="0" w:line="75" w:lineRule="exact"/>
        <w:rPr>
          <w:rFonts w:ascii="Arial" w:cs="Arial" w:eastAsia="Arial" w:hAnsi="Arial"/>
          <w:sz w:val="16"/>
          <w:szCs w:val="16"/>
          <w:color w:val="auto"/>
        </w:rPr>
      </w:pPr>
    </w:p>
    <w:p>
      <w:pPr>
        <w:ind w:left="1360" w:hanging="498"/>
        <w:spacing w:after="0" w:line="268" w:lineRule="auto"/>
        <w:tabs>
          <w:tab w:leader="none" w:pos="13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net loss was $51.2 million for the year ended December 31, 2020 as compared to a net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$49.3 million for the period from July 16, 2019 to December 31, 2019 and net income of $12.9 million for the period from January 1, 2019 to July 15, 2019. Our net loss was $46.5 million and $35.3 million for the nine months ended September 30, 2021 and 2020, respectively. Our business model generates strong financial performance and cash flows. For the year ended December 31, 2020, our Net Loss Margin was (43)% and our Gross Margin was 74%. For the nine months ended September 30, 2021, our Net Loss Margin was (39)% and our Gross Margin was 75%. For the year ended December 31, 2020, our Adjusted Gross Margin was 91% and our Adjusted EBITDA was $53.5 million reflecting Adjusted EBITDA Margins of 45%. For the nine months ended September 30, 2021, our Adjusted Gross Margin was 88% and our Adjusted EBITDA was $42.9 million, reflecting an Adjusted EBITDA Margin of 36%.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780"/>
          </w:cols>
          <w:pgMar w:left="320" w:top="440" w:right="79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Industry Background</w:t>
      </w:r>
    </w:p>
    <w:p>
      <w:pPr>
        <w:spacing w:after="0" w:line="112"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08"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ind w:left="1360" w:hanging="498"/>
        <w:spacing w:after="0" w:line="311" w:lineRule="auto"/>
        <w:tabs>
          <w:tab w:leader="none" w:pos="1360" w:val="left"/>
        </w:tabs>
        <w:numPr>
          <w:ilvl w:val="0"/>
          <w:numId w:val="8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Companies are selling to an entire ecosystem, not a single company. </w:t>
      </w:r>
      <w:r>
        <w:rPr>
          <w:rFonts w:ascii="Arial" w:cs="Arial" w:eastAsia="Arial" w:hAnsi="Arial"/>
          <w:sz w:val="15"/>
          <w:szCs w:val="15"/>
          <w:color w:val="auto"/>
        </w:rPr>
        <w:t>There are a large number of stakeholders including providers,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1" w:lineRule="exact"/>
        <w:rPr>
          <w:rFonts w:ascii="Arial" w:cs="Arial" w:eastAsia="Arial" w:hAnsi="Arial"/>
          <w:sz w:val="15"/>
          <w:szCs w:val="15"/>
          <w:color w:val="auto"/>
        </w:rPr>
      </w:pPr>
    </w:p>
    <w:p>
      <w:pPr>
        <w:ind w:left="1360" w:right="80" w:hanging="498"/>
        <w:spacing w:after="0" w:line="256" w:lineRule="auto"/>
        <w:tabs>
          <w:tab w:leader="none" w:pos="136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is challenging to identify the true decision maker. </w:t>
      </w:r>
      <w:r>
        <w:rPr>
          <w:rFonts w:ascii="Arial" w:cs="Arial" w:eastAsia="Arial" w:hAnsi="Arial"/>
          <w:sz w:val="17"/>
          <w:szCs w:val="17"/>
          <w:color w:val="auto"/>
        </w:rPr>
        <w:t>The healthcare ecosystem is highly interconnected, and a patient undergoing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90" w:lineRule="exact"/>
        <w:rPr>
          <w:rFonts w:ascii="Arial" w:cs="Arial" w:eastAsia="Arial" w:hAnsi="Arial"/>
          <w:sz w:val="17"/>
          <w:szCs w:val="17"/>
          <w:color w:val="auto"/>
        </w:rPr>
      </w:pPr>
    </w:p>
    <w:p>
      <w:pPr>
        <w:ind w:left="1360" w:right="60" w:hanging="498"/>
        <w:spacing w:after="0" w:line="277" w:lineRule="auto"/>
        <w:tabs>
          <w:tab w:leader="none" w:pos="13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To differentiate, companies need to tailor their product or service to specific pain points. </w:t>
      </w:r>
      <w:r>
        <w:rPr>
          <w:rFonts w:ascii="Arial" w:cs="Arial" w:eastAsia="Arial" w:hAnsi="Arial"/>
          <w:sz w:val="16"/>
          <w:szCs w:val="16"/>
          <w:color w:val="auto"/>
        </w:rPr>
        <w:t>Healthcare providers have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75" w:lineRule="exact"/>
        <w:rPr>
          <w:rFonts w:ascii="Arial" w:cs="Arial" w:eastAsia="Arial" w:hAnsi="Arial"/>
          <w:sz w:val="16"/>
          <w:szCs w:val="16"/>
          <w:color w:val="auto"/>
        </w:rPr>
      </w:pPr>
    </w:p>
    <w:p>
      <w:pPr>
        <w:ind w:left="1360" w:right="260" w:hanging="498"/>
        <w:spacing w:after="0" w:line="311" w:lineRule="auto"/>
        <w:tabs>
          <w:tab w:leader="none" w:pos="1360" w:val="left"/>
        </w:tabs>
        <w:numPr>
          <w:ilvl w:val="0"/>
          <w:numId w:val="8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Constant change. </w:t>
      </w:r>
      <w:r>
        <w:rPr>
          <w:rFonts w:ascii="Arial" w:cs="Arial" w:eastAsia="Arial" w:hAnsi="Arial"/>
          <w:sz w:val="15"/>
          <w:szCs w:val="15"/>
          <w:color w:val="auto"/>
        </w:rPr>
        <w:t>The healthcare industry is in a constant state of change, including continuously increasing and changing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1" w:lineRule="exact"/>
        <w:rPr>
          <w:rFonts w:ascii="Arial" w:cs="Arial" w:eastAsia="Arial" w:hAnsi="Arial"/>
          <w:sz w:val="15"/>
          <w:szCs w:val="15"/>
          <w:color w:val="auto"/>
        </w:rPr>
      </w:pPr>
    </w:p>
    <w:p>
      <w:pPr>
        <w:ind w:left="1360" w:right="100" w:hanging="498"/>
        <w:spacing w:after="0" w:line="256" w:lineRule="auto"/>
        <w:tabs>
          <w:tab w:leader="none" w:pos="136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Healthcare is a high-stakes industry where success is difficult to achieve</w:t>
      </w:r>
      <w:r>
        <w:rPr>
          <w:rFonts w:ascii="Arial" w:cs="Arial" w:eastAsia="Arial" w:hAnsi="Arial"/>
          <w:sz w:val="17"/>
          <w:szCs w:val="17"/>
          <w:color w:val="auto"/>
        </w:rPr>
        <w:t>. 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 The high-stakes of the industry puts a premium on any product or service that can increase the likelihood of success.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08" w:lineRule="exact"/>
        <w:rPr>
          <w:sz w:val="20"/>
          <w:szCs w:val="20"/>
          <w:color w:val="auto"/>
        </w:rPr>
      </w:pPr>
    </w:p>
    <w:p>
      <w:pPr>
        <w:ind w:left="460" w:right="80" w:firstLine="413"/>
        <w:spacing w:after="0" w:line="284" w:lineRule="auto"/>
        <w:rPr>
          <w:sz w:val="20"/>
          <w:szCs w:val="20"/>
          <w:color w:val="auto"/>
        </w:rPr>
      </w:pPr>
      <w:r>
        <w:rPr>
          <w:rFonts w:ascii="Arial" w:cs="Arial" w:eastAsia="Arial" w:hAnsi="Arial"/>
          <w:sz w:val="16"/>
          <w:szCs w:val="16"/>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7" w:lineRule="exact"/>
        <w:rPr>
          <w:sz w:val="20"/>
          <w:szCs w:val="20"/>
          <w:color w:val="auto"/>
        </w:rPr>
      </w:pPr>
    </w:p>
    <w:p>
      <w:pPr>
        <w:ind w:left="1360" w:right="20" w:hanging="498"/>
        <w:spacing w:after="0" w:line="276" w:lineRule="auto"/>
        <w:tabs>
          <w:tab w:leader="none" w:pos="136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critical to success in the healthcare industry. This healthcare</w:t>
      </w:r>
    </w:p>
    <w:p>
      <w:pPr>
        <w:spacing w:after="0" w:line="9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740"/>
          </w:cols>
          <w:pgMar w:left="320" w:top="440" w:right="8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120"/>
        <w:spacing w:after="0" w:line="260" w:lineRule="auto"/>
        <w:rPr>
          <w:sz w:val="20"/>
          <w:szCs w:val="20"/>
          <w:color w:val="auto"/>
        </w:rPr>
      </w:pPr>
      <w:r>
        <w:rPr>
          <w:rFonts w:ascii="Arial" w:cs="Arial" w:eastAsia="Arial" w:hAnsi="Arial"/>
          <w:sz w:val="17"/>
          <w:szCs w:val="17"/>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3" w:lineRule="exact"/>
        <w:rPr>
          <w:sz w:val="20"/>
          <w:szCs w:val="20"/>
          <w:color w:val="auto"/>
        </w:rPr>
      </w:pPr>
    </w:p>
    <w:p>
      <w:pPr>
        <w:ind w:left="1360" w:right="80" w:hanging="498"/>
        <w:spacing w:after="0" w:line="258" w:lineRule="auto"/>
        <w:tabs>
          <w:tab w:leader="none" w:pos="136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healthcare ecosystem—to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3" w:lineRule="exact"/>
        <w:rPr>
          <w:rFonts w:ascii="Arial" w:cs="Arial" w:eastAsia="Arial" w:hAnsi="Arial"/>
          <w:sz w:val="17"/>
          <w:szCs w:val="17"/>
          <w:color w:val="auto"/>
        </w:rPr>
      </w:pPr>
    </w:p>
    <w:p>
      <w:pPr>
        <w:ind w:left="1360" w:hanging="498"/>
        <w:spacing w:after="0" w:line="255" w:lineRule="auto"/>
        <w:tabs>
          <w:tab w:leader="none" w:pos="136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08" w:lineRule="exact"/>
        <w:rPr>
          <w:sz w:val="20"/>
          <w:szCs w:val="20"/>
          <w:color w:val="auto"/>
        </w:rPr>
      </w:pPr>
    </w:p>
    <w:p>
      <w:pPr>
        <w:ind w:left="460" w:right="200" w:firstLine="413"/>
        <w:spacing w:after="0" w:line="277"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1" w:lineRule="exact"/>
        <w:rPr>
          <w:sz w:val="20"/>
          <w:szCs w:val="20"/>
          <w:color w:val="auto"/>
        </w:rPr>
      </w:pPr>
    </w:p>
    <w:p>
      <w:pPr>
        <w:ind w:left="1360" w:right="460" w:hanging="498"/>
        <w:spacing w:after="0" w:line="340" w:lineRule="auto"/>
        <w:tabs>
          <w:tab w:leader="none" w:pos="1360" w:val="left"/>
        </w:tabs>
        <w:numPr>
          <w:ilvl w:val="0"/>
          <w:numId w:val="9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comprehensive view of the entire healthcare ecosystem, </w:t>
      </w:r>
      <w:r>
        <w:rPr>
          <w:rFonts w:ascii="Arial" w:cs="Arial" w:eastAsia="Arial" w:hAnsi="Arial"/>
          <w:sz w:val="15"/>
          <w:szCs w:val="15"/>
          <w:color w:val="auto"/>
        </w:rPr>
        <w:t>including intelligence on hospitals, physicians, physician groups, clinics,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imaging centers, long-term care facilities, ambulatory surgery centers, payers, virtual care providers, GPOs and others.</w:t>
      </w:r>
    </w:p>
    <w:p>
      <w:pPr>
        <w:spacing w:after="0" w:line="30" w:lineRule="exact"/>
        <w:rPr>
          <w:rFonts w:ascii="Arial" w:cs="Arial" w:eastAsia="Arial" w:hAnsi="Arial"/>
          <w:sz w:val="15"/>
          <w:szCs w:val="15"/>
          <w:color w:val="auto"/>
        </w:rPr>
      </w:pPr>
    </w:p>
    <w:p>
      <w:pPr>
        <w:ind w:left="1360" w:right="440" w:hanging="498"/>
        <w:spacing w:after="0" w:line="272" w:lineRule="auto"/>
        <w:tabs>
          <w:tab w:leader="none" w:pos="136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analytics all linked together through the proprietary Definitive ID.</w:t>
      </w:r>
    </w:p>
    <w:p>
      <w:pPr>
        <w:spacing w:after="0" w:line="76" w:lineRule="exact"/>
        <w:rPr>
          <w:rFonts w:ascii="Arial" w:cs="Arial" w:eastAsia="Arial" w:hAnsi="Arial"/>
          <w:sz w:val="17"/>
          <w:szCs w:val="17"/>
          <w:color w:val="auto"/>
        </w:rPr>
      </w:pPr>
    </w:p>
    <w:p>
      <w:pPr>
        <w:ind w:left="1360" w:right="160" w:hanging="498"/>
        <w:spacing w:after="0" w:line="260" w:lineRule="auto"/>
        <w:tabs>
          <w:tab w:leader="none" w:pos="136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RFPs, procedure and diagnosis volumes,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leakage, quality of care analytics, financial metrics, technology infrastructure of providers and healthcare stakeholder intelligence with detailed contact information.</w:t>
      </w:r>
    </w:p>
    <w:p>
      <w:pPr>
        <w:spacing w:after="0" w:line="86" w:lineRule="exact"/>
        <w:rPr>
          <w:rFonts w:ascii="Arial" w:cs="Arial" w:eastAsia="Arial" w:hAnsi="Arial"/>
          <w:sz w:val="17"/>
          <w:szCs w:val="17"/>
          <w:color w:val="auto"/>
        </w:rPr>
      </w:pPr>
    </w:p>
    <w:p>
      <w:pPr>
        <w:ind w:left="1360" w:hanging="498"/>
        <w:spacing w:after="0"/>
        <w:tabs>
          <w:tab w:leader="none" w:pos="1360" w:val="left"/>
        </w:tabs>
        <w:numPr>
          <w:ilvl w:val="0"/>
          <w:numId w:val="9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Commercial success using the Definitive Healthcare platform can be demonstrated through the following hypothetical examples:</w:t>
      </w:r>
    </w:p>
    <w:p>
      <w:pPr>
        <w:spacing w:after="0" w:line="121" w:lineRule="exact"/>
        <w:rPr>
          <w:sz w:val="20"/>
          <w:szCs w:val="20"/>
          <w:color w:val="auto"/>
        </w:rPr>
      </w:pPr>
    </w:p>
    <w:p>
      <w:pPr>
        <w:ind w:left="1360" w:right="1020" w:hanging="498"/>
        <w:spacing w:after="0" w:line="272" w:lineRule="auto"/>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pharmaceutical giant introducing a new drug could utilize the Definitive Healthcare platform to find physicians caring for underdiagnosed patients with a rare disease.</w:t>
      </w:r>
    </w:p>
    <w:p>
      <w:pPr>
        <w:spacing w:after="0" w:line="76" w:lineRule="exact"/>
        <w:rPr>
          <w:rFonts w:ascii="Arial" w:cs="Arial" w:eastAsia="Arial" w:hAnsi="Arial"/>
          <w:sz w:val="17"/>
          <w:szCs w:val="17"/>
          <w:color w:val="auto"/>
        </w:rPr>
      </w:pPr>
    </w:p>
    <w:p>
      <w:pPr>
        <w:ind w:left="1360" w:right="100" w:hanging="498"/>
        <w:spacing w:after="0" w:line="272" w:lineRule="auto"/>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76"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One of the world’s largest medical device companies could leverage our healthcare commercial intelligence to identify physicians referring patients with acute cardiovascular disease.</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780"/>
          </w:cols>
          <w:pgMar w:left="320" w:top="440" w:right="79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640" w:hanging="498"/>
        <w:spacing w:after="0" w:line="272" w:lineRule="auto"/>
        <w:tabs>
          <w:tab w:leader="none" w:pos="13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commercial real estate firm could use the Definitive Healthcare platform to help its health system customers build a geographic expansion strategy based on patient flow and affiliation data.</w:t>
      </w:r>
    </w:p>
    <w:p>
      <w:pPr>
        <w:spacing w:after="0" w:line="76" w:lineRule="exact"/>
        <w:rPr>
          <w:rFonts w:ascii="Arial" w:cs="Arial" w:eastAsia="Arial" w:hAnsi="Arial"/>
          <w:sz w:val="17"/>
          <w:szCs w:val="17"/>
          <w:color w:val="auto"/>
        </w:rPr>
      </w:pPr>
    </w:p>
    <w:p>
      <w:pPr>
        <w:ind w:left="1360" w:right="560" w:hanging="498"/>
        <w:spacing w:after="0" w:line="272" w:lineRule="auto"/>
        <w:tabs>
          <w:tab w:leader="none" w:pos="13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waste management company could price its solutions based on an estimate of the volume of hazardous waste compiled using the Definitive Healthcare platform.</w:t>
      </w:r>
    </w:p>
    <w:p>
      <w:pPr>
        <w:spacing w:after="0" w:line="76" w:lineRule="exact"/>
        <w:rPr>
          <w:rFonts w:ascii="Arial" w:cs="Arial" w:eastAsia="Arial" w:hAnsi="Arial"/>
          <w:sz w:val="17"/>
          <w:szCs w:val="17"/>
          <w:color w:val="auto"/>
        </w:rPr>
      </w:pPr>
    </w:p>
    <w:p>
      <w:pPr>
        <w:ind w:left="1360" w:right="100" w:hanging="498"/>
        <w:spacing w:after="0" w:line="272" w:lineRule="auto"/>
        <w:tabs>
          <w:tab w:leader="none" w:pos="13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public biotechnology company could utilize the Definitive Healthcare platform to identify experts in a specific disease mutation to help recruit patients and influence the market through speaking engagements.</w:t>
      </w:r>
    </w:p>
    <w:p>
      <w:pPr>
        <w:spacing w:after="0" w:line="262"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Our Data Sources and Data Engine</w:t>
      </w:r>
    </w:p>
    <w:p>
      <w:pPr>
        <w:spacing w:after="0" w:line="112"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59" w:lineRule="exact"/>
        <w:rPr>
          <w:sz w:val="20"/>
          <w:szCs w:val="20"/>
          <w:color w:val="auto"/>
        </w:rPr>
      </w:pPr>
    </w:p>
    <w:p>
      <w:pPr>
        <w:ind w:left="1360" w:hanging="498"/>
        <w:spacing w:after="0"/>
        <w:tabs>
          <w:tab w:leader="none" w:pos="1360" w:val="left"/>
        </w:tabs>
        <w:numPr>
          <w:ilvl w:val="0"/>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First party research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team conducts primary research via 650,000 annual research calls and 3.7 million e-mail outreaches per year.</w:t>
      </w:r>
    </w:p>
    <w:p>
      <w:pPr>
        <w:spacing w:after="0" w:line="144" w:lineRule="exact"/>
        <w:rPr>
          <w:rFonts w:ascii="Arial" w:cs="Arial" w:eastAsia="Arial" w:hAnsi="Arial"/>
          <w:sz w:val="15"/>
          <w:szCs w:val="15"/>
          <w:color w:val="auto"/>
        </w:rPr>
      </w:pPr>
    </w:p>
    <w:p>
      <w:pPr>
        <w:ind w:left="1360" w:right="100" w:hanging="498"/>
        <w:spacing w:after="0" w:line="276" w:lineRule="auto"/>
        <w:tabs>
          <w:tab w:leader="none" w:pos="136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w:t>
      </w:r>
    </w:p>
    <w:p>
      <w:pPr>
        <w:spacing w:after="0" w:line="69" w:lineRule="exact"/>
        <w:rPr>
          <w:rFonts w:ascii="Arial" w:cs="Arial" w:eastAsia="Arial" w:hAnsi="Arial"/>
          <w:sz w:val="17"/>
          <w:szCs w:val="17"/>
          <w:color w:val="auto"/>
        </w:rPr>
      </w:pPr>
    </w:p>
    <w:p>
      <w:pPr>
        <w:ind w:left="1360" w:right="140" w:hanging="498"/>
        <w:spacing w:after="0" w:line="345" w:lineRule="auto"/>
        <w:tabs>
          <w:tab w:leader="none" w:pos="1360" w:val="left"/>
        </w:tabs>
        <w:numPr>
          <w:ilvl w:val="0"/>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Government and regulatory sources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developed automated processes for ingesting, updating and linking information from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20,000 governmental and regulatory sources, including the federal government, states, towns and municipalities across the U.S.</w:t>
      </w:r>
    </w:p>
    <w:p>
      <w:pPr>
        <w:spacing w:after="0" w:line="23" w:lineRule="exact"/>
        <w:rPr>
          <w:rFonts w:ascii="Arial" w:cs="Arial" w:eastAsia="Arial" w:hAnsi="Arial"/>
          <w:sz w:val="15"/>
          <w:szCs w:val="15"/>
          <w:color w:val="auto"/>
        </w:rPr>
      </w:pPr>
    </w:p>
    <w:p>
      <w:pPr>
        <w:ind w:left="1360" w:right="200" w:hanging="498"/>
        <w:spacing w:after="0" w:line="276" w:lineRule="auto"/>
        <w:tabs>
          <w:tab w:leader="none" w:pos="136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 party vendors, which provide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17 billion claims covering over 250 million patients as of May 2021.</w:t>
      </w:r>
    </w:p>
    <w:p>
      <w:pPr>
        <w:spacing w:after="0" w:line="69" w:lineRule="exact"/>
        <w:rPr>
          <w:rFonts w:ascii="Arial" w:cs="Arial" w:eastAsia="Arial" w:hAnsi="Arial"/>
          <w:sz w:val="17"/>
          <w:szCs w:val="17"/>
          <w:color w:val="auto"/>
        </w:rPr>
      </w:pPr>
    </w:p>
    <w:p>
      <w:pPr>
        <w:ind w:left="1360" w:right="360" w:hanging="498"/>
        <w:spacing w:after="0" w:line="276" w:lineRule="auto"/>
        <w:tabs>
          <w:tab w:leader="none" w:pos="136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9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780"/>
          </w:cols>
          <w:pgMar w:left="320" w:top="440" w:right="79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137795</wp:posOffset>
            </wp:positionV>
            <wp:extent cx="4607560" cy="20021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607560" cy="200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Delivery through a Cutting-edge SaaS Platform</w:t>
      </w:r>
    </w:p>
    <w:p>
      <w:pPr>
        <w:spacing w:after="0" w:line="108" w:lineRule="exact"/>
        <w:rPr>
          <w:sz w:val="20"/>
          <w:szCs w:val="20"/>
          <w:color w:val="auto"/>
        </w:rPr>
      </w:pPr>
    </w:p>
    <w:p>
      <w:pPr>
        <w:jc w:val="both"/>
        <w:ind w:left="460" w:right="500" w:firstLine="413"/>
        <w:spacing w:after="0" w:line="311" w:lineRule="auto"/>
        <w:rPr>
          <w:sz w:val="20"/>
          <w:szCs w:val="20"/>
          <w:color w:val="auto"/>
        </w:rPr>
      </w:pPr>
      <w:r>
        <w:rPr>
          <w:rFonts w:ascii="Arial" w:cs="Arial" w:eastAsia="Arial" w:hAnsi="Arial"/>
          <w:sz w:val="15"/>
          <w:szCs w:val="15"/>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 (statistics as of June 30, 2021):</w:t>
      </w:r>
    </w:p>
    <w:p>
      <w:pPr>
        <w:spacing w:after="0" w:line="51" w:lineRule="exact"/>
        <w:rPr>
          <w:sz w:val="20"/>
          <w:szCs w:val="20"/>
          <w:color w:val="auto"/>
        </w:rPr>
      </w:pPr>
    </w:p>
    <w:p>
      <w:pPr>
        <w:ind w:left="1360" w:hanging="498"/>
        <w:spacing w:after="0"/>
        <w:tabs>
          <w:tab w:leader="none" w:pos="1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Over 1.5 million reports are run every month by our customers.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Over 34,000 users actively utilize the platform. We define active utilization as accessing the platform directly in the last quarter.</w:t>
      </w:r>
    </w:p>
    <w:p>
      <w:pPr>
        <w:spacing w:after="0" w:line="132" w:lineRule="exact"/>
        <w:rPr>
          <w:rFonts w:ascii="Arial" w:cs="Arial" w:eastAsia="Arial" w:hAnsi="Arial"/>
          <w:sz w:val="16"/>
          <w:szCs w:val="16"/>
          <w:color w:val="auto"/>
        </w:rPr>
      </w:pPr>
    </w:p>
    <w:p>
      <w:pPr>
        <w:ind w:left="1360" w:right="80" w:hanging="498"/>
        <w:spacing w:after="0" w:line="260" w:lineRule="auto"/>
        <w:tabs>
          <w:tab w:leader="none" w:pos="1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Over 50% of our overall customers and approximately 70% of our Enterprise Customers measured by ARR integrate our intelligence into their internal systems. Such customer relationship management software includes Salesforce.com</w:t>
      </w:r>
      <w:r>
        <w:rPr>
          <w:rFonts w:ascii="Arial" w:cs="Arial" w:eastAsia="Arial" w:hAnsi="Arial"/>
          <w:sz w:val="14"/>
          <w:szCs w:val="14"/>
          <w:color w:val="auto"/>
        </w:rPr>
        <w:t>®</w:t>
      </w:r>
      <w:r>
        <w:rPr>
          <w:rFonts w:ascii="Arial" w:cs="Arial" w:eastAsia="Arial" w:hAnsi="Arial"/>
          <w:sz w:val="17"/>
          <w:szCs w:val="17"/>
          <w:color w:val="auto"/>
        </w:rPr>
        <w:t xml:space="preserve"> and Veeva</w:t>
      </w:r>
      <w:r>
        <w:rPr>
          <w:rFonts w:ascii="Arial" w:cs="Arial" w:eastAsia="Arial" w:hAnsi="Arial"/>
          <w:sz w:val="14"/>
          <w:szCs w:val="14"/>
          <w:color w:val="auto"/>
        </w:rPr>
        <w:t>®</w:t>
      </w:r>
      <w:r>
        <w:rPr>
          <w:rFonts w:ascii="Arial" w:cs="Arial" w:eastAsia="Arial" w:hAnsi="Arial"/>
          <w:sz w:val="17"/>
          <w:szCs w:val="17"/>
          <w:color w:val="auto"/>
        </w:rPr>
        <w:t>, sales as well as other Marketing Automation and Business Intelligence platforms.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Competitive Strengths</w:t>
      </w:r>
    </w:p>
    <w:p>
      <w:pPr>
        <w:spacing w:after="0" w:line="125" w:lineRule="exact"/>
        <w:rPr>
          <w:sz w:val="20"/>
          <w:szCs w:val="20"/>
          <w:color w:val="auto"/>
        </w:rPr>
      </w:pPr>
    </w:p>
    <w:p>
      <w:pPr>
        <w:ind w:left="1360" w:right="40" w:hanging="498"/>
        <w:spacing w:after="0" w:line="274" w:lineRule="auto"/>
        <w:tabs>
          <w:tab w:leader="none" w:pos="136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Proprietary Healthcare-specific Intelligence</w:t>
      </w:r>
      <w:r>
        <w:rPr>
          <w:rFonts w:ascii="Arial" w:cs="Arial" w:eastAsia="Arial" w:hAnsi="Arial"/>
          <w:sz w:val="16"/>
          <w:szCs w:val="16"/>
          <w:color w:val="auto"/>
        </w:rPr>
        <w:t>. Over the last 11 years, we have built proprietary intelligence via first party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highly comprehensive healthcare commercial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76" w:lineRule="exact"/>
        <w:rPr>
          <w:rFonts w:ascii="Arial" w:cs="Arial" w:eastAsia="Arial" w:hAnsi="Arial"/>
          <w:sz w:val="16"/>
          <w:szCs w:val="16"/>
          <w:color w:val="auto"/>
        </w:rPr>
      </w:pPr>
    </w:p>
    <w:p>
      <w:pPr>
        <w:ind w:left="1360" w:right="80" w:hanging="498"/>
        <w:spacing w:after="0" w:line="277" w:lineRule="auto"/>
        <w:tabs>
          <w:tab w:leader="none" w:pos="136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 Integrated Data and Technology Foundation that Creates a Flywheel of Innovation. </w:t>
      </w:r>
      <w:r>
        <w:rPr>
          <w:rFonts w:ascii="Arial" w:cs="Arial" w:eastAsia="Arial" w:hAnsi="Arial"/>
          <w:sz w:val="16"/>
          <w:szCs w:val="16"/>
          <w:color w:val="auto"/>
        </w:rPr>
        <w:t>Our technology platform provides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760"/>
          </w:cols>
          <w:pgMar w:left="320" w:top="440" w:right="81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500"/>
        <w:spacing w:after="0" w:line="272" w:lineRule="auto"/>
        <w:rPr>
          <w:sz w:val="20"/>
          <w:szCs w:val="20"/>
          <w:color w:val="auto"/>
        </w:rPr>
      </w:pPr>
      <w:r>
        <w:rPr>
          <w:rFonts w:ascii="Arial" w:cs="Arial" w:eastAsia="Arial" w:hAnsi="Arial"/>
          <w:sz w:val="17"/>
          <w:szCs w:val="17"/>
          <w:color w:val="auto"/>
        </w:rPr>
        <w:t>have developed and launched 14 intelligence modules, each of which creates opportunities to deepen our relationships with existing customers, increase deal velocity and expand our end-markets.</w:t>
      </w:r>
    </w:p>
    <w:p>
      <w:pPr>
        <w:spacing w:after="0" w:line="76" w:lineRule="exact"/>
        <w:rPr>
          <w:sz w:val="20"/>
          <w:szCs w:val="20"/>
          <w:color w:val="auto"/>
        </w:rPr>
      </w:pPr>
    </w:p>
    <w:p>
      <w:pPr>
        <w:ind w:left="1360" w:right="100" w:hanging="498"/>
        <w:spacing w:after="0" w:line="256" w:lineRule="auto"/>
        <w:tabs>
          <w:tab w:leader="none" w:pos="1360"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Go-to-Market Engine.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0" w:lineRule="exact"/>
        <w:rPr>
          <w:rFonts w:ascii="Arial" w:cs="Arial" w:eastAsia="Arial" w:hAnsi="Arial"/>
          <w:sz w:val="17"/>
          <w:szCs w:val="17"/>
          <w:color w:val="auto"/>
        </w:rPr>
      </w:pPr>
    </w:p>
    <w:p>
      <w:pPr>
        <w:ind w:left="1360" w:right="40" w:hanging="498"/>
        <w:spacing w:after="0" w:line="253" w:lineRule="auto"/>
        <w:tabs>
          <w:tab w:leader="none" w:pos="1360"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with a Track Record of Execution. </w:t>
      </w:r>
      <w:r>
        <w:rPr>
          <w:rFonts w:ascii="Arial" w:cs="Arial" w:eastAsia="Arial" w:hAnsi="Arial"/>
          <w:sz w:val="17"/>
          <w:szCs w:val="17"/>
          <w:color w:val="auto"/>
        </w:rPr>
        <w:t>Our founder-led management team has a strong track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Market Opportunity</w:t>
      </w:r>
    </w:p>
    <w:p>
      <w:pPr>
        <w:spacing w:after="0" w:line="112"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TAM is $10 billion and growing</w:t>
      </w:r>
    </w:p>
    <w:p>
      <w:pPr>
        <w:spacing w:after="0" w:line="108"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TAM continues to expand each year in the following ways:</w:t>
      </w:r>
    </w:p>
    <w:p>
      <w:pPr>
        <w:spacing w:after="0" w:line="121" w:lineRule="exact"/>
        <w:rPr>
          <w:sz w:val="20"/>
          <w:szCs w:val="20"/>
          <w:color w:val="auto"/>
        </w:rPr>
      </w:pPr>
    </w:p>
    <w:p>
      <w:pPr>
        <w:ind w:left="1360" w:hanging="498"/>
        <w:spacing w:after="0"/>
        <w:tabs>
          <w:tab w:leader="none" w:pos="13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healthcare industry is growing fast and becoming increasingly complex, driving further demand for healthcare business intelligence.</w:t>
      </w:r>
    </w:p>
    <w:p>
      <w:pPr>
        <w:spacing w:after="0" w:line="144" w:lineRule="exact"/>
        <w:rPr>
          <w:rFonts w:ascii="Arial" w:cs="Arial" w:eastAsia="Arial" w:hAnsi="Arial"/>
          <w:sz w:val="15"/>
          <w:szCs w:val="15"/>
          <w:color w:val="auto"/>
        </w:rPr>
      </w:pPr>
    </w:p>
    <w:p>
      <w:pPr>
        <w:ind w:left="1360" w:hanging="498"/>
        <w:spacing w:after="0"/>
        <w:tabs>
          <w:tab w:leader="none" w:pos="1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Attractive market dynamics are luring more companies into the healthcare ecosystem.</w:t>
      </w:r>
    </w:p>
    <w:p>
      <w:pPr>
        <w:spacing w:after="0" w:line="210" w:lineRule="exact"/>
        <w:rPr>
          <w:sz w:val="20"/>
          <w:szCs w:val="20"/>
          <w:color w:val="auto"/>
        </w:rPr>
      </w:pPr>
    </w:p>
    <w:p>
      <w:pPr>
        <w:ind w:left="460" w:right="580" w:firstLine="413"/>
        <w:spacing w:after="0" w:line="272" w:lineRule="auto"/>
        <w:rPr>
          <w:sz w:val="20"/>
          <w:szCs w:val="20"/>
          <w:color w:val="auto"/>
        </w:rPr>
      </w:pPr>
      <w:r>
        <w:rPr>
          <w:rFonts w:ascii="Arial" w:cs="Arial" w:eastAsia="Arial" w:hAnsi="Arial"/>
          <w:sz w:val="17"/>
          <w:szCs w:val="17"/>
          <w:color w:val="auto"/>
        </w:rPr>
        <w:t>We continue to broaden our use cases, further expanding our potential customer base and creating additional opportunity with our existing customers.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dynamics of the Healthcare industry create tailwinds for Definitive Healthcare</w:t>
      </w:r>
    </w:p>
    <w:p>
      <w:pPr>
        <w:spacing w:after="0" w:line="108"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780"/>
          </w:cols>
          <w:pgMar w:left="320" w:top="440" w:right="79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 A few examples of the dynamics of the healthcare industry that create significant tailwinds for us include:</w:t>
      </w:r>
    </w:p>
    <w:p>
      <w:pPr>
        <w:spacing w:after="0" w:line="121" w:lineRule="exact"/>
        <w:rPr>
          <w:sz w:val="20"/>
          <w:szCs w:val="20"/>
          <w:color w:val="auto"/>
        </w:rPr>
      </w:pPr>
    </w:p>
    <w:p>
      <w:pPr>
        <w:ind w:left="1360" w:right="40" w:hanging="498"/>
        <w:spacing w:after="0" w:line="260" w:lineRule="auto"/>
        <w:tabs>
          <w:tab w:leader="none" w:pos="136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Growth in Overall U.S. Healthcare Spending. </w:t>
      </w:r>
      <w:r>
        <w:rPr>
          <w:rFonts w:ascii="Arial" w:cs="Arial" w:eastAsia="Arial" w:hAnsi="Arial"/>
          <w:sz w:val="17"/>
          <w:szCs w:val="17"/>
          <w:color w:val="auto"/>
        </w:rPr>
        <w:t>According to the Center for Medicare and Medicaid Services, healthcare spending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grow rapidly. Research suggests that growth will be driven in large part by an aging population and the emphasis on healthcare spurred by the COVID-19 pandemic.</w:t>
      </w:r>
    </w:p>
    <w:p>
      <w:pPr>
        <w:spacing w:after="0" w:line="86" w:lineRule="exact"/>
        <w:rPr>
          <w:rFonts w:ascii="Arial" w:cs="Arial" w:eastAsia="Arial" w:hAnsi="Arial"/>
          <w:sz w:val="17"/>
          <w:szCs w:val="17"/>
          <w:color w:val="auto"/>
        </w:rPr>
      </w:pPr>
    </w:p>
    <w:p>
      <w:pPr>
        <w:ind w:left="1360" w:hanging="498"/>
        <w:spacing w:after="0" w:line="260" w:lineRule="auto"/>
        <w:tabs>
          <w:tab w:leader="none" w:pos="136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Value-based Care. </w:t>
      </w:r>
      <w:r>
        <w:rPr>
          <w:rFonts w:ascii="Arial" w:cs="Arial" w:eastAsia="Arial" w:hAnsi="Arial"/>
          <w:sz w:val="17"/>
          <w:szCs w:val="17"/>
          <w:color w:val="auto"/>
        </w:rPr>
        <w:t>Stakeholders in the healthcare system are focused on measuring outcomes of care delivery within the context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We believe value-based care is pushing fundamental changes in healthcare companies’ economics and is reliant on data-driven analytics as stakeholders reward positive health outcomes and cost efficiencies.</w:t>
      </w:r>
    </w:p>
    <w:p>
      <w:pPr>
        <w:spacing w:after="0" w:line="86" w:lineRule="exact"/>
        <w:rPr>
          <w:rFonts w:ascii="Arial" w:cs="Arial" w:eastAsia="Arial" w:hAnsi="Arial"/>
          <w:sz w:val="17"/>
          <w:szCs w:val="17"/>
          <w:color w:val="auto"/>
        </w:rPr>
      </w:pPr>
    </w:p>
    <w:p>
      <w:pPr>
        <w:ind w:left="1360" w:right="400" w:hanging="498"/>
        <w:spacing w:after="0" w:line="284" w:lineRule="auto"/>
        <w:tabs>
          <w:tab w:leader="none" w:pos="136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Shift to Ambulatory Care and Telemedicine. </w:t>
      </w:r>
      <w:r>
        <w:rPr>
          <w:rFonts w:ascii="Arial" w:cs="Arial" w:eastAsia="Arial" w:hAnsi="Arial"/>
          <w:sz w:val="16"/>
          <w:szCs w:val="16"/>
          <w:color w:val="auto"/>
        </w:rPr>
        <w:t>The continued shift to ambulatory care, telemedicine and other outpatient care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68" w:lineRule="exact"/>
        <w:rPr>
          <w:rFonts w:ascii="Arial" w:cs="Arial" w:eastAsia="Arial" w:hAnsi="Arial"/>
          <w:sz w:val="16"/>
          <w:szCs w:val="16"/>
          <w:color w:val="auto"/>
        </w:rPr>
      </w:pPr>
    </w:p>
    <w:p>
      <w:pPr>
        <w:jc w:val="both"/>
        <w:ind w:left="1360" w:right="60" w:hanging="498"/>
        <w:spacing w:after="0" w:line="260" w:lineRule="auto"/>
        <w:tabs>
          <w:tab w:leader="none" w:pos="136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Exponential Growth of Complex Data. </w:t>
      </w:r>
      <w:r>
        <w:rPr>
          <w:rFonts w:ascii="Arial" w:cs="Arial" w:eastAsia="Arial" w:hAnsi="Arial"/>
          <w:sz w:val="17"/>
          <w:szCs w:val="17"/>
          <w:color w:val="auto"/>
        </w:rPr>
        <w:t>Electronic health records and other systems have created a proliferation of healthcare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successful companies in the healthcare industry will leverage advanced analytics and A.I. engines in order to manage data that is too complex for traditional technologies.</w:t>
      </w:r>
    </w:p>
    <w:p>
      <w:pPr>
        <w:spacing w:after="0" w:line="86" w:lineRule="exact"/>
        <w:rPr>
          <w:rFonts w:ascii="Arial" w:cs="Arial" w:eastAsia="Arial" w:hAnsi="Arial"/>
          <w:sz w:val="17"/>
          <w:szCs w:val="17"/>
          <w:color w:val="auto"/>
        </w:rPr>
      </w:pPr>
    </w:p>
    <w:p>
      <w:pPr>
        <w:ind w:left="1360" w:right="180" w:hanging="498"/>
        <w:spacing w:after="0" w:line="303" w:lineRule="auto"/>
        <w:tabs>
          <w:tab w:leader="none" w:pos="136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Regulation in Healthcare. </w:t>
      </w:r>
      <w:r>
        <w:rPr>
          <w:rFonts w:ascii="Arial" w:cs="Arial" w:eastAsia="Arial" w:hAnsi="Arial"/>
          <w:sz w:val="16"/>
          <w:szCs w:val="16"/>
          <w:color w:val="auto"/>
        </w:rPr>
        <w:t>New presidential administrations bring in new ideas and changes. We believe we will benefit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recent increases in healthcare regulation as customers require deeper insight to navigate through these changes.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Growth Strategies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1" w:lineRule="exact"/>
        <w:rPr>
          <w:sz w:val="20"/>
          <w:szCs w:val="20"/>
          <w:color w:val="auto"/>
        </w:rPr>
      </w:pPr>
    </w:p>
    <w:p>
      <w:pPr>
        <w:ind w:left="1360" w:right="180" w:hanging="498"/>
        <w:spacing w:after="0" w:line="287" w:lineRule="auto"/>
        <w:tabs>
          <w:tab w:leader="none" w:pos="136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Acquire New Customers. </w:t>
      </w:r>
      <w:r>
        <w:rPr>
          <w:rFonts w:ascii="Arial" w:cs="Arial" w:eastAsia="Arial" w:hAnsi="Arial"/>
          <w:sz w:val="15"/>
          <w:szCs w:val="15"/>
          <w:color w:val="auto"/>
        </w:rPr>
        <w:t>We believe we have a significant opportunity to continue to expand our market presence through our efficient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go-to-market engine. We have identified 100,000 potential customers across the healthcare ecosystem that we believe could benefit from our platform, a number that continues to grow. Our current customer base of over 2,700 customers implies penetration of less than 3%.</w:t>
      </w:r>
    </w:p>
    <w:p>
      <w:pPr>
        <w:ind w:left="1360"/>
        <w:spacing w:after="0" w:line="257" w:lineRule="auto"/>
        <w:rPr>
          <w:rFonts w:ascii="Arial" w:cs="Arial" w:eastAsia="Arial" w:hAnsi="Arial"/>
          <w:sz w:val="15"/>
          <w:szCs w:val="15"/>
          <w:color w:val="auto"/>
        </w:rPr>
      </w:pPr>
      <w:r>
        <w:rPr>
          <w:rFonts w:ascii="Arial" w:cs="Arial" w:eastAsia="Arial" w:hAnsi="Arial"/>
          <w:sz w:val="17"/>
          <w:szCs w:val="17"/>
          <w:color w:val="auto"/>
        </w:rPr>
        <w:t>Since June 30, 2020, we added more than 750 new customers and increased our investment in new logo sales capacity by 20% as measured by the number of directors and sales executives.</w:t>
      </w:r>
    </w:p>
    <w:p>
      <w:pPr>
        <w:spacing w:after="0" w:line="88" w:lineRule="exact"/>
        <w:rPr>
          <w:rFonts w:ascii="Arial" w:cs="Arial" w:eastAsia="Arial" w:hAnsi="Arial"/>
          <w:sz w:val="15"/>
          <w:szCs w:val="15"/>
          <w:color w:val="auto"/>
        </w:rPr>
      </w:pPr>
    </w:p>
    <w:p>
      <w:pPr>
        <w:ind w:left="1360" w:right="40" w:hanging="498"/>
        <w:spacing w:after="0" w:line="256" w:lineRule="auto"/>
        <w:tabs>
          <w:tab w:leader="none" w:pos="136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Relationships with Existing Customers. </w:t>
      </w:r>
      <w:r>
        <w:rPr>
          <w:rFonts w:ascii="Arial" w:cs="Arial" w:eastAsia="Arial" w:hAnsi="Arial"/>
          <w:sz w:val="17"/>
          <w:szCs w:val="17"/>
          <w:color w:val="auto"/>
        </w:rPr>
        <w:t>We have significant opportunity to generate additional revenue from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relationships by selling additional modules, functionality and features in addition to increasing the number of users at a customer by expanding into new teams and departments. As of September 30, 2021, 76% of our customers subscribe to fewer than four of our modules, highlighting the opportunity to expand the usage of our platform.</w:t>
      </w:r>
    </w:p>
    <w:p>
      <w:pPr>
        <w:spacing w:after="0" w:line="90" w:lineRule="exact"/>
        <w:rPr>
          <w:rFonts w:ascii="Arial" w:cs="Arial" w:eastAsia="Arial" w:hAnsi="Arial"/>
          <w:sz w:val="17"/>
          <w:szCs w:val="17"/>
          <w:color w:val="auto"/>
        </w:rPr>
      </w:pPr>
    </w:p>
    <w:p>
      <w:pPr>
        <w:jc w:val="both"/>
        <w:ind w:left="1360" w:right="140" w:hanging="498"/>
        <w:spacing w:after="0" w:line="256" w:lineRule="auto"/>
        <w:tabs>
          <w:tab w:leader="none" w:pos="136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Innovate to Strengthen our Platform and Market Leadership Position. </w:t>
      </w:r>
      <w:r>
        <w:rPr>
          <w:rFonts w:ascii="Arial" w:cs="Arial" w:eastAsia="Arial" w:hAnsi="Arial"/>
          <w:sz w:val="17"/>
          <w:szCs w:val="17"/>
          <w:color w:val="auto"/>
        </w:rPr>
        <w:t>We have been highly innovative since our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2011, and we continue to disrupt the healthcare ecosystem with new data sources, analytics, data science and workflow products. New innovations allow us to increase new deal velocity, deepen our relationships with existing customers and demand higher prices. We have and will continue to innovate in the following ways:</w:t>
      </w:r>
    </w:p>
    <w:p>
      <w:pPr>
        <w:spacing w:after="0" w:line="90" w:lineRule="exact"/>
        <w:rPr>
          <w:rFonts w:ascii="Arial" w:cs="Arial" w:eastAsia="Arial" w:hAnsi="Arial"/>
          <w:sz w:val="17"/>
          <w:szCs w:val="17"/>
          <w:color w:val="auto"/>
        </w:rPr>
      </w:pPr>
    </w:p>
    <w:p>
      <w:pPr>
        <w:ind w:left="1780" w:right="380" w:hanging="398"/>
        <w:spacing w:after="0" w:line="272" w:lineRule="auto"/>
        <w:tabs>
          <w:tab w:leader="none" w:pos="1780" w:val="left"/>
        </w:tabs>
        <w:numPr>
          <w:ilvl w:val="1"/>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New data sources: </w:t>
      </w:r>
      <w:r>
        <w:rPr>
          <w:rFonts w:ascii="Arial" w:cs="Arial" w:eastAsia="Arial" w:hAnsi="Arial"/>
          <w:sz w:val="17"/>
          <w:szCs w:val="17"/>
          <w:color w:val="auto"/>
        </w:rPr>
        <w:t>To date, we have launched 13 highly integrated intelligence modules that make up the Definitive Healthcare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including our most recent addition of a prescription drug claims source of data.</w:t>
      </w:r>
    </w:p>
    <w:p>
      <w:pPr>
        <w:spacing w:after="0" w:line="76" w:lineRule="exact"/>
        <w:rPr>
          <w:rFonts w:ascii="Arial" w:cs="Arial" w:eastAsia="Arial" w:hAnsi="Arial"/>
          <w:sz w:val="17"/>
          <w:szCs w:val="17"/>
          <w:color w:val="auto"/>
        </w:rPr>
      </w:pPr>
    </w:p>
    <w:p>
      <w:pPr>
        <w:ind w:left="1780" w:right="240" w:hanging="398"/>
        <w:spacing w:after="0" w:line="260" w:lineRule="auto"/>
        <w:tabs>
          <w:tab w:leader="none" w:pos="1780" w:val="left"/>
        </w:tabs>
        <w:numPr>
          <w:ilvl w:val="1"/>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Analytics: </w:t>
      </w:r>
      <w:r>
        <w:rPr>
          <w:rFonts w:ascii="Arial" w:cs="Arial" w:eastAsia="Arial" w:hAnsi="Arial"/>
          <w:sz w:val="17"/>
          <w:szCs w:val="17"/>
          <w:color w:val="auto"/>
        </w:rPr>
        <w:t>We are continuously updating our platform to include new features and updates to our intelligence modules.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enhancements drive customer renewals, average price and deal velocity. For example, our historical affiliation trends and updated diagnosis includes ICD-10 designations from medical billing and coding.</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780"/>
          </w:cols>
          <w:pgMar w:left="320" w:top="440" w:right="7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780" w:right="80" w:hanging="398"/>
        <w:spacing w:after="0" w:line="254" w:lineRule="auto"/>
        <w:tabs>
          <w:tab w:leader="none" w:pos="1780" w:val="left"/>
        </w:tabs>
        <w:numPr>
          <w:ilvl w:val="1"/>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science: </w:t>
      </w:r>
      <w:r>
        <w:rPr>
          <w:rFonts w:ascii="Arial" w:cs="Arial" w:eastAsia="Arial" w:hAnsi="Arial"/>
          <w:sz w:val="17"/>
          <w:szCs w:val="17"/>
          <w:color w:val="auto"/>
        </w:rPr>
        <w:t>We continue to add skilled data scientists to our growing team to focus on building out new linkages and intelligence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2" w:lineRule="exact"/>
        <w:rPr>
          <w:rFonts w:ascii="Arial" w:cs="Arial" w:eastAsia="Arial" w:hAnsi="Arial"/>
          <w:sz w:val="17"/>
          <w:szCs w:val="17"/>
          <w:color w:val="auto"/>
        </w:rPr>
      </w:pPr>
    </w:p>
    <w:p>
      <w:pPr>
        <w:ind w:left="1780" w:right="40" w:hanging="398"/>
        <w:spacing w:after="0" w:line="256" w:lineRule="auto"/>
        <w:tabs>
          <w:tab w:leader="none" w:pos="1780" w:val="left"/>
        </w:tabs>
        <w:numPr>
          <w:ilvl w:val="1"/>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Workflow products: </w:t>
      </w:r>
      <w:r>
        <w:rPr>
          <w:rFonts w:ascii="Arial" w:cs="Arial" w:eastAsia="Arial" w:hAnsi="Arial"/>
          <w:sz w:val="17"/>
          <w:szCs w:val="17"/>
          <w:color w:val="auto"/>
        </w:rPr>
        <w:t>We continue to build solutions to our customers’ important problems and seamlessly embed our platform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workflow. For example, our Latitude module allows customers to not only identify valuable patient cohorts, but also provides customers with a workflow product for Life Sciences sales representatives to build deep relationships with targeted physicians.</w:t>
      </w:r>
    </w:p>
    <w:p>
      <w:pPr>
        <w:spacing w:after="0" w:line="90" w:lineRule="exact"/>
        <w:rPr>
          <w:rFonts w:ascii="Arial" w:cs="Arial" w:eastAsia="Arial" w:hAnsi="Arial"/>
          <w:sz w:val="17"/>
          <w:szCs w:val="17"/>
          <w:color w:val="auto"/>
        </w:rPr>
      </w:pPr>
    </w:p>
    <w:p>
      <w:pPr>
        <w:ind w:left="1360" w:right="180" w:hanging="498"/>
        <w:spacing w:after="0" w:line="274" w:lineRule="auto"/>
        <w:tabs>
          <w:tab w:leader="none" w:pos="136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Make Selective Strategic Acquisitions and Investments</w:t>
      </w:r>
      <w:r>
        <w:rPr>
          <w:rFonts w:ascii="Arial" w:cs="Arial" w:eastAsia="Arial" w:hAnsi="Arial"/>
          <w:sz w:val="16"/>
          <w:szCs w:val="16"/>
          <w:color w:val="auto"/>
        </w:rPr>
        <w:t>. We will continue to consider acquisitions that we believe would enhance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or 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165"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We also regularly assess investment opportunities that will further our continued growth. We are currently targeting three key areas for investments: the expansion of our sales capacity and marketing capabilities, innovation and product development to expand our platform and general and administrative investments to support our operations as a public company.</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Platform Modules</w:t>
      </w:r>
    </w:p>
    <w:p>
      <w:pPr>
        <w:spacing w:after="0" w:line="112" w:lineRule="exact"/>
        <w:rPr>
          <w:sz w:val="20"/>
          <w:szCs w:val="20"/>
          <w:color w:val="auto"/>
        </w:rPr>
      </w:pPr>
    </w:p>
    <w:p>
      <w:pPr>
        <w:ind w:left="460" w:right="140" w:firstLine="413"/>
        <w:spacing w:after="0" w:line="340" w:lineRule="auto"/>
        <w:rPr>
          <w:sz w:val="20"/>
          <w:szCs w:val="20"/>
          <w:color w:val="auto"/>
        </w:rPr>
      </w:pPr>
      <w:r>
        <w:rPr>
          <w:rFonts w:ascii="Arial" w:cs="Arial" w:eastAsia="Arial" w:hAnsi="Arial"/>
          <w:sz w:val="15"/>
          <w:szCs w:val="15"/>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119"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Our platform includes integrated intelligence modules and workflow products that provide customers access to intelligence and tools at all levels of the healthcare ecosystem.</w:t>
      </w:r>
    </w:p>
    <w:p>
      <w:pPr>
        <w:spacing w:after="0" w:line="76" w:lineRule="exact"/>
        <w:rPr>
          <w:sz w:val="20"/>
          <w:szCs w:val="20"/>
          <w:color w:val="auto"/>
        </w:rPr>
      </w:pPr>
    </w:p>
    <w:p>
      <w:pPr>
        <w:ind w:left="1360" w:right="140" w:hanging="498"/>
        <w:spacing w:after="0" w:line="256" w:lineRule="auto"/>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Integrated Intelligence Modules</w:t>
      </w:r>
      <w:r>
        <w:rPr>
          <w:rFonts w:ascii="Arial" w:cs="Arial" w:eastAsia="Arial" w:hAnsi="Arial"/>
          <w:sz w:val="17"/>
          <w:szCs w:val="17"/>
          <w:color w:val="auto"/>
        </w:rPr>
        <w:t>: Customers may purchase any of 13 different intelligence modules providing access to intelligence on</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segments of the healthcare ecosystem. These modules include ClaimsMx, ClaimsRx, ConnectedCareView, ClinicView, HospitalView, ImagingView, LongTermCareView, PhysicianGroupView, PhysicianView, SpecialtyRxView, SurgeryCenterView, Monocl ExpertInsight and Monocl ClaimsMx.</w:t>
      </w:r>
    </w:p>
    <w:p>
      <w:pPr>
        <w:spacing w:after="0" w:line="90" w:lineRule="exact"/>
        <w:rPr>
          <w:rFonts w:ascii="Arial" w:cs="Arial" w:eastAsia="Arial" w:hAnsi="Arial"/>
          <w:sz w:val="17"/>
          <w:szCs w:val="17"/>
          <w:color w:val="auto"/>
        </w:rPr>
      </w:pPr>
    </w:p>
    <w:p>
      <w:pPr>
        <w:ind w:left="1360" w:hanging="498"/>
        <w:spacing w:after="0" w:line="260" w:lineRule="auto"/>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Workflow products</w:t>
      </w:r>
      <w:r>
        <w:rPr>
          <w:rFonts w:ascii="Arial" w:cs="Arial" w:eastAsia="Arial" w:hAnsi="Arial"/>
          <w:sz w:val="17"/>
          <w:szCs w:val="17"/>
          <w:color w:val="auto"/>
        </w:rPr>
        <w:t>: Customers can add additional workflow tools to power deeper analytics or to connect our intelligence deeper into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These modules include Definitive Healthcare Data Integration Package, Definitive Healthcare Mobile, Latitude Reporting, PatientFinder, Definitive Healthcare Connect, Monocl Engage and Monocl Connect.</w:t>
      </w:r>
    </w:p>
    <w:p>
      <w:pPr>
        <w:spacing w:after="0" w:line="175"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75"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1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740"/>
          </w:cols>
          <w:pgMar w:left="320" w:top="440" w:right="8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Examples of important intelligence provided within the modules include the following:</w:t>
      </w:r>
    </w:p>
    <w:p>
      <w:pPr>
        <w:spacing w:after="0" w:line="121" w:lineRule="exact"/>
        <w:rPr>
          <w:sz w:val="20"/>
          <w:szCs w:val="20"/>
          <w:color w:val="auto"/>
        </w:rPr>
      </w:pPr>
    </w:p>
    <w:p>
      <w:pPr>
        <w:ind w:left="1360" w:hanging="498"/>
        <w:spacing w:after="0"/>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Affiliations and relationships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Referral patterns</w:t>
      </w:r>
    </w:p>
    <w:p>
      <w:pPr>
        <w:spacing w:after="0" w:line="235" w:lineRule="exact"/>
        <w:rPr>
          <w:rFonts w:ascii="Arial" w:cs="Arial" w:eastAsia="Arial" w:hAnsi="Arial"/>
          <w:sz w:val="17"/>
          <w:szCs w:val="17"/>
          <w:color w:val="auto"/>
        </w:rPr>
      </w:pPr>
    </w:p>
    <w:p>
      <w:pPr>
        <w:ind w:left="1360" w:hanging="498"/>
        <w:spacing w:after="0"/>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Procedure and diagnosis volumes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Financial metrics and technology installs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Executive and physician decision makers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Dashboards that provide insight not data</w:t>
      </w:r>
    </w:p>
    <w:p>
      <w:pPr>
        <w:spacing w:after="0" w:line="210"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Customers utilize the Definitive Healthcare platform broadly throughout their organization to solve a variety of large, high-stakes problems as demonstrated by the following examples.</w:t>
      </w:r>
    </w:p>
    <w:p>
      <w:pPr>
        <w:spacing w:after="0" w:line="72" w:lineRule="exact"/>
        <w:rPr>
          <w:sz w:val="20"/>
          <w:szCs w:val="20"/>
          <w:color w:val="auto"/>
        </w:rPr>
      </w:pPr>
    </w:p>
    <w:p>
      <w:pPr>
        <w:ind w:left="1360" w:hanging="498"/>
        <w:spacing w:after="0"/>
        <w:tabs>
          <w:tab w:leader="none" w:pos="1360"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 xml:space="preserve">Sales: </w:t>
      </w:r>
      <w:r>
        <w:rPr>
          <w:rFonts w:ascii="Arial" w:cs="Arial" w:eastAsia="Arial" w:hAnsi="Arial"/>
          <w:sz w:val="17"/>
          <w:szCs w:val="17"/>
          <w:color w:val="auto"/>
        </w:rPr>
        <w:t>Identifying the Right Prospects</w:t>
      </w:r>
    </w:p>
    <w:p>
      <w:pPr>
        <w:spacing w:after="0" w:line="125" w:lineRule="exact"/>
        <w:rPr>
          <w:rFonts w:ascii="Arial" w:cs="Arial" w:eastAsia="Arial" w:hAnsi="Arial"/>
          <w:sz w:val="17"/>
          <w:szCs w:val="17"/>
          <w:color w:val="auto"/>
        </w:rPr>
      </w:pPr>
    </w:p>
    <w:p>
      <w:pPr>
        <w:ind w:left="1780" w:hanging="398"/>
        <w:spacing w:after="0" w:line="254" w:lineRule="auto"/>
        <w:tabs>
          <w:tab w:leader="none" w:pos="1780" w:val="left"/>
        </w:tabs>
        <w:numPr>
          <w:ilvl w:val="1"/>
          <w:numId w:val="105"/>
        </w:numPr>
        <w:rPr>
          <w:rFonts w:ascii="Arial" w:cs="Arial" w:eastAsia="Arial" w:hAnsi="Arial"/>
          <w:sz w:val="14"/>
          <w:szCs w:val="14"/>
          <w:color w:val="auto"/>
        </w:rPr>
      </w:pPr>
      <w:r>
        <w:rPr>
          <w:rFonts w:ascii="Arial" w:cs="Arial" w:eastAsia="Arial" w:hAnsi="Arial"/>
          <w:sz w:val="17"/>
          <w:szCs w:val="17"/>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92" w:lineRule="exact"/>
        <w:rPr>
          <w:rFonts w:ascii="Arial" w:cs="Arial" w:eastAsia="Arial" w:hAnsi="Arial"/>
          <w:sz w:val="14"/>
          <w:szCs w:val="14"/>
          <w:color w:val="auto"/>
        </w:rPr>
      </w:pPr>
    </w:p>
    <w:p>
      <w:pPr>
        <w:ind w:left="1780" w:hanging="398"/>
        <w:spacing w:after="0" w:line="274" w:lineRule="auto"/>
        <w:tabs>
          <w:tab w:leader="none" w:pos="1780" w:val="left"/>
        </w:tabs>
        <w:numPr>
          <w:ilvl w:val="1"/>
          <w:numId w:val="105"/>
        </w:numPr>
        <w:rPr>
          <w:rFonts w:ascii="Arial" w:cs="Arial" w:eastAsia="Arial" w:hAnsi="Arial"/>
          <w:sz w:val="13"/>
          <w:szCs w:val="13"/>
          <w:color w:val="auto"/>
        </w:rPr>
      </w:pPr>
      <w:r>
        <w:rPr>
          <w:rFonts w:ascii="Arial" w:cs="Arial" w:eastAsia="Arial" w:hAnsi="Arial"/>
          <w:sz w:val="16"/>
          <w:szCs w:val="16"/>
          <w:color w:val="auto"/>
        </w:rPr>
        <w:t>A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368" w:lineRule="exact"/>
        <w:rPr>
          <w:sz w:val="20"/>
          <w:szCs w:val="20"/>
          <w:color w:val="auto"/>
        </w:rPr>
      </w:pPr>
    </w:p>
    <w:p>
      <w:pPr>
        <w:ind w:left="3780"/>
        <w:spacing w:after="0"/>
        <w:rPr>
          <w:sz w:val="20"/>
          <w:szCs w:val="20"/>
          <w:color w:val="auto"/>
        </w:rPr>
      </w:pPr>
      <w:r>
        <w:rPr>
          <w:rFonts w:ascii="Arial" w:cs="Arial" w:eastAsia="Arial" w:hAnsi="Arial"/>
          <w:sz w:val="17"/>
          <w:szCs w:val="17"/>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156845</wp:posOffset>
            </wp:positionV>
            <wp:extent cx="4800600" cy="2074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0060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740"/>
          </w:cols>
          <w:pgMar w:left="320" w:top="440" w:right="8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360" w:hanging="498"/>
        <w:spacing w:after="0"/>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Marketing: </w:t>
      </w:r>
      <w:r>
        <w:rPr>
          <w:rFonts w:ascii="Arial" w:cs="Arial" w:eastAsia="Arial" w:hAnsi="Arial"/>
          <w:sz w:val="17"/>
          <w:szCs w:val="17"/>
          <w:color w:val="auto"/>
        </w:rPr>
        <w:t>Demonstrating a Quantifiable ROI</w:t>
      </w:r>
    </w:p>
    <w:p>
      <w:pPr>
        <w:spacing w:after="0" w:line="125" w:lineRule="exact"/>
        <w:rPr>
          <w:rFonts w:ascii="Arial" w:cs="Arial" w:eastAsia="Arial" w:hAnsi="Arial"/>
          <w:sz w:val="17"/>
          <w:szCs w:val="17"/>
          <w:color w:val="auto"/>
        </w:rPr>
      </w:pPr>
    </w:p>
    <w:p>
      <w:pPr>
        <w:ind w:left="1780" w:hanging="398"/>
        <w:spacing w:after="0" w:line="252" w:lineRule="auto"/>
        <w:tabs>
          <w:tab w:leader="none" w:pos="1780" w:val="left"/>
        </w:tabs>
        <w:numPr>
          <w:ilvl w:val="1"/>
          <w:numId w:val="106"/>
        </w:numPr>
        <w:rPr>
          <w:rFonts w:ascii="Arial" w:cs="Arial" w:eastAsia="Arial" w:hAnsi="Arial"/>
          <w:sz w:val="14"/>
          <w:szCs w:val="14"/>
          <w:color w:val="auto"/>
        </w:rPr>
      </w:pPr>
      <w:r>
        <w:rPr>
          <w:rFonts w:ascii="Arial" w:cs="Arial" w:eastAsia="Arial" w:hAnsi="Arial"/>
          <w:sz w:val="17"/>
          <w:szCs w:val="17"/>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387" w:lineRule="exact"/>
        <w:rPr>
          <w:sz w:val="20"/>
          <w:szCs w:val="20"/>
          <w:color w:val="auto"/>
        </w:rPr>
      </w:pPr>
    </w:p>
    <w:p>
      <w:pPr>
        <w:ind w:left="3700"/>
        <w:spacing w:after="0"/>
        <w:rPr>
          <w:sz w:val="20"/>
          <w:szCs w:val="20"/>
          <w:color w:val="auto"/>
        </w:rPr>
      </w:pPr>
      <w:r>
        <w:rPr>
          <w:rFonts w:ascii="Arial" w:cs="Arial" w:eastAsia="Arial" w:hAnsi="Arial"/>
          <w:sz w:val="17"/>
          <w:szCs w:val="17"/>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157480</wp:posOffset>
            </wp:positionV>
            <wp:extent cx="4639945" cy="19862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39945" cy="198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60" w:hanging="498"/>
        <w:spacing w:after="0"/>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 xml:space="preserve">Clinical Research &amp; Product Development: </w:t>
      </w:r>
      <w:r>
        <w:rPr>
          <w:rFonts w:ascii="Arial" w:cs="Arial" w:eastAsia="Arial" w:hAnsi="Arial"/>
          <w:sz w:val="17"/>
          <w:szCs w:val="17"/>
          <w:color w:val="auto"/>
        </w:rPr>
        <w:t>Disease and Commercial Market Targeting</w:t>
      </w:r>
    </w:p>
    <w:p>
      <w:pPr>
        <w:spacing w:after="0" w:line="125" w:lineRule="exact"/>
        <w:rPr>
          <w:rFonts w:ascii="Arial" w:cs="Arial" w:eastAsia="Arial" w:hAnsi="Arial"/>
          <w:sz w:val="17"/>
          <w:szCs w:val="17"/>
          <w:color w:val="auto"/>
        </w:rPr>
      </w:pPr>
    </w:p>
    <w:p>
      <w:pPr>
        <w:ind w:left="1780" w:right="60" w:hanging="398"/>
        <w:spacing w:after="0" w:line="253" w:lineRule="auto"/>
        <w:tabs>
          <w:tab w:leader="none" w:pos="1780" w:val="left"/>
        </w:tabs>
        <w:numPr>
          <w:ilvl w:val="1"/>
          <w:numId w:val="107"/>
        </w:numPr>
        <w:rPr>
          <w:rFonts w:ascii="Arial" w:cs="Arial" w:eastAsia="Arial" w:hAnsi="Arial"/>
          <w:sz w:val="14"/>
          <w:szCs w:val="14"/>
          <w:color w:val="auto"/>
        </w:rPr>
      </w:pPr>
      <w:r>
        <w:rPr>
          <w:rFonts w:ascii="Arial" w:cs="Arial" w:eastAsia="Arial" w:hAnsi="Arial"/>
          <w:sz w:val="17"/>
          <w:szCs w:val="17"/>
          <w:i w:val="1"/>
          <w:iCs w:val="1"/>
          <w:color w:val="auto"/>
        </w:rPr>
        <w:t>The Medical Affairs department within the rare disease division of a mid-sized international biotech company had a 20-person field team of medical science liaisons (“MSLs”). This 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780"/>
          </w:cols>
          <w:pgMar w:left="320" w:top="440" w:right="79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2920"/>
        <w:spacing w:after="0"/>
        <w:rPr>
          <w:sz w:val="20"/>
          <w:szCs w:val="20"/>
          <w:color w:val="auto"/>
        </w:rPr>
      </w:pPr>
      <w:r>
        <w:rPr>
          <w:rFonts w:ascii="Arial" w:cs="Arial" w:eastAsia="Arial" w:hAnsi="Arial"/>
          <w:sz w:val="17"/>
          <w:szCs w:val="17"/>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157480</wp:posOffset>
            </wp:positionV>
            <wp:extent cx="4639945" cy="19862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39945" cy="198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60" w:hanging="498"/>
        <w:spacing w:after="0"/>
        <w:tabs>
          <w:tab w:leader="none" w:pos="136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Strategy: </w:t>
      </w:r>
      <w:r>
        <w:rPr>
          <w:rFonts w:ascii="Arial" w:cs="Arial" w:eastAsia="Arial" w:hAnsi="Arial"/>
          <w:sz w:val="17"/>
          <w:szCs w:val="17"/>
          <w:color w:val="auto"/>
        </w:rPr>
        <w:t>Locating Adjacent Markets and Underdiagnosed Patients</w:t>
      </w:r>
    </w:p>
    <w:p>
      <w:pPr>
        <w:spacing w:after="0" w:line="125" w:lineRule="exact"/>
        <w:rPr>
          <w:rFonts w:ascii="Arial" w:cs="Arial" w:eastAsia="Arial" w:hAnsi="Arial"/>
          <w:sz w:val="17"/>
          <w:szCs w:val="17"/>
          <w:color w:val="auto"/>
        </w:rPr>
      </w:pPr>
    </w:p>
    <w:p>
      <w:pPr>
        <w:ind w:left="1780" w:hanging="398"/>
        <w:spacing w:after="0" w:line="277" w:lineRule="auto"/>
        <w:tabs>
          <w:tab w:leader="none" w:pos="1780" w:val="left"/>
        </w:tabs>
        <w:numPr>
          <w:ilvl w:val="1"/>
          <w:numId w:val="108"/>
        </w:numPr>
        <w:rPr>
          <w:rFonts w:ascii="Arial" w:cs="Arial" w:eastAsia="Arial" w:hAnsi="Arial"/>
          <w:sz w:val="13"/>
          <w:szCs w:val="13"/>
          <w:color w:val="auto"/>
        </w:rPr>
      </w:pPr>
      <w:r>
        <w:rPr>
          <w:rFonts w:ascii="Arial" w:cs="Arial" w:eastAsia="Arial" w:hAnsi="Arial"/>
          <w:sz w:val="16"/>
          <w:szCs w:val="16"/>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 indicated the presence of a more severe, rare disease. By educating the identified physicians treating these patients, the company was able to yield 15 net new physicians that were not previously on their radar.</w:t>
      </w:r>
    </w:p>
    <w:p>
      <w:pPr>
        <w:spacing w:after="0" w:line="366" w:lineRule="exact"/>
        <w:rPr>
          <w:sz w:val="20"/>
          <w:szCs w:val="20"/>
          <w:color w:val="auto"/>
        </w:rPr>
      </w:pPr>
    </w:p>
    <w:p>
      <w:pPr>
        <w:ind w:left="3100"/>
        <w:spacing w:after="0"/>
        <w:rPr>
          <w:sz w:val="20"/>
          <w:szCs w:val="20"/>
          <w:color w:val="auto"/>
        </w:rPr>
      </w:pPr>
      <w:r>
        <w:rPr>
          <w:rFonts w:ascii="Arial" w:cs="Arial" w:eastAsia="Arial" w:hAnsi="Arial"/>
          <w:sz w:val="17"/>
          <w:szCs w:val="17"/>
          <w:b w:val="1"/>
          <w:bCs w:val="1"/>
          <w:i w:val="1"/>
          <w:iCs w:val="1"/>
          <w:color w:val="auto"/>
        </w:rPr>
        <w:t>Find Patient Populations for More Informed Practitioner Conversations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360" w:hanging="498"/>
        <w:spacing w:after="0"/>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Talent Acquisition: </w:t>
      </w:r>
      <w:r>
        <w:rPr>
          <w:rFonts w:ascii="Arial" w:cs="Arial" w:eastAsia="Arial" w:hAnsi="Arial"/>
          <w:sz w:val="17"/>
          <w:szCs w:val="17"/>
          <w:color w:val="auto"/>
        </w:rPr>
        <w:t>Addressing Turnover in Critical Healthcare Positions</w:t>
      </w:r>
    </w:p>
    <w:p>
      <w:pPr>
        <w:spacing w:after="0" w:line="125" w:lineRule="exact"/>
        <w:rPr>
          <w:rFonts w:ascii="Arial" w:cs="Arial" w:eastAsia="Arial" w:hAnsi="Arial"/>
          <w:sz w:val="17"/>
          <w:szCs w:val="17"/>
          <w:color w:val="auto"/>
        </w:rPr>
      </w:pPr>
    </w:p>
    <w:p>
      <w:pPr>
        <w:ind w:left="1780" w:right="140" w:hanging="398"/>
        <w:spacing w:after="0" w:line="277" w:lineRule="auto"/>
        <w:tabs>
          <w:tab w:leader="none" w:pos="1780" w:val="left"/>
        </w:tabs>
        <w:numPr>
          <w:ilvl w:val="1"/>
          <w:numId w:val="109"/>
        </w:numPr>
        <w:rPr>
          <w:rFonts w:ascii="Arial" w:cs="Arial" w:eastAsia="Arial" w:hAnsi="Arial"/>
          <w:sz w:val="13"/>
          <w:szCs w:val="13"/>
          <w:color w:val="auto"/>
        </w:rPr>
      </w:pPr>
      <w:r>
        <w:rPr>
          <w:rFonts w:ascii="Arial" w:cs="Arial" w:eastAsia="Arial" w:hAnsi="Arial"/>
          <w:sz w:val="16"/>
          <w:szCs w:val="16"/>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760"/>
          </w:cols>
          <w:pgMar w:left="320" w:top="440" w:right="81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agency analyzed individual physician behavior at the hospital level to understand potential physician availability.</w:t>
      </w: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Arial" w:cs="Arial" w:eastAsia="Arial" w:hAnsi="Arial"/>
          <w:sz w:val="17"/>
          <w:szCs w:val="17"/>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156845</wp:posOffset>
            </wp:positionV>
            <wp:extent cx="4599940" cy="19704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99940"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360" w:hanging="498"/>
        <w:spacing w:after="0"/>
        <w:tabs>
          <w:tab w:leader="none" w:pos="136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 xml:space="preserve">Physician Network Management: </w:t>
      </w:r>
      <w:r>
        <w:rPr>
          <w:rFonts w:ascii="Arial" w:cs="Arial" w:eastAsia="Arial" w:hAnsi="Arial"/>
          <w:sz w:val="17"/>
          <w:szCs w:val="17"/>
          <w:color w:val="auto"/>
        </w:rPr>
        <w:t>Entering New Healthcare End-Markets</w:t>
      </w:r>
    </w:p>
    <w:p>
      <w:pPr>
        <w:spacing w:after="0" w:line="125" w:lineRule="exact"/>
        <w:rPr>
          <w:rFonts w:ascii="Arial" w:cs="Arial" w:eastAsia="Arial" w:hAnsi="Arial"/>
          <w:sz w:val="17"/>
          <w:szCs w:val="17"/>
          <w:color w:val="auto"/>
        </w:rPr>
      </w:pPr>
    </w:p>
    <w:p>
      <w:pPr>
        <w:ind w:left="1780" w:hanging="398"/>
        <w:spacing w:after="0" w:line="296" w:lineRule="auto"/>
        <w:tabs>
          <w:tab w:leader="none" w:pos="1780" w:val="left"/>
        </w:tabs>
        <w:numPr>
          <w:ilvl w:val="1"/>
          <w:numId w:val="110"/>
        </w:numPr>
        <w:rPr>
          <w:rFonts w:ascii="Arial" w:cs="Arial" w:eastAsia="Arial" w:hAnsi="Arial"/>
          <w:sz w:val="12"/>
          <w:szCs w:val="12"/>
          <w:color w:val="auto"/>
        </w:rPr>
      </w:pPr>
      <w:r>
        <w:rPr>
          <w:rFonts w:ascii="Arial" w:cs="Arial" w:eastAsia="Arial" w:hAnsi="Arial"/>
          <w:sz w:val="15"/>
          <w:szCs w:val="15"/>
          <w:i w:val="1"/>
          <w:iCs w:val="1"/>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 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355" w:lineRule="exact"/>
        <w:rPr>
          <w:sz w:val="20"/>
          <w:szCs w:val="20"/>
          <w:color w:val="auto"/>
        </w:rPr>
      </w:pPr>
    </w:p>
    <w:p>
      <w:pPr>
        <w:ind w:left="2900"/>
        <w:spacing w:after="0"/>
        <w:rPr>
          <w:sz w:val="20"/>
          <w:szCs w:val="20"/>
          <w:color w:val="auto"/>
        </w:rPr>
      </w:pPr>
      <w:r>
        <w:rPr>
          <w:rFonts w:ascii="Arial" w:cs="Arial" w:eastAsia="Arial" w:hAnsi="Arial"/>
          <w:sz w:val="17"/>
          <w:szCs w:val="17"/>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1287780</wp:posOffset>
            </wp:positionH>
            <wp:positionV relativeFrom="paragraph">
              <wp:posOffset>157480</wp:posOffset>
            </wp:positionV>
            <wp:extent cx="4567555" cy="19704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67555"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Innovation of our Platform</w:t>
      </w:r>
    </w:p>
    <w:p>
      <w:pPr>
        <w:spacing w:after="0" w:line="112" w:lineRule="exact"/>
        <w:rPr>
          <w:sz w:val="20"/>
          <w:szCs w:val="20"/>
          <w:color w:val="auto"/>
        </w:rPr>
      </w:pPr>
    </w:p>
    <w:p>
      <w:pPr>
        <w:ind w:left="460" w:right="720" w:firstLine="413"/>
        <w:spacing w:after="0" w:line="272" w:lineRule="auto"/>
        <w:rPr>
          <w:sz w:val="20"/>
          <w:szCs w:val="20"/>
          <w:color w:val="auto"/>
        </w:rPr>
      </w:pPr>
      <w:r>
        <w:rPr>
          <w:rFonts w:ascii="Arial" w:cs="Arial" w:eastAsia="Arial" w:hAnsi="Arial"/>
          <w:sz w:val="17"/>
          <w:szCs w:val="17"/>
          <w:color w:val="auto"/>
        </w:rPr>
        <w:t>We are constantly innovating, evolving and improving our platform in order to adapt to the rapidly changing dynamics of the healthcare ecosystem, as well as to expand the number and sophistication of business problems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760"/>
          </w:cols>
          <w:pgMar w:left="320" w:top="440" w:right="81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that we help our customers solve. This innovation translates into increased value for our customers, as well as deal velocity and creates opportunities to increase sales into our broad existing customer base.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innovate through a combination of the following key activities:</w:t>
      </w:r>
    </w:p>
    <w:p>
      <w:pPr>
        <w:spacing w:after="0" w:line="121" w:lineRule="exact"/>
        <w:rPr>
          <w:sz w:val="20"/>
          <w:szCs w:val="20"/>
          <w:color w:val="auto"/>
        </w:rPr>
      </w:pPr>
    </w:p>
    <w:p>
      <w:pPr>
        <w:jc w:val="both"/>
        <w:ind w:left="1360" w:hanging="498"/>
        <w:spacing w:after="0" w:line="260"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Adding New Data Sources</w:t>
      </w:r>
      <w:r>
        <w:rPr>
          <w:rFonts w:ascii="Arial" w:cs="Arial" w:eastAsia="Arial" w:hAnsi="Arial"/>
          <w:sz w:val="17"/>
          <w:szCs w:val="17"/>
          <w:color w:val="auto"/>
        </w:rPr>
        <w:t>. We are constantly identifying new data sources, big and small, which add to the depth of intelligence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provider in our platform. A few examples of recent additions include intelligence on updated Medicare incentives and information on over 5 billion prescription drugs claims.</w:t>
      </w:r>
    </w:p>
    <w:p>
      <w:pPr>
        <w:spacing w:after="0" w:line="86" w:lineRule="exact"/>
        <w:rPr>
          <w:rFonts w:ascii="Arial" w:cs="Arial" w:eastAsia="Arial" w:hAnsi="Arial"/>
          <w:sz w:val="17"/>
          <w:szCs w:val="17"/>
          <w:color w:val="auto"/>
        </w:rPr>
      </w:pPr>
    </w:p>
    <w:p>
      <w:pPr>
        <w:ind w:left="1360" w:right="220" w:hanging="498"/>
        <w:spacing w:after="0" w:line="256"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Building New Capabilities and Analytics</w:t>
      </w:r>
      <w:r>
        <w:rPr>
          <w:rFonts w:ascii="Arial" w:cs="Arial" w:eastAsia="Arial" w:hAnsi="Arial"/>
          <w:sz w:val="17"/>
          <w:szCs w:val="17"/>
          <w:color w:val="auto"/>
        </w:rPr>
        <w:t>. Giving our customers answers, not data, is at the core of our platform. To do this, we seek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0" w:lineRule="exact"/>
        <w:rPr>
          <w:rFonts w:ascii="Arial" w:cs="Arial" w:eastAsia="Arial" w:hAnsi="Arial"/>
          <w:sz w:val="17"/>
          <w:szCs w:val="17"/>
          <w:color w:val="auto"/>
        </w:rPr>
      </w:pPr>
    </w:p>
    <w:p>
      <w:pPr>
        <w:ind w:left="1360" w:right="40" w:hanging="498"/>
        <w:spacing w:after="0" w:line="311" w:lineRule="auto"/>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Creating New Data Science</w:t>
      </w:r>
      <w:r>
        <w:rPr>
          <w:rFonts w:ascii="Arial" w:cs="Arial" w:eastAsia="Arial" w:hAnsi="Arial"/>
          <w:sz w:val="15"/>
          <w:szCs w:val="15"/>
          <w:color w:val="auto"/>
        </w:rPr>
        <w:t>. Our data science team is constantly refining our data and creating new algorithms that generate tangible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Flywheel Effect of our Growing Platform</w:t>
      </w:r>
    </w:p>
    <w:p>
      <w:pPr>
        <w:spacing w:after="0" w:line="112" w:lineRule="exact"/>
        <w:rPr>
          <w:sz w:val="20"/>
          <w:szCs w:val="20"/>
          <w:color w:val="auto"/>
        </w:rPr>
      </w:pPr>
    </w:p>
    <w:p>
      <w:pPr>
        <w:ind w:left="460" w:right="440" w:firstLine="413"/>
        <w:spacing w:after="0" w:line="272" w:lineRule="auto"/>
        <w:rPr>
          <w:sz w:val="20"/>
          <w:szCs w:val="20"/>
          <w:color w:val="auto"/>
        </w:rPr>
      </w:pPr>
      <w:r>
        <w:rPr>
          <w:rFonts w:ascii="Arial" w:cs="Arial" w:eastAsia="Arial" w:hAnsi="Arial"/>
          <w:sz w:val="17"/>
          <w:szCs w:val="17"/>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Examples of how this works include:</w:t>
      </w:r>
    </w:p>
    <w:p>
      <w:pPr>
        <w:spacing w:after="0" w:line="121" w:lineRule="exact"/>
        <w:rPr>
          <w:sz w:val="20"/>
          <w:szCs w:val="20"/>
          <w:color w:val="auto"/>
        </w:rPr>
      </w:pPr>
    </w:p>
    <w:p>
      <w:pPr>
        <w:ind w:left="1360" w:right="500" w:hanging="498"/>
        <w:spacing w:after="0" w:line="272" w:lineRule="auto"/>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By integrating in scientific research publications, our algorithms are able to identify additional affiliations and increase precision of existing affiliation information;</w:t>
      </w:r>
    </w:p>
    <w:p>
      <w:pPr>
        <w:spacing w:after="0" w:line="76" w:lineRule="exact"/>
        <w:rPr>
          <w:rFonts w:ascii="Arial" w:cs="Arial" w:eastAsia="Arial" w:hAnsi="Arial"/>
          <w:sz w:val="17"/>
          <w:szCs w:val="17"/>
          <w:color w:val="auto"/>
        </w:rPr>
      </w:pPr>
    </w:p>
    <w:p>
      <w:pPr>
        <w:ind w:left="1360" w:right="660" w:hanging="498"/>
        <w:spacing w:after="0" w:line="272" w:lineRule="auto"/>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With the addition of historical claims data to our platform, we can use our affiliations information to understand and map referral relationships as they change over time;</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By pulling in new information on job postings, we can enhance our view on new technology implementations across a health system;</w:t>
      </w:r>
    </w:p>
    <w:p>
      <w:pPr>
        <w:spacing w:after="0" w:line="132" w:lineRule="exact"/>
        <w:rPr>
          <w:rFonts w:ascii="Arial" w:cs="Arial" w:eastAsia="Arial" w:hAnsi="Arial"/>
          <w:sz w:val="16"/>
          <w:szCs w:val="16"/>
          <w:color w:val="auto"/>
        </w:rPr>
      </w:pPr>
    </w:p>
    <w:p>
      <w:pPr>
        <w:ind w:left="1360" w:right="320" w:hanging="498"/>
        <w:spacing w:after="0" w:line="272" w:lineRule="auto"/>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a result of comparing procedure data at the physician level to that at the physician group and health system level we can determine where decision making power exists; and</w:t>
      </w:r>
    </w:p>
    <w:p>
      <w:pPr>
        <w:spacing w:after="0" w:line="76" w:lineRule="exact"/>
        <w:rPr>
          <w:rFonts w:ascii="Arial" w:cs="Arial" w:eastAsia="Arial" w:hAnsi="Arial"/>
          <w:sz w:val="17"/>
          <w:szCs w:val="17"/>
          <w:color w:val="auto"/>
        </w:rPr>
      </w:pPr>
    </w:p>
    <w:p>
      <w:pPr>
        <w:ind w:left="1360" w:right="480" w:hanging="498"/>
        <w:spacing w:after="0" w:line="272" w:lineRule="auto"/>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Through collecting physician address information for individual physicians from numerous locations, we can triangulate the data to determine primary practice locations with a high degree of accuracy.</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740"/>
          </w:cols>
          <w:pgMar w:left="320" w:top="440" w:right="8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 Continually Reinforcing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2630170</wp:posOffset>
            </wp:positionH>
            <wp:positionV relativeFrom="paragraph">
              <wp:posOffset>160020</wp:posOffset>
            </wp:positionV>
            <wp:extent cx="1881505" cy="18738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1505" cy="187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Technology</w:t>
      </w:r>
    </w:p>
    <w:p>
      <w:pPr>
        <w:spacing w:after="0" w:line="112" w:lineRule="exact"/>
        <w:rPr>
          <w:sz w:val="20"/>
          <w:szCs w:val="20"/>
          <w:color w:val="auto"/>
        </w:rPr>
      </w:pPr>
    </w:p>
    <w:p>
      <w:pPr>
        <w:ind w:left="460" w:right="60" w:firstLine="413"/>
        <w:spacing w:after="0" w:line="284" w:lineRule="auto"/>
        <w:rPr>
          <w:sz w:val="20"/>
          <w:szCs w:val="20"/>
          <w:color w:val="auto"/>
        </w:rPr>
      </w:pPr>
      <w:r>
        <w:rPr>
          <w:rFonts w:ascii="Arial" w:cs="Arial" w:eastAsia="Arial" w:hAnsi="Arial"/>
          <w:sz w:val="16"/>
          <w:szCs w:val="16"/>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57"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57" w:lineRule="exact"/>
        <w:rPr>
          <w:sz w:val="20"/>
          <w:szCs w:val="20"/>
          <w:color w:val="auto"/>
        </w:rPr>
      </w:pPr>
    </w:p>
    <w:p>
      <w:pPr>
        <w:ind w:left="460" w:right="160" w:firstLine="413"/>
        <w:spacing w:after="0" w:line="340" w:lineRule="auto"/>
        <w:rPr>
          <w:sz w:val="20"/>
          <w:szCs w:val="20"/>
          <w:color w:val="auto"/>
        </w:rPr>
      </w:pPr>
      <w:r>
        <w:rPr>
          <w:rFonts w:ascii="Arial" w:cs="Arial" w:eastAsia="Arial" w:hAnsi="Arial"/>
          <w:sz w:val="15"/>
          <w:szCs w:val="15"/>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Customers</w:t>
      </w:r>
    </w:p>
    <w:p>
      <w:pPr>
        <w:spacing w:after="0" w:line="112"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As of September 30, 2021, we have a large and diverse base of over 2,700 customers that sell into or compete in the healthcare ecosystem. Our customers range across include healthcare focused companies such as Life Sciences, HCIT and Healthcare Providers as well as other diversified companies, such as financial institutions, health insurance and medical insurance companies, staffing firms and consultants that are looking to sell into the large healthcare market. Our customer contracts are generally one to three years in term, and typically automatically renew unless terminated. We had 292 Enterprise Customers with over $100,000 in ARR at year end 2020, compared to 221 Enterprise Customers for the year ended December 31, 2019 and our NDR for Enterprise Customers for the year ended December 31, 2020 was 124%. For 2020, our NDR for all customers over $17,500 in ARR was 108%. We had 377 Enterprise Customers as of the nine months ended September 30, 2021 compared to 252 Enterprise Customers as of the nine months ended September 30, 2020, and we added 28 Enterprise Customers in the three months ended September 30, 2021. For the trailing twelve months ended June 30, 2021, our NDR for our 349 Enterprise Customers was 125% and our NDR for all customers over $17,500 in ARR was 111%. No single customer accounted for more than 2% of revenue for the year ended December 31, 2020 or the nine months ended September 30, 2021.</w:t>
      </w:r>
    </w:p>
    <w:p>
      <w:pPr>
        <w:spacing w:after="0" w:line="159"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Our integrated platform is designed to drive commercial success for companies that sell into or competes in the healthcare ecosystem, creating a large end-market for us. Significant end markets include:</w:t>
      </w:r>
    </w:p>
    <w:p>
      <w:pPr>
        <w:spacing w:after="0" w:line="76" w:lineRule="exact"/>
        <w:rPr>
          <w:sz w:val="20"/>
          <w:szCs w:val="20"/>
          <w:color w:val="auto"/>
        </w:rPr>
      </w:pPr>
    </w:p>
    <w:p>
      <w:pPr>
        <w:ind w:left="1360" w:right="200" w:hanging="498"/>
        <w:spacing w:after="0" w:line="303" w:lineRule="auto"/>
        <w:tabs>
          <w:tab w:leader="none" w:pos="136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Life Sciences</w:t>
      </w:r>
      <w:r>
        <w:rPr>
          <w:rFonts w:ascii="Arial" w:cs="Arial" w:eastAsia="Arial" w:hAnsi="Arial"/>
          <w:sz w:val="16"/>
          <w:szCs w:val="16"/>
          <w:color w:val="auto"/>
        </w:rPr>
        <w:t>, including biopharmaceutical, medical device and biotechnology companies who utilize the Definitive platform to analyze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 populations, identify experts for clinical trials, develop go-to-market strategies and measure their success.</w:t>
      </w:r>
    </w:p>
    <w:p>
      <w:pPr>
        <w:spacing w:after="0" w:line="8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780"/>
          </w:cols>
          <w:pgMar w:left="320" w:top="440" w:right="79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100" w:hanging="498"/>
        <w:spacing w:after="0" w:line="260" w:lineRule="auto"/>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b w:val="1"/>
          <w:bCs w:val="1"/>
          <w:i w:val="1"/>
          <w:iCs w:val="1"/>
          <w:color w:val="auto"/>
        </w:rPr>
        <w:t>Healthcare Information Technology (HCIT)</w:t>
      </w:r>
      <w:r>
        <w:rPr>
          <w:rFonts w:ascii="Arial" w:cs="Arial" w:eastAsia="Arial" w:hAnsi="Arial"/>
          <w:sz w:val="17"/>
          <w:szCs w:val="17"/>
          <w:color w:val="auto"/>
        </w:rPr>
        <w:t>, including companies that develop software or related services for the healthcare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 the Definitive Healthcare platform to target and segment providers based on need such as high readmission rates, growing service lines (e.g. cardiovascular) or new locations.</w:t>
      </w:r>
    </w:p>
    <w:p>
      <w:pPr>
        <w:spacing w:after="0" w:line="86" w:lineRule="exact"/>
        <w:rPr>
          <w:rFonts w:ascii="Arial" w:cs="Arial" w:eastAsia="Arial" w:hAnsi="Arial"/>
          <w:sz w:val="17"/>
          <w:szCs w:val="17"/>
          <w:color w:val="auto"/>
        </w:rPr>
      </w:pPr>
    </w:p>
    <w:p>
      <w:pPr>
        <w:ind w:left="1360" w:right="480" w:hanging="498"/>
        <w:spacing w:after="0" w:line="260" w:lineRule="auto"/>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Providers, </w:t>
      </w:r>
      <w:r>
        <w:rPr>
          <w:rFonts w:ascii="Arial" w:cs="Arial" w:eastAsia="Arial" w:hAnsi="Arial"/>
          <w:sz w:val="17"/>
          <w:szCs w:val="17"/>
          <w:color w:val="auto"/>
        </w:rPr>
        <w:t>including hospitals, accountable care organizations, long-term care facilities and other healthcare providers,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the Definitive Healthcare platform to identify and build relationships with referring physicians and facilities and to identify opportunities to keep patients in their provider network.</w:t>
      </w:r>
    </w:p>
    <w:p>
      <w:pPr>
        <w:spacing w:after="0" w:line="86" w:lineRule="exact"/>
        <w:rPr>
          <w:rFonts w:ascii="Arial" w:cs="Arial" w:eastAsia="Arial" w:hAnsi="Arial"/>
          <w:sz w:val="17"/>
          <w:szCs w:val="17"/>
          <w:color w:val="auto"/>
        </w:rPr>
      </w:pPr>
    </w:p>
    <w:p>
      <w:pPr>
        <w:jc w:val="both"/>
        <w:ind w:left="1360" w:right="60" w:hanging="498"/>
        <w:spacing w:after="0" w:line="284" w:lineRule="auto"/>
        <w:tabs>
          <w:tab w:leader="none" w:pos="1360"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Companies, </w:t>
      </w:r>
      <w:r>
        <w:rPr>
          <w:rFonts w:ascii="Arial" w:cs="Arial" w:eastAsia="Arial" w:hAnsi="Arial"/>
          <w:sz w:val="16"/>
          <w:szCs w:val="16"/>
          <w:color w:val="auto"/>
        </w:rPr>
        <w:t>including professional services, financial services, staffing, waste management and other companies that sell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compete in the healthcare ecosystem, access the Definitive Healthcare platform for pricing, targeting and segmentation and for building an ROI case for their products and services based on deep contextual information found in the platform.</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Customer case studies include:</w:t>
      </w:r>
    </w:p>
    <w:p>
      <w:pPr>
        <w:spacing w:after="0" w:line="121" w:lineRule="exact"/>
        <w:rPr>
          <w:sz w:val="20"/>
          <w:szCs w:val="20"/>
          <w:color w:val="auto"/>
        </w:rPr>
      </w:pPr>
    </w:p>
    <w:p>
      <w:pPr>
        <w:ind w:left="1360" w:right="40" w:hanging="498"/>
        <w:spacing w:after="0" w:line="270" w:lineRule="auto"/>
        <w:tabs>
          <w:tab w:leader="none" w:pos="136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multinational, biotechnology company </w:t>
      </w:r>
      <w:r>
        <w:rPr>
          <w:rFonts w:ascii="Arial" w:cs="Arial" w:eastAsia="Arial" w:hAnsi="Arial"/>
          <w:sz w:val="16"/>
          <w:szCs w:val="16"/>
          <w:color w:val="auto"/>
        </w:rPr>
        <w:t>first subscribed to the Definitive Healthcare platform in January 2019 at $500,000 ARR in order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enhance their sales strategy with one of their franchises which focuses in rare disease. Given the difficulties of the rare disease space, coupled with being a relatively new drug to market, the customer needed help reaching, communicating with and educating a hard-to- find patient and provider community. Data from Definitive Healthcare’s PhysicianView, HospitalView, ClaimsMx, ClaimsRx and LongTermCareView enabled them to position themselves as a trusted partner and the #1 experts in their space, translating into more of the correct patients on therapy. We have recently expanded our PhysicianView offering, increasing our intelligence on our physician specialities. We have also expanded our HospitalView data with intelligence organizational charts.</w:t>
      </w:r>
    </w:p>
    <w:p>
      <w:pPr>
        <w:spacing w:after="0" w:line="70" w:lineRule="exact"/>
        <w:rPr>
          <w:rFonts w:ascii="Arial" w:cs="Arial" w:eastAsia="Arial" w:hAnsi="Arial"/>
          <w:sz w:val="16"/>
          <w:szCs w:val="16"/>
          <w:color w:val="auto"/>
        </w:rPr>
      </w:pPr>
    </w:p>
    <w:p>
      <w:pPr>
        <w:ind w:left="1380"/>
        <w:spacing w:after="0" w:line="293" w:lineRule="auto"/>
        <w:rPr>
          <w:rFonts w:ascii="Arial" w:cs="Arial" w:eastAsia="Arial" w:hAnsi="Arial"/>
          <w:sz w:val="16"/>
          <w:szCs w:val="16"/>
          <w:color w:val="auto"/>
        </w:rPr>
      </w:pPr>
      <w:r>
        <w:rPr>
          <w:rFonts w:ascii="Arial" w:cs="Arial" w:eastAsia="Arial" w:hAnsi="Arial"/>
          <w:sz w:val="15"/>
          <w:szCs w:val="15"/>
          <w:color w:val="auto"/>
        </w:rPr>
        <w:t>The customer started by leveraging a custom report from Definitive Healthcare to show them exactly how care is delivered in this rare therapy area. It enabled them to provide education to 3 new providers who had not previously known how to diagnose this condition. In this rare disease space, every net new physician had sizable opportunity potential, and this discovery led to getting new patients on therapy. In April 2019, the company expanded on their initial success by purchasing additional Definitive Healthcare data, increasing ARR from $500,000 to $600,000. The additional data supported several outreach campaigns and to design 2 additional custom reports throughout 2019 which resulted in finding 16 more opportunities to provide correct care to this rare community.</w:t>
      </w:r>
    </w:p>
    <w:p>
      <w:pPr>
        <w:spacing w:after="0" w:line="53" w:lineRule="exact"/>
        <w:rPr>
          <w:rFonts w:ascii="Arial" w:cs="Arial" w:eastAsia="Arial" w:hAnsi="Arial"/>
          <w:sz w:val="16"/>
          <w:szCs w:val="16"/>
          <w:color w:val="auto"/>
        </w:rPr>
      </w:pPr>
    </w:p>
    <w:p>
      <w:pPr>
        <w:ind w:left="1380" w:right="60"/>
        <w:spacing w:after="0" w:line="269" w:lineRule="auto"/>
        <w:rPr>
          <w:rFonts w:ascii="Arial" w:cs="Arial" w:eastAsia="Arial" w:hAnsi="Arial"/>
          <w:sz w:val="16"/>
          <w:szCs w:val="16"/>
          <w:color w:val="auto"/>
        </w:rPr>
      </w:pPr>
      <w:r>
        <w:rPr>
          <w:rFonts w:ascii="Arial" w:cs="Arial" w:eastAsia="Arial" w:hAnsi="Arial"/>
          <w:sz w:val="16"/>
          <w:szCs w:val="16"/>
          <w:color w:val="auto"/>
        </w:rPr>
        <w:t>Based on the success with the rare disease franchise, the customer decided to also rely on Definitive Healthcare in another franchise, focused on launching a new candidate for a CNS chronic disease. They purchased additional Definitive Healthcare data and access in March 2020 for $480,000, bringing the total ARR to over $1,000,000 across two major franchises. By May 2020, the chronic disease franchise decided to expand so that 2 additional teams could use Definitive Healthcare. The teams used Definitive Healthcare to completely map their field teams and hiring plans, and to prioritize which hospitals, physician groups and healthcare professionals to support, saving time and improving efficiencies across the franchise. Based on this success, the customer decided to expand to yet another team and to add ImagingCenterView between November and December of 2020. Over the course of the relationship, the customer has built their Definitive Healthcare investment from an ARR of $500,000 to over $1,500,000.</w:t>
      </w:r>
    </w:p>
    <w:p>
      <w:pPr>
        <w:spacing w:after="0" w:line="85" w:lineRule="exact"/>
        <w:rPr>
          <w:rFonts w:ascii="Arial" w:cs="Arial" w:eastAsia="Arial" w:hAnsi="Arial"/>
          <w:sz w:val="16"/>
          <w:szCs w:val="16"/>
          <w:color w:val="auto"/>
        </w:rPr>
      </w:pPr>
    </w:p>
    <w:p>
      <w:pPr>
        <w:ind w:left="1360" w:right="80" w:hanging="498"/>
        <w:spacing w:after="0" w:line="253" w:lineRule="auto"/>
        <w:tabs>
          <w:tab w:leader="none" w:pos="136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leading medical technology company </w:t>
      </w:r>
      <w:r>
        <w:rPr>
          <w:rFonts w:ascii="Arial" w:cs="Arial" w:eastAsia="Arial" w:hAnsi="Arial"/>
          <w:sz w:val="17"/>
          <w:szCs w:val="17"/>
          <w:color w:val="auto"/>
        </w:rPr>
        <w:t>that helps healthcare providers prevent illnesses and correctly diagnose and treat patients chose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Definitive Healthcare to prove the value of its clinical precision support tool, which uses tests to help determine the right care for pulmonary embolisms. To grow its market share, the company needed to segment the market by hospitals and oncology practices that saw high volumes of patients receiving radiation equipment. It then needed to target organizations that would benefit from its technology. The company used Definitive Healthcare’s platform to map the target market and identify hospitals that over-utilize costly scans when testing for pulmonary</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780"/>
          </w:cols>
          <w:pgMar w:left="320" w:top="440" w:right="79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60"/>
        <w:spacing w:after="0" w:line="254" w:lineRule="auto"/>
        <w:rPr>
          <w:sz w:val="20"/>
          <w:szCs w:val="20"/>
          <w:color w:val="auto"/>
        </w:rPr>
      </w:pPr>
      <w:r>
        <w:rPr>
          <w:rFonts w:ascii="Arial" w:cs="Arial" w:eastAsia="Arial" w:hAnsi="Arial"/>
          <w:sz w:val="17"/>
          <w:szCs w:val="17"/>
          <w:color w:val="auto"/>
        </w:rPr>
        <w:t>embolisms. Through Definitive Healthcare’s affiliations data, the customer identified linkages across the target market and health systems impacted. The customer also used affiliations data to access key decision makers, including contacts at health insurance companies and Chief Quality Officers, that are impacted by costly pulmonary embolism scans. The customer aggregated this data to build ROI specific to each health system. Definitive Healthcare enabled the company to prove the value-add of its product by demonstrating the over-utilization of scans to prospective customers.</w:t>
      </w:r>
    </w:p>
    <w:p>
      <w:pPr>
        <w:spacing w:after="0" w:line="80" w:lineRule="exact"/>
        <w:rPr>
          <w:sz w:val="20"/>
          <w:szCs w:val="20"/>
          <w:color w:val="auto"/>
        </w:rPr>
      </w:pPr>
    </w:p>
    <w:p>
      <w:pPr>
        <w:ind w:left="1380"/>
        <w:spacing w:after="0" w:line="256" w:lineRule="auto"/>
        <w:rPr>
          <w:sz w:val="20"/>
          <w:szCs w:val="20"/>
          <w:color w:val="auto"/>
        </w:rPr>
      </w:pPr>
      <w:r>
        <w:rPr>
          <w:rFonts w:ascii="Arial" w:cs="Arial" w:eastAsia="Arial" w:hAnsi="Arial"/>
          <w:sz w:val="17"/>
          <w:szCs w:val="17"/>
          <w:color w:val="auto"/>
        </w:rPr>
        <w:t>Based on the success with this division, the customer decided to purchase ClaimsMx hospital data for $250,000 in 2020. It used ClaimsMx to gain enhanced market insight into scan volumes and other diagnostic procedures in additional therapeutic areas. For example, the customer identified physicians performing specific procedures and billing specific codes on a national level, which was critical market intelligence to drive development of its go-to-market strategy.</w:t>
      </w:r>
    </w:p>
    <w:p>
      <w:pPr>
        <w:spacing w:after="0" w:line="78" w:lineRule="exact"/>
        <w:rPr>
          <w:sz w:val="20"/>
          <w:szCs w:val="20"/>
          <w:color w:val="auto"/>
        </w:rPr>
      </w:pPr>
    </w:p>
    <w:p>
      <w:pPr>
        <w:ind w:left="1380" w:right="40"/>
        <w:spacing w:after="0" w:line="272" w:lineRule="auto"/>
        <w:rPr>
          <w:sz w:val="20"/>
          <w:szCs w:val="20"/>
          <w:color w:val="auto"/>
        </w:rPr>
      </w:pPr>
      <w:r>
        <w:rPr>
          <w:rFonts w:ascii="Arial" w:cs="Arial" w:eastAsia="Arial" w:hAnsi="Arial"/>
          <w:sz w:val="17"/>
          <w:szCs w:val="17"/>
          <w:color w:val="auto"/>
        </w:rPr>
        <w:t>Due to the continued success from using Definitive Healthcare’s data, the company increased its Definitive Healthcare investment from an ARR of $40,000 to over $600,000 in 6 years.</w:t>
      </w:r>
    </w:p>
    <w:p>
      <w:pPr>
        <w:spacing w:after="0" w:line="76" w:lineRule="exact"/>
        <w:rPr>
          <w:sz w:val="20"/>
          <w:szCs w:val="20"/>
          <w:color w:val="auto"/>
        </w:rPr>
      </w:pPr>
    </w:p>
    <w:p>
      <w:pPr>
        <w:ind w:left="1360" w:hanging="498"/>
        <w:spacing w:after="0" w:line="269" w:lineRule="auto"/>
        <w:tabs>
          <w:tab w:leader="none" w:pos="1360" w:val="left"/>
        </w:tabs>
        <w:numPr>
          <w:ilvl w:val="0"/>
          <w:numId w:val="1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major healthcare technology company </w:t>
      </w:r>
      <w:r>
        <w:rPr>
          <w:rFonts w:ascii="Arial" w:cs="Arial" w:eastAsia="Arial" w:hAnsi="Arial"/>
          <w:sz w:val="16"/>
          <w:szCs w:val="16"/>
          <w:color w:val="auto"/>
        </w:rPr>
        <w:t>that improves patient care with their clinical collaboration and information sharing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chose Definitive Healthcare to size their market, develop an annual sales strategy and enable their sales force with detailed account-specific intelligence. Definitive Healthcare provided the customer with key healthcare commercial intelligence including technology, affiliations, quality metrics and executive contact information. By using Definitive Healthcare’s platform, the customer used intelligence from Hospital Search, Technology Search, Technology Vendor Market Share and financial metrics to gain a complete picture of their TAM. To power their sales strategy, they leveraged Medicare quality performance information to identify and target underperforming hospitals. The quality metrics analysis yielded great results for the sales team and helped them identify an additional 140 hospitals that were struggling in quality metrics that the customer’s software solution could improve.</w:t>
      </w:r>
    </w:p>
    <w:p>
      <w:pPr>
        <w:spacing w:after="0" w:line="72" w:lineRule="exact"/>
        <w:rPr>
          <w:rFonts w:ascii="Arial" w:cs="Arial" w:eastAsia="Arial" w:hAnsi="Arial"/>
          <w:sz w:val="16"/>
          <w:szCs w:val="16"/>
          <w:color w:val="auto"/>
        </w:rPr>
      </w:pPr>
    </w:p>
    <w:p>
      <w:pPr>
        <w:ind w:left="1380" w:right="180"/>
        <w:spacing w:after="0" w:line="272" w:lineRule="auto"/>
        <w:rPr>
          <w:rFonts w:ascii="Arial" w:cs="Arial" w:eastAsia="Arial" w:hAnsi="Arial"/>
          <w:sz w:val="16"/>
          <w:szCs w:val="16"/>
          <w:color w:val="auto"/>
        </w:rPr>
      </w:pPr>
      <w:r>
        <w:rPr>
          <w:rFonts w:ascii="Arial" w:cs="Arial" w:eastAsia="Arial" w:hAnsi="Arial"/>
          <w:sz w:val="17"/>
          <w:szCs w:val="17"/>
          <w:color w:val="auto"/>
        </w:rPr>
        <w:t>This commercial intelligence allowed the customer to quantify ROI for their product and find optimal targets, proving to their customers that implementing their platform drives down Medicare incentive program penalties.</w:t>
      </w:r>
    </w:p>
    <w:p>
      <w:pPr>
        <w:spacing w:after="0" w:line="63" w:lineRule="exact"/>
        <w:rPr>
          <w:rFonts w:ascii="Arial" w:cs="Arial" w:eastAsia="Arial" w:hAnsi="Arial"/>
          <w:sz w:val="16"/>
          <w:szCs w:val="16"/>
          <w:color w:val="auto"/>
        </w:rPr>
      </w:pPr>
    </w:p>
    <w:p>
      <w:pPr>
        <w:ind w:left="1380" w:right="540"/>
        <w:spacing w:after="0" w:line="272" w:lineRule="auto"/>
        <w:rPr>
          <w:rFonts w:ascii="Arial" w:cs="Arial" w:eastAsia="Arial" w:hAnsi="Arial"/>
          <w:sz w:val="16"/>
          <w:szCs w:val="16"/>
          <w:color w:val="auto"/>
        </w:rPr>
      </w:pPr>
      <w:r>
        <w:rPr>
          <w:rFonts w:ascii="Arial" w:cs="Arial" w:eastAsia="Arial" w:hAnsi="Arial"/>
          <w:sz w:val="17"/>
          <w:szCs w:val="17"/>
          <w:color w:val="auto"/>
        </w:rPr>
        <w:t>This customer continues to use Definitive Healthcare to drive a sophisticated sales engine by identifying the right customer targets, identifying which organizations have purchasing power and accessing decision makers.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Go-to-Market Strategy</w:t>
      </w:r>
    </w:p>
    <w:p>
      <w:pPr>
        <w:spacing w:after="0" w:line="112" w:lineRule="exact"/>
        <w:rPr>
          <w:sz w:val="20"/>
          <w:szCs w:val="20"/>
          <w:color w:val="auto"/>
        </w:rPr>
      </w:pPr>
    </w:p>
    <w:p>
      <w:pPr>
        <w:ind w:left="460" w:right="400" w:firstLine="413"/>
        <w:spacing w:after="0" w:line="272" w:lineRule="auto"/>
        <w:rPr>
          <w:sz w:val="20"/>
          <w:szCs w:val="20"/>
          <w:color w:val="auto"/>
        </w:rPr>
      </w:pPr>
      <w:r>
        <w:rPr>
          <w:rFonts w:ascii="Arial" w:cs="Arial" w:eastAsia="Arial" w:hAnsi="Arial"/>
          <w:sz w:val="17"/>
          <w:szCs w:val="17"/>
          <w:color w:val="auto"/>
        </w:rPr>
        <w:t>We have a very efficient go-to-market model, driven by a high-velocity inside sales and marketing team, experienced SEs and a well-defined verticalized sales strategy.</w:t>
      </w:r>
    </w:p>
    <w:p>
      <w:pPr>
        <w:spacing w:after="0" w:line="165"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81" w:lineRule="exact"/>
        <w:rPr>
          <w:sz w:val="20"/>
          <w:szCs w:val="20"/>
          <w:color w:val="auto"/>
        </w:rPr>
      </w:pPr>
    </w:p>
    <w:p>
      <w:pPr>
        <w:ind w:left="460" w:right="280" w:firstLine="413"/>
        <w:spacing w:after="0" w:line="340" w:lineRule="auto"/>
        <w:rPr>
          <w:sz w:val="20"/>
          <w:szCs w:val="20"/>
          <w:color w:val="auto"/>
        </w:rPr>
      </w:pPr>
      <w:r>
        <w:rPr>
          <w:rFonts w:ascii="Arial" w:cs="Arial" w:eastAsia="Arial" w:hAnsi="Arial"/>
          <w:sz w:val="15"/>
          <w:szCs w:val="15"/>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19"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Once a new company signs up as a subscriber, they are transferred to our Customer Experience managers (“Cx”) who assist with onboarding and training, answering questions and maintaining a “health score,” a</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780"/>
          </w:cols>
          <w:pgMar w:left="320" w:top="440" w:right="79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160"/>
        <w:spacing w:after="0" w:line="311" w:lineRule="auto"/>
        <w:rPr>
          <w:sz w:val="20"/>
          <w:szCs w:val="20"/>
          <w:color w:val="auto"/>
        </w:rPr>
      </w:pPr>
      <w:r>
        <w:rPr>
          <w:rFonts w:ascii="Arial" w:cs="Arial" w:eastAsia="Arial" w:hAnsi="Arial"/>
          <w:sz w:val="15"/>
          <w:szCs w:val="15"/>
          <w:color w:val="auto"/>
        </w:rPr>
        <w:t>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segment to ensure subject matter expertise.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People, Culture and Values</w:t>
      </w:r>
    </w:p>
    <w:p>
      <w:pPr>
        <w:spacing w:after="0" w:line="112"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color w:val="auto"/>
        </w:rPr>
        <w:t>Our success is built upon an award-winning culture that is designed to ensure we can attract, develop and retain premier talent. Our guiding principles include:</w:t>
      </w:r>
    </w:p>
    <w:p>
      <w:pPr>
        <w:spacing w:after="0" w:line="76" w:lineRule="exact"/>
        <w:rPr>
          <w:sz w:val="20"/>
          <w:szCs w:val="20"/>
          <w:color w:val="auto"/>
        </w:rPr>
      </w:pPr>
    </w:p>
    <w:p>
      <w:pPr>
        <w:ind w:left="1360" w:right="460" w:hanging="498"/>
        <w:spacing w:after="0" w:line="272"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We Want to Be the Very Best</w:t>
      </w:r>
      <w:r>
        <w:rPr>
          <w:rFonts w:ascii="Arial" w:cs="Arial" w:eastAsia="Arial" w:hAnsi="Arial"/>
          <w:sz w:val="17"/>
          <w:szCs w:val="17"/>
          <w:color w:val="auto"/>
        </w:rPr>
        <w:t>. We focus on hiring motivated employees who are focused on delivering a high-quality platform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w:t>
      </w:r>
    </w:p>
    <w:p>
      <w:pPr>
        <w:spacing w:after="0" w:line="76" w:lineRule="exact"/>
        <w:rPr>
          <w:rFonts w:ascii="Arial" w:cs="Arial" w:eastAsia="Arial" w:hAnsi="Arial"/>
          <w:sz w:val="17"/>
          <w:szCs w:val="17"/>
          <w:color w:val="auto"/>
        </w:rPr>
      </w:pPr>
    </w:p>
    <w:p>
      <w:pPr>
        <w:jc w:val="both"/>
        <w:ind w:left="1360" w:right="400" w:hanging="498"/>
        <w:spacing w:after="0" w:line="260"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is at Our Core. </w:t>
      </w:r>
      <w:r>
        <w:rPr>
          <w:rFonts w:ascii="Arial" w:cs="Arial" w:eastAsia="Arial" w:hAnsi="Arial"/>
          <w:sz w:val="17"/>
          <w:szCs w:val="17"/>
          <w:color w:val="auto"/>
        </w:rPr>
        <w:t>We are constantly disrupting the status quo. We deliver solutions to customers that can have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on their workflow and decision making. We welcome new challenges and are not afraid to push ourselves beyond our comfort zones</w:t>
      </w:r>
    </w:p>
    <w:p>
      <w:pPr>
        <w:spacing w:after="0" w:line="86"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We Are Decisive</w:t>
      </w:r>
      <w:r>
        <w:rPr>
          <w:rFonts w:ascii="Arial" w:cs="Arial" w:eastAsia="Arial" w:hAnsi="Arial"/>
          <w:sz w:val="17"/>
          <w:szCs w:val="17"/>
          <w:color w:val="auto"/>
        </w:rPr>
        <w:t>. Healthcare is evolving rapidly and we meet these changes head on through decisive decision making. If we need to pivot,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do so in a quick and timely manner</w:t>
      </w:r>
    </w:p>
    <w:p>
      <w:pPr>
        <w:spacing w:after="0" w:line="76" w:lineRule="exact"/>
        <w:rPr>
          <w:rFonts w:ascii="Arial" w:cs="Arial" w:eastAsia="Arial" w:hAnsi="Arial"/>
          <w:sz w:val="17"/>
          <w:szCs w:val="17"/>
          <w:color w:val="auto"/>
        </w:rPr>
      </w:pPr>
    </w:p>
    <w:p>
      <w:pPr>
        <w:ind w:left="1360" w:right="180" w:hanging="498"/>
        <w:spacing w:after="0" w:line="303" w:lineRule="auto"/>
        <w:tabs>
          <w:tab w:leader="none" w:pos="136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We Measure Everything</w:t>
      </w:r>
      <w:r>
        <w:rPr>
          <w:rFonts w:ascii="Arial" w:cs="Arial" w:eastAsia="Arial" w:hAnsi="Arial"/>
          <w:sz w:val="16"/>
          <w:szCs w:val="16"/>
          <w:color w:val="auto"/>
        </w:rPr>
        <w:t>. In order to continuously improve, we track our progress. We measure everything from sales productivity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yield of our latest A.I. algorithm. This constant benchmarking ensures we optimize the way we deploy our resources.</w:t>
      </w:r>
    </w:p>
    <w:p>
      <w:pPr>
        <w:spacing w:after="0" w:line="54" w:lineRule="exact"/>
        <w:rPr>
          <w:rFonts w:ascii="Arial" w:cs="Arial" w:eastAsia="Arial" w:hAnsi="Arial"/>
          <w:sz w:val="16"/>
          <w:szCs w:val="16"/>
          <w:color w:val="auto"/>
        </w:rPr>
      </w:pPr>
    </w:p>
    <w:p>
      <w:pPr>
        <w:ind w:left="1360" w:right="60" w:hanging="498"/>
        <w:spacing w:after="0" w:line="256"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We Are Proud</w:t>
      </w:r>
      <w:r>
        <w:rPr>
          <w:rFonts w:ascii="Arial" w:cs="Arial" w:eastAsia="Arial" w:hAnsi="Arial"/>
          <w:sz w:val="17"/>
          <w:szCs w:val="17"/>
          <w:color w:val="auto"/>
        </w:rPr>
        <w:t>. We have won numerous workplace awards, including Inc. 5000’s Fastest Growing Companies, Stevie Awards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0" w:lineRule="exact"/>
        <w:rPr>
          <w:rFonts w:ascii="Arial" w:cs="Arial" w:eastAsia="Arial" w:hAnsi="Arial"/>
          <w:sz w:val="17"/>
          <w:szCs w:val="17"/>
          <w:color w:val="auto"/>
        </w:rPr>
      </w:pPr>
    </w:p>
    <w:p>
      <w:pPr>
        <w:ind w:left="1360" w:right="160" w:hanging="498"/>
        <w:spacing w:after="0" w:line="277" w:lineRule="auto"/>
        <w:tabs>
          <w:tab w:leader="none" w:pos="136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We Give Back</w:t>
      </w:r>
      <w:r>
        <w:rPr>
          <w:rFonts w:ascii="Arial" w:cs="Arial" w:eastAsia="Arial" w:hAnsi="Arial"/>
          <w:sz w:val="16"/>
          <w:szCs w:val="16"/>
          <w:color w:val="auto"/>
        </w:rPr>
        <w:t>. We are committed to putting our community first and have developed a culture centered around collaboration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75" w:lineRule="exact"/>
        <w:rPr>
          <w:rFonts w:ascii="Arial" w:cs="Arial" w:eastAsia="Arial" w:hAnsi="Arial"/>
          <w:sz w:val="16"/>
          <w:szCs w:val="16"/>
          <w:color w:val="auto"/>
        </w:rPr>
      </w:pPr>
    </w:p>
    <w:p>
      <w:pPr>
        <w:ind w:left="1360" w:right="180" w:hanging="498"/>
        <w:spacing w:after="0" w:line="254"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We Support Diversity</w:t>
      </w:r>
      <w:r>
        <w:rPr>
          <w:rFonts w:ascii="Arial" w:cs="Arial" w:eastAsia="Arial" w:hAnsi="Arial"/>
          <w:sz w:val="17"/>
          <w:szCs w:val="17"/>
          <w:color w:val="auto"/>
        </w:rPr>
        <w:t>. We are dedicated to supporting diversity and inclusion both inside and outside of the office. We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81" w:lineRule="exact"/>
        <w:rPr>
          <w:sz w:val="20"/>
          <w:szCs w:val="20"/>
          <w:color w:val="auto"/>
        </w:rPr>
      </w:pPr>
    </w:p>
    <w:p>
      <w:pPr>
        <w:ind w:left="460" w:right="200" w:firstLine="413"/>
        <w:spacing w:after="0" w:line="340" w:lineRule="auto"/>
        <w:rPr>
          <w:sz w:val="20"/>
          <w:szCs w:val="20"/>
          <w:color w:val="auto"/>
        </w:rPr>
      </w:pPr>
      <w:r>
        <w:rPr>
          <w:rFonts w:ascii="Arial" w:cs="Arial" w:eastAsia="Arial" w:hAnsi="Arial"/>
          <w:sz w:val="15"/>
          <w:szCs w:val="15"/>
          <w:color w:val="auto"/>
        </w:rPr>
        <w:t>As of September 30, 2021, we had 649 employees, including 393 in Sales and Marketing, 59 in Research and Development, 79 in Product and Data Science, 51 in Software Development and 67 in Administrative and Other functions. We consider our employee relations to be in good standing.</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Competition</w:t>
      </w:r>
    </w:p>
    <w:p>
      <w:pPr>
        <w:spacing w:after="0" w:line="112" w:lineRule="exact"/>
        <w:rPr>
          <w:sz w:val="20"/>
          <w:szCs w:val="20"/>
          <w:color w:val="auto"/>
        </w:rPr>
      </w:pPr>
    </w:p>
    <w:p>
      <w:pPr>
        <w:ind w:left="460" w:right="240" w:firstLine="413"/>
        <w:spacing w:after="0" w:line="260" w:lineRule="auto"/>
        <w:rPr>
          <w:sz w:val="20"/>
          <w:szCs w:val="20"/>
          <w:color w:val="auto"/>
        </w:rPr>
      </w:pPr>
      <w:r>
        <w:rPr>
          <w:rFonts w:ascii="Arial" w:cs="Arial" w:eastAsia="Arial" w:hAnsi="Arial"/>
          <w:sz w:val="17"/>
          <w:szCs w:val="17"/>
          <w:color w:val="auto"/>
        </w:rPr>
        <w:t>We operate in a highly fragmented market. We have a competitive advantage that is based on our comprehensive dataset built up over 11 years, our application of the data science, which has created proprietary intelligence and linkages that we do not see elsewhere, and a user interface that provides customers access to</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780"/>
          </w:cols>
          <w:pgMar w:left="320" w:top="440" w:right="79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20"/>
        <w:spacing w:after="0" w:line="272" w:lineRule="auto"/>
        <w:rPr>
          <w:sz w:val="20"/>
          <w:szCs w:val="20"/>
          <w:color w:val="auto"/>
        </w:rPr>
      </w:pPr>
      <w:r>
        <w:rPr>
          <w:rFonts w:ascii="Arial" w:cs="Arial" w:eastAsia="Arial" w:hAnsi="Arial"/>
          <w:sz w:val="17"/>
          <w:szCs w:val="17"/>
          <w:color w:val="auto"/>
        </w:rPr>
        <w:t>answers, not data, in an integrated manner. While we believe no competitor matches our breadth of data and intelligence solutions, we compete either directly or indirectly with:</w:t>
      </w:r>
    </w:p>
    <w:p>
      <w:pPr>
        <w:spacing w:after="0" w:line="76" w:lineRule="exact"/>
        <w:rPr>
          <w:sz w:val="20"/>
          <w:szCs w:val="20"/>
          <w:color w:val="auto"/>
        </w:rPr>
      </w:pPr>
    </w:p>
    <w:p>
      <w:pPr>
        <w:ind w:left="1360" w:hanging="498"/>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Legacy raw claims data providers, such as Clarivate, IQVIA and Symphony Health;</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Niche healthcare specialists, such as Komodo Health, H1 Healthcare, Marketware, Trella Health and Trilliant Health;</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Ecosystem players that may house or analyze similar intelligence, such as SG2, and Veeva;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Horizontal go-to-market intelligence platforms, such as ZoomInfo, LinkedIn and Dun &amp; Bradstreet.</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believe the principal competitive factors in our markets are:</w:t>
      </w:r>
    </w:p>
    <w:p>
      <w:pPr>
        <w:spacing w:after="0" w:line="121" w:lineRule="exact"/>
        <w:rPr>
          <w:sz w:val="20"/>
          <w:szCs w:val="20"/>
          <w:color w:val="auto"/>
        </w:rPr>
      </w:pPr>
    </w:p>
    <w:p>
      <w:pPr>
        <w:ind w:left="1360" w:hanging="498"/>
        <w:spacing w:after="0"/>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Depth, breadth and accuracy of healthcare-specific intelligence;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Healthcare subject matter expertise;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A.I. and data science capabilities;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Ease of use and deployment;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Data privacy and security.</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Intellectual Property</w:t>
      </w:r>
    </w:p>
    <w:p>
      <w:pPr>
        <w:spacing w:after="0" w:line="112"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65" w:lineRule="exact"/>
        <w:rPr>
          <w:sz w:val="20"/>
          <w:szCs w:val="20"/>
          <w:color w:val="auto"/>
        </w:rPr>
      </w:pPr>
    </w:p>
    <w:p>
      <w:pPr>
        <w:ind w:left="460" w:right="780" w:firstLine="413"/>
        <w:spacing w:after="0" w:line="303" w:lineRule="auto"/>
        <w:rPr>
          <w:sz w:val="20"/>
          <w:szCs w:val="20"/>
          <w:color w:val="auto"/>
        </w:rPr>
      </w:pPr>
      <w:r>
        <w:rPr>
          <w:rFonts w:ascii="Arial" w:cs="Arial" w:eastAsia="Arial" w:hAnsi="Arial"/>
          <w:sz w:val="16"/>
          <w:szCs w:val="16"/>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Data Privacy and Security</w:t>
      </w:r>
    </w:p>
    <w:p>
      <w:pPr>
        <w:spacing w:after="0" w:line="112" w:lineRule="exact"/>
        <w:rPr>
          <w:sz w:val="20"/>
          <w:szCs w:val="20"/>
          <w:color w:val="auto"/>
        </w:rPr>
      </w:pPr>
    </w:p>
    <w:p>
      <w:pPr>
        <w:ind w:left="460" w:right="120" w:firstLine="413"/>
        <w:spacing w:after="0" w:line="268" w:lineRule="auto"/>
        <w:rPr>
          <w:sz w:val="20"/>
          <w:szCs w:val="20"/>
          <w:color w:val="auto"/>
        </w:rPr>
      </w:pPr>
      <w:r>
        <w:rPr>
          <w:rFonts w:ascii="Arial" w:cs="Arial" w:eastAsia="Arial" w:hAnsi="Arial"/>
          <w:sz w:val="16"/>
          <w:szCs w:val="16"/>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780"/>
          </w:cols>
          <w:pgMar w:left="320" w:top="440" w:right="79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addition, certain state and non-U.S. laws, such as the CCPA, the CPRA and the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Facilities</w:t>
      </w:r>
    </w:p>
    <w:p>
      <w:pPr>
        <w:spacing w:after="0" w:line="112"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Legal Proceedings</w:t>
      </w:r>
    </w:p>
    <w:p>
      <w:pPr>
        <w:spacing w:after="0" w:line="112" w:lineRule="exact"/>
        <w:rPr>
          <w:sz w:val="20"/>
          <w:szCs w:val="20"/>
          <w:color w:val="auto"/>
        </w:rPr>
      </w:pPr>
    </w:p>
    <w:p>
      <w:pPr>
        <w:ind w:left="460" w:right="40" w:firstLine="413"/>
        <w:spacing w:after="0" w:line="284"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9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780"/>
          </w:cols>
          <w:pgMar w:left="320" w:top="440" w:right="79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MANAGEMENT</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Directors and Executive Officers</w:t>
      </w:r>
    </w:p>
    <w:p>
      <w:pPr>
        <w:spacing w:after="0" w:line="112"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below individuals serve as directors of Definitive Healthcare Corp. Biographical summaries and a description of the business experience of those individuals who will serve as directors of Definitive Healthcare Corp. are also set forth below.</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140" w:type="dxa"/>
            <w:vAlign w:val="bottom"/>
            <w:gridSpan w:val="2"/>
          </w:tcPr>
          <w:p>
            <w:pPr>
              <w:jc w:val="center"/>
              <w:ind w:left="817"/>
              <w:spacing w:after="0"/>
              <w:rPr>
                <w:sz w:val="20"/>
                <w:szCs w:val="20"/>
                <w:color w:val="auto"/>
              </w:rPr>
            </w:pPr>
            <w:r>
              <w:rPr>
                <w:rFonts w:ascii="Arial" w:cs="Arial" w:eastAsia="Arial" w:hAnsi="Arial"/>
                <w:sz w:val="13"/>
                <w:szCs w:val="13"/>
                <w:b w:val="1"/>
                <w:bCs w:val="1"/>
                <w:color w:val="auto"/>
                <w:w w:val="97"/>
              </w:rPr>
              <w:t>Age</w:t>
            </w:r>
          </w:p>
        </w:tc>
        <w:tc>
          <w:tcPr>
            <w:tcW w:w="3460" w:type="dxa"/>
            <w:vAlign w:val="bottom"/>
            <w:vMerge w:val="restart"/>
          </w:tcPr>
          <w:p>
            <w:pPr>
              <w:ind w:left="500"/>
              <w:spacing w:after="0"/>
              <w:rPr>
                <w:sz w:val="20"/>
                <w:szCs w:val="20"/>
                <w:color w:val="auto"/>
              </w:rPr>
            </w:pPr>
            <w:r>
              <w:rPr>
                <w:rFonts w:ascii="Arial" w:cs="Arial" w:eastAsia="Arial" w:hAnsi="Arial"/>
                <w:sz w:val="17"/>
                <w:szCs w:val="17"/>
                <w:color w:val="auto"/>
              </w:rPr>
              <w:t>Chief Executive Officer and Chairman</w:t>
            </w:r>
          </w:p>
        </w:tc>
        <w:tc>
          <w:tcPr>
            <w:tcW w:w="460" w:type="dxa"/>
            <w:vAlign w:val="bottom"/>
          </w:tcPr>
          <w:p>
            <w:pPr>
              <w:spacing w:after="0"/>
              <w:rPr>
                <w:sz w:val="20"/>
                <w:szCs w:val="20"/>
                <w:color w:val="auto"/>
              </w:rPr>
            </w:pPr>
            <w:r>
              <w:rPr>
                <w:rFonts w:ascii="Arial" w:cs="Arial" w:eastAsia="Arial" w:hAnsi="Arial"/>
                <w:sz w:val="13"/>
                <w:szCs w:val="13"/>
                <w:b w:val="1"/>
                <w:bCs w:val="1"/>
                <w:color w:val="auto"/>
                <w:w w:val="85"/>
              </w:rPr>
              <w:t>Position</w:t>
            </w:r>
          </w:p>
        </w:tc>
        <w:tc>
          <w:tcPr>
            <w:tcW w:w="0" w:type="dxa"/>
            <w:vAlign w:val="bottom"/>
          </w:tcPr>
          <w:p>
            <w:pPr>
              <w:spacing w:after="0"/>
              <w:rPr>
                <w:sz w:val="1"/>
                <w:szCs w:val="1"/>
                <w:color w:val="auto"/>
              </w:rPr>
            </w:pPr>
          </w:p>
        </w:tc>
      </w:tr>
      <w:tr>
        <w:trPr>
          <w:trHeight w:val="183"/>
        </w:trPr>
        <w:tc>
          <w:tcPr>
            <w:tcW w:w="34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w w:val="70"/>
              </w:rPr>
              <w:t>Jason</w:t>
            </w:r>
          </w:p>
        </w:tc>
        <w:tc>
          <w:tcPr>
            <w:tcW w:w="1960" w:type="dxa"/>
            <w:vAlign w:val="bottom"/>
          </w:tcPr>
          <w:p>
            <w:pPr>
              <w:ind w:left="80"/>
              <w:spacing w:after="0" w:line="183" w:lineRule="exact"/>
              <w:rPr>
                <w:sz w:val="20"/>
                <w:szCs w:val="20"/>
                <w:color w:val="auto"/>
              </w:rPr>
            </w:pPr>
            <w:r>
              <w:rPr>
                <w:rFonts w:ascii="Arial" w:cs="Arial" w:eastAsia="Arial" w:hAnsi="Arial"/>
                <w:sz w:val="17"/>
                <w:szCs w:val="17"/>
                <w:color w:val="auto"/>
              </w:rPr>
              <w:t>Krantz</w:t>
            </w:r>
          </w:p>
        </w:tc>
        <w:tc>
          <w:tcPr>
            <w:tcW w:w="920" w:type="dxa"/>
            <w:vAlign w:val="bottom"/>
          </w:tcPr>
          <w:p>
            <w:pPr>
              <w:spacing w:after="0"/>
              <w:rPr>
                <w:sz w:val="15"/>
                <w:szCs w:val="15"/>
                <w:color w:val="auto"/>
              </w:rPr>
            </w:pPr>
          </w:p>
        </w:tc>
        <w:tc>
          <w:tcPr>
            <w:tcW w:w="2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7"/>
                <w:szCs w:val="17"/>
                <w:color w:val="auto"/>
                <w:w w:val="84"/>
              </w:rPr>
              <w:t>48</w:t>
            </w:r>
          </w:p>
        </w:tc>
        <w:tc>
          <w:tcPr>
            <w:tcW w:w="3460" w:type="dxa"/>
            <w:vAlign w:val="bottom"/>
            <w:vMerge w:val="continue"/>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Richard Booth</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52</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David Samuels</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59</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Chief Legal Officer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Joseph Mirisola</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38</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Chief Revenue Officer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Kate Shamsuddin</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35</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Chief Product Officer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Robert Musslewhite</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51</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President and 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Chris Mitchell</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49</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43</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38</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Chris Egan</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44</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D. Randall Winn</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51</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Samuel A. Hamood</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53</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Jill Larsen</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48</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4"/>
        </w:trPr>
        <w:tc>
          <w:tcPr>
            <w:tcW w:w="2300" w:type="dxa"/>
            <w:vAlign w:val="bottom"/>
            <w:gridSpan w:val="2"/>
          </w:tcPr>
          <w:p>
            <w:pPr>
              <w:spacing w:after="0"/>
              <w:rPr>
                <w:sz w:val="20"/>
                <w:szCs w:val="20"/>
                <w:color w:val="auto"/>
              </w:rPr>
            </w:pPr>
            <w:r>
              <w:rPr>
                <w:rFonts w:ascii="Arial" w:cs="Arial" w:eastAsia="Arial" w:hAnsi="Arial"/>
                <w:sz w:val="17"/>
                <w:szCs w:val="17"/>
                <w:color w:val="auto"/>
              </w:rPr>
              <w:t>Kathleen A. Winters</w:t>
            </w:r>
          </w:p>
        </w:tc>
        <w:tc>
          <w:tcPr>
            <w:tcW w:w="1140" w:type="dxa"/>
            <w:vAlign w:val="bottom"/>
            <w:gridSpan w:val="2"/>
          </w:tcPr>
          <w:p>
            <w:pPr>
              <w:jc w:val="center"/>
              <w:ind w:left="817"/>
              <w:spacing w:after="0"/>
              <w:rPr>
                <w:sz w:val="20"/>
                <w:szCs w:val="20"/>
                <w:color w:val="auto"/>
              </w:rPr>
            </w:pPr>
            <w:r>
              <w:rPr>
                <w:rFonts w:ascii="Arial" w:cs="Arial" w:eastAsia="Arial" w:hAnsi="Arial"/>
                <w:sz w:val="17"/>
                <w:szCs w:val="17"/>
                <w:color w:val="auto"/>
                <w:w w:val="84"/>
              </w:rPr>
              <w:t>54</w:t>
            </w:r>
          </w:p>
        </w:tc>
        <w:tc>
          <w:tcPr>
            <w:tcW w:w="392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Executive Officers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Jason Krantz</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Krantz has served as the Company’s Chief Executive Officer since he founded the Company in February 2011.</w:t>
      </w:r>
    </w:p>
    <w:p>
      <w:pPr>
        <w:spacing w:after="0" w:line="210"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6"/>
          <w:szCs w:val="16"/>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67" w:lineRule="exact"/>
        <w:rPr>
          <w:sz w:val="20"/>
          <w:szCs w:val="20"/>
          <w:color w:val="auto"/>
        </w:rPr>
      </w:pPr>
    </w:p>
    <w:p>
      <w:pPr>
        <w:ind w:left="460" w:right="500" w:firstLine="413"/>
        <w:spacing w:after="0" w:line="272" w:lineRule="auto"/>
        <w:rPr>
          <w:sz w:val="20"/>
          <w:szCs w:val="20"/>
          <w:color w:val="auto"/>
        </w:rPr>
      </w:pPr>
      <w:r>
        <w:rPr>
          <w:rFonts w:ascii="Arial" w:cs="Arial" w:eastAsia="Arial" w:hAnsi="Arial"/>
          <w:sz w:val="17"/>
          <w:szCs w:val="17"/>
          <w:color w:val="auto"/>
        </w:rPr>
        <w:t>We believe Mr. Krantz is qualified to serve on our board of directors because of his entrepreneurial experiences, finance and data analytics expertise as well as knowledge of the healthcare industry.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Richard Booth</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Booth has served as the Company’s Chief Financial Officer since March 2021.</w:t>
      </w:r>
    </w:p>
    <w:p>
      <w:pPr>
        <w:spacing w:after="0" w:line="210"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w:t>
      </w:r>
    </w:p>
    <w:p>
      <w:pPr>
        <w:spacing w:after="0" w:line="11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720"/>
          </w:cols>
          <w:pgMar w:left="320" w:top="440" w:right="85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340" w:lineRule="auto"/>
        <w:rPr>
          <w:sz w:val="20"/>
          <w:szCs w:val="20"/>
          <w:color w:val="auto"/>
        </w:rPr>
      </w:pPr>
      <w:r>
        <w:rPr>
          <w:rFonts w:ascii="Arial" w:cs="Arial" w:eastAsia="Arial" w:hAnsi="Arial"/>
          <w:sz w:val="15"/>
          <w:szCs w:val="15"/>
          <w:color w:val="auto"/>
        </w:rPr>
        <w:t>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19"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David Samuels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Samuels has served as the Company’s Chief Legal Officer since February 2021.</w:t>
      </w:r>
    </w:p>
    <w:p>
      <w:pPr>
        <w:spacing w:after="0" w:line="210"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Samuels holds a B.A. from Brandeis University and a J.D. from Northeastern University School of Law.</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Joseph Mirisola</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Mirisola has served as the Company’s Chief Revenue Officer since January 2020.</w:t>
      </w:r>
    </w:p>
    <w:p>
      <w:pPr>
        <w:spacing w:after="0" w:line="210"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Mirisola attended the University of Massachusetts Dartmouth.</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Kate Shamsuddin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Ms. Shamsuddin has served as the Company’s Chief Product Officer since January 2020.</w:t>
      </w:r>
    </w:p>
    <w:p>
      <w:pPr>
        <w:spacing w:after="0" w:line="210"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760"/>
          </w:cols>
          <w:pgMar w:left="320" w:top="440" w:right="81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Ms. Shamsuddin holds a B.A. in Anthropology and Global Health from Emory University and an M.S. in Health Policy and Management from Harvard University School of Public Health.</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Directors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Chris Mitchell</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Mitchell has served as a member of the board of directors of the Company since February 2015.</w:t>
      </w:r>
    </w:p>
    <w:p>
      <w:pPr>
        <w:spacing w:after="0" w:line="210"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6"/>
          <w:szCs w:val="16"/>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67"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Jeff Haywood</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Haywood has served as a member of the board of directors of the Company since February 2015.</w:t>
      </w:r>
    </w:p>
    <w:p>
      <w:pPr>
        <w:spacing w:after="0" w:line="210"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55" w:lineRule="exact"/>
        <w:rPr>
          <w:sz w:val="20"/>
          <w:szCs w:val="20"/>
          <w:color w:val="auto"/>
        </w:rPr>
      </w:pPr>
    </w:p>
    <w:p>
      <w:pPr>
        <w:ind w:left="460" w:right="520" w:firstLine="413"/>
        <w:spacing w:after="0" w:line="272" w:lineRule="auto"/>
        <w:rPr>
          <w:sz w:val="20"/>
          <w:szCs w:val="20"/>
          <w:color w:val="auto"/>
        </w:rPr>
      </w:pPr>
      <w:r>
        <w:rPr>
          <w:rFonts w:ascii="Arial" w:cs="Arial" w:eastAsia="Arial" w:hAnsi="Arial"/>
          <w:sz w:val="17"/>
          <w:szCs w:val="17"/>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Lauren Young</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Ms. Young has served as a member of the board of directors of the Company since July 2019.</w:t>
      </w:r>
    </w:p>
    <w:p>
      <w:pPr>
        <w:spacing w:after="0" w:line="210"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and P2 Energy Solutions. Additionally, Ms. Young serves on the board of directors of CCC Intelligent Solutions Holdings Inc., a public company. Ms. Young holds a B.A. from Davidson College and an M.B.A. from the Harvard Business School.</w:t>
      </w:r>
    </w:p>
    <w:p>
      <w:pPr>
        <w:spacing w:after="0" w:line="9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700"/>
          </w:cols>
          <w:pgMar w:left="320" w:top="440" w:right="87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We believe Ms. Young is qualified to serve on our board of directors because of her financial knowledge, investment experience across industries and her service as director of other software solutions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Chris Egan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Egan has served as a member of the board of directors of the Company since July 2019.</w:t>
      </w:r>
    </w:p>
    <w:p>
      <w:pPr>
        <w:spacing w:after="0" w:line="210"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NielsenIQ and Prisma Medios de Pagos S.A., each a private company. Additionally, Mr. Egan serves on the board of directors of CCC Intelligent Solutions Holdings Inc., a public company. Mr. Egan holds a B.A. in English and Economics from Dartmouth College.</w:t>
      </w:r>
    </w:p>
    <w:p>
      <w:pPr>
        <w:spacing w:after="0" w:line="164"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We believe Mr. Egan is qualified to serve on our board of directors because of his financial knowledge, investment experience and his service as director of other software solutions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 Randall Winn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Winn has served as a member of the board of directors of the Company since September 2019.</w:t>
      </w:r>
    </w:p>
    <w:p>
      <w:pPr>
        <w:spacing w:after="0" w:line="210" w:lineRule="exact"/>
        <w:rPr>
          <w:sz w:val="20"/>
          <w:szCs w:val="20"/>
          <w:color w:val="auto"/>
        </w:rPr>
      </w:pPr>
    </w:p>
    <w:p>
      <w:pPr>
        <w:ind w:left="460" w:right="20" w:firstLine="413"/>
        <w:spacing w:after="0" w:line="291" w:lineRule="auto"/>
        <w:rPr>
          <w:sz w:val="20"/>
          <w:szCs w:val="20"/>
          <w:color w:val="auto"/>
        </w:rPr>
      </w:pPr>
      <w:r>
        <w:rPr>
          <w:rFonts w:ascii="Arial" w:cs="Arial" w:eastAsia="Arial" w:hAnsi="Arial"/>
          <w:sz w:val="15"/>
          <w:szCs w:val="15"/>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57"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We believe Mr. Winn is qualified to serve on our board of directors because of his financial knowledge, investment experience and his service as director of other software solutions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Samuel A. Hamood</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Hamood has served as a member of the board of directors of the Company since September 2020.</w:t>
      </w:r>
    </w:p>
    <w:p>
      <w:pPr>
        <w:spacing w:after="0" w:line="210" w:lineRule="exact"/>
        <w:rPr>
          <w:sz w:val="20"/>
          <w:szCs w:val="20"/>
          <w:color w:val="auto"/>
        </w:rPr>
      </w:pPr>
    </w:p>
    <w:p>
      <w:pPr>
        <w:ind w:left="460" w:right="20" w:firstLine="413"/>
        <w:spacing w:after="0" w:line="252" w:lineRule="auto"/>
        <w:rPr>
          <w:sz w:val="20"/>
          <w:szCs w:val="20"/>
          <w:color w:val="auto"/>
        </w:rPr>
      </w:pPr>
      <w:r>
        <w:rPr>
          <w:rFonts w:ascii="Arial" w:cs="Arial" w:eastAsia="Arial" w:hAnsi="Arial"/>
          <w:sz w:val="17"/>
          <w:szCs w:val="17"/>
          <w:color w:val="auto"/>
        </w:rPr>
        <w:t>Mr. Hamood currently serves as President and Chief Administrative and Finance Officer at Culligan International Co (“Culligan”),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from 2017 to 2018, and as Executive Vice President and Chief Financial Officer of TransUnion from 2008 to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Juris Doctor from Southwestern University School of Law.</w:t>
      </w:r>
    </w:p>
    <w:p>
      <w:pPr>
        <w:spacing w:after="0" w:line="182"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We believe Mr. Hamood is qualified to serve on our board of directors because of his financial expertise and experience in and knowledge of the healthcare industry.</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760"/>
          </w:cols>
          <w:pgMar w:left="320" w:top="440" w:right="81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Jill Larsen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Ms. Larsen has served as a member of the board of directors of the Company since April 2021.</w:t>
      </w:r>
    </w:p>
    <w:p>
      <w:pPr>
        <w:spacing w:after="0" w:line="210"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Jill Larsen currently serves as the Chief People Officer &amp; Executive Vice President at PTC Inc., a global software company in the industrial and manufacturing space. Prior to her time at PTC, Ms. Larsen served as the Executive Vice President—Human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56" w:lineRule="exact"/>
        <w:rPr>
          <w:sz w:val="20"/>
          <w:szCs w:val="20"/>
          <w:color w:val="auto"/>
        </w:rPr>
      </w:pPr>
    </w:p>
    <w:p>
      <w:pPr>
        <w:ind w:left="460" w:right="460" w:firstLine="413"/>
        <w:spacing w:after="0" w:line="272" w:lineRule="auto"/>
        <w:rPr>
          <w:sz w:val="20"/>
          <w:szCs w:val="20"/>
          <w:color w:val="auto"/>
        </w:rPr>
      </w:pPr>
      <w:r>
        <w:rPr>
          <w:rFonts w:ascii="Arial" w:cs="Arial" w:eastAsia="Arial" w:hAnsi="Arial"/>
          <w:sz w:val="17"/>
          <w:szCs w:val="17"/>
          <w:color w:val="auto"/>
        </w:rPr>
        <w:t>We believe Ms. Larsen is qualified to serve on our board of directors because of her extensive experience in talent acquisition strategies and human resources expertise in technology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Robert Musslewhite</w:t>
      </w:r>
    </w:p>
    <w:p>
      <w:pPr>
        <w:spacing w:after="0" w:line="108"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Mr. Musslewhite has served as a member of the board of directors of the Company since June 2021. Mr. Musslewhite has been the Chief Executive Officer of OptumInsight, Optum’s health services business connecting the health care system with services, analytics, and platforms designed to make clinical and administrative processes easier and more efficient, since August 2019. He joined Optum following Optum’s acquisition of The Advisory Board Company, a publicly traded company that provided best practices research and insight, technology, data-enabled services and consulting services, where he served as Chief Executive Officer from 2008 until 2017 and Chairman from 2013 to 2017. Prior to his appointment as Chief Executive Officer of OptumInsight, Mr.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Mr. Musslewhite was an Associate Principal with McKinsey &amp; Company, a global management consulting firm, in the Washington, D.C., Amsterdam, and Dallas offices. Mr. Musslewhite currently serves on the Boards of Directors of CoStar Group (Nasdaq: CSGP) and Ascend Learning, he is a member of the Economics Club of Washington D.C., and he recently completed service as Chair of the Board of Governors of St. Albans School. Mr. Musslewhite received a J.D. from Harvard Law School and an A.B. in Economics from Princeton University.</w:t>
      </w:r>
    </w:p>
    <w:p>
      <w:pPr>
        <w:spacing w:after="0" w:line="163" w:lineRule="exact"/>
        <w:rPr>
          <w:sz w:val="20"/>
          <w:szCs w:val="20"/>
          <w:color w:val="auto"/>
        </w:rPr>
      </w:pPr>
    </w:p>
    <w:p>
      <w:pPr>
        <w:ind w:left="460" w:right="380" w:firstLine="413"/>
        <w:spacing w:after="0" w:line="272" w:lineRule="auto"/>
        <w:rPr>
          <w:sz w:val="20"/>
          <w:szCs w:val="20"/>
          <w:color w:val="auto"/>
        </w:rPr>
      </w:pPr>
      <w:r>
        <w:rPr>
          <w:rFonts w:ascii="Arial" w:cs="Arial" w:eastAsia="Arial" w:hAnsi="Arial"/>
          <w:sz w:val="17"/>
          <w:szCs w:val="17"/>
          <w:color w:val="auto"/>
        </w:rPr>
        <w:t>We believe Mr. Musslewhite is qualified to serve on our board of directors because of his consulting experience, knowledge of the healthcare industry and experience with healthcare data analytics.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Kathleen A. Winters</w:t>
      </w:r>
    </w:p>
    <w:p>
      <w:pPr>
        <w:spacing w:after="0" w:line="108" w:lineRule="exact"/>
        <w:rPr>
          <w:sz w:val="20"/>
          <w:szCs w:val="20"/>
          <w:color w:val="auto"/>
        </w:rPr>
      </w:pPr>
    </w:p>
    <w:p>
      <w:pPr>
        <w:ind w:left="460" w:right="100" w:firstLine="413"/>
        <w:spacing w:after="0" w:line="269" w:lineRule="auto"/>
        <w:rPr>
          <w:sz w:val="20"/>
          <w:szCs w:val="20"/>
          <w:color w:val="auto"/>
        </w:rPr>
      </w:pPr>
      <w:r>
        <w:rPr>
          <w:rFonts w:ascii="Arial" w:cs="Arial" w:eastAsia="Arial" w:hAnsi="Arial"/>
          <w:sz w:val="16"/>
          <w:szCs w:val="16"/>
          <w:color w:val="auto"/>
        </w:rPr>
        <w:t>Ms. Winters has served as a member of the board of directors of the Company since October 2021. Ms. Winters recently retired, having served as Chief Financial Officer at Automatic Data Processing Inc (“ADP”) (Nasdaq: ADP) since 2019, a global technology company providing human capital management solutions. At ADP, she was responsible for leading the global finance organization and representing the company to investors, lenders and rating agencies, and she played a significant role in driving the company’s strategy, growth and operational effectiveness. Prior to ADP, Ms. Winters served as Chief Financial Officer at MSCI, Inc. (NYSE: MSCI), a provider of investment decision support tools including indexes, for institutional investors for three years. Before that, she spent 14 years in various financial leadership roles at Honeywell International (Nasdaq: HON). Ms. Winters began her career at PricewaterhouseCoopers LLP, serving clients primarily in the entertainment and media industries. Ms. Winters holds a degree from Boston College and is a certified public accountant.</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780"/>
          </w:cols>
          <w:pgMar w:left="320" w:top="440" w:right="79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We believe Ms. Winters is qualified to serve on our board of directors because of her extensive experience serving the financial sector and her various leadership positions in financial roles.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Board of Directors</w:t>
      </w:r>
    </w:p>
    <w:p>
      <w:pPr>
        <w:spacing w:after="0" w:line="112"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Our business and affairs are managed under the direction of our Board. Our amended and restated certificate of incorporation provides that our Board must consist of at least one director, or such larger number as may be fixed from time to time by a resolution of at least a majority of the directors then in office. Our Board is composed of ten directors divided into three classes, with terms staggered according to class. Class I consists of three directors, Class II consists of three directors and Class III consists of three directors. The Class I directors, whose terms will expire at the first annual meeting of our stockholders following the filing of our amended and restated certificate of incorporation, will be Jason Krantz, Chris Mitchell and Lauren Young. The Class II directors, whose terms will expire at the second annual meeting of our stockholders following the filing of our amended and restated certificate of incorporation, will be Chris Egan, Samuel A. Hamood and Jill Larsen. The Class III directors, whose terms will expire at the third annual meeting of our stockholders following the filing of our amended and restated certificate of incorporation, will be Jeff Haywood, Robert Musslewhite, D. Randall Winn and Kathleen A. Winters. See “Description of Capital Stock—Anti-takeover Provisions” for more information.</w:t>
      </w:r>
    </w:p>
    <w:p>
      <w:pPr>
        <w:spacing w:after="0" w:line="157"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Mr. Egan and Ms. Young were appointed to serve as members of the Board, each as an Advent Manager, and Messrs. Mitchell and Haywood were appointed to serve as members of the board of managers of Definitive OpCo, each as a Spectrum Equity Manager, pursuant to the Amended and Restated Limited Liability Company Agreement of AIDH Topco, LLC, dated as of July 16, 2019, by and among the Company and members of AIDH Topco, LLC. Mr. Winn was appointed as a member of the board of managers of Definitive OpCo as a 22C Capital Manager pursuant to Amendment No. 1 to the Amended and Restated Limited Liability Company Agreement of AIDH Topco, LLC, dated as of September 13, 2019, by and among the Company and the members of AIDH Topco, LLC.</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Nominating Agreements</w:t>
      </w:r>
    </w:p>
    <w:p>
      <w:pPr>
        <w:spacing w:after="0" w:line="112" w:lineRule="exact"/>
        <w:rPr>
          <w:sz w:val="20"/>
          <w:szCs w:val="20"/>
          <w:color w:val="auto"/>
        </w:rPr>
      </w:pPr>
    </w:p>
    <w:p>
      <w:pPr>
        <w:ind w:left="460" w:right="60" w:firstLine="413"/>
        <w:spacing w:after="0" w:line="254" w:lineRule="auto"/>
        <w:rPr>
          <w:sz w:val="20"/>
          <w:szCs w:val="20"/>
          <w:color w:val="auto"/>
        </w:rPr>
      </w:pPr>
      <w:r>
        <w:rPr>
          <w:rFonts w:ascii="Arial" w:cs="Arial" w:eastAsia="Arial" w:hAnsi="Arial"/>
          <w:sz w:val="17"/>
          <w:szCs w:val="17"/>
          <w:color w:val="auto"/>
        </w:rPr>
        <w:t>On September 17, 2021, we entered into nominating agreements with an affiliate of Advent, Jason Krantz and Spectrum Equity, respectively, which provide that, subject to minimum stock ownership requirements, the Company will include two designees of Advent, one designee of Spectrum Equity and Jason Krantz, respectively, in the slate of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Board Committees</w:t>
      </w:r>
    </w:p>
    <w:p>
      <w:pPr>
        <w:spacing w:after="0" w:line="112" w:lineRule="exact"/>
        <w:rPr>
          <w:sz w:val="20"/>
          <w:szCs w:val="20"/>
          <w:color w:val="auto"/>
        </w:rPr>
      </w:pPr>
    </w:p>
    <w:p>
      <w:pPr>
        <w:ind w:left="460" w:right="540" w:firstLine="413"/>
        <w:spacing w:after="0" w:line="311" w:lineRule="auto"/>
        <w:rPr>
          <w:sz w:val="20"/>
          <w:szCs w:val="20"/>
          <w:color w:val="auto"/>
        </w:rPr>
      </w:pPr>
      <w:r>
        <w:rPr>
          <w:rFonts w:ascii="Arial" w:cs="Arial" w:eastAsia="Arial" w:hAnsi="Arial"/>
          <w:sz w:val="15"/>
          <w:szCs w:val="15"/>
          <w:color w:val="auto"/>
        </w:rPr>
        <w:t>Our Board currently has an Audit Committee, a Compensation Committee and a Nominating and Corporate Governance Committee. Each committee has a charter that has been approved by our Board and that is available on our website. Each committee has the composition and responsibilities described below. Members serve on our Board committees until their resignations or until otherwise determined by our Board.</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primary purposes of our Audit Committee under the committee’s charter are to assist the Board’s oversight of:</w:t>
      </w:r>
    </w:p>
    <w:p>
      <w:pPr>
        <w:spacing w:after="0" w:line="121" w:lineRule="exact"/>
        <w:rPr>
          <w:sz w:val="20"/>
          <w:szCs w:val="20"/>
          <w:color w:val="auto"/>
        </w:rPr>
      </w:pPr>
    </w:p>
    <w:p>
      <w:pPr>
        <w:ind w:left="1360" w:hanging="498"/>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audits of our financial statements;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integrity of our financial statements;</w:t>
      </w:r>
    </w:p>
    <w:p>
      <w:pPr>
        <w:spacing w:after="0" w:line="14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760"/>
          </w:cols>
          <w:pgMar w:left="320" w:top="440" w:right="81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180" w:hanging="498"/>
        <w:spacing w:after="0" w:line="272" w:lineRule="auto"/>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our process relating to risk management and the conduct and systems of internal control over financial reporting and disclosure controls and procedures;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qualifications, engagement, compensation, independence and performance of our independent auditor;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performance of our internal audit function.</w:t>
      </w:r>
    </w:p>
    <w:p>
      <w:pPr>
        <w:spacing w:after="0" w:line="210" w:lineRule="exact"/>
        <w:rPr>
          <w:sz w:val="20"/>
          <w:szCs w:val="20"/>
          <w:color w:val="auto"/>
        </w:rPr>
      </w:pPr>
    </w:p>
    <w:p>
      <w:pPr>
        <w:ind w:left="460" w:right="40" w:firstLine="413"/>
        <w:spacing w:after="0" w:line="274" w:lineRule="auto"/>
        <w:rPr>
          <w:sz w:val="20"/>
          <w:szCs w:val="20"/>
          <w:color w:val="auto"/>
        </w:rPr>
      </w:pPr>
      <w:r>
        <w:rPr>
          <w:rFonts w:ascii="Arial" w:cs="Arial" w:eastAsia="Arial" w:hAnsi="Arial"/>
          <w:sz w:val="16"/>
          <w:szCs w:val="16"/>
          <w:color w:val="auto"/>
        </w:rPr>
        <w:t>Our Audit Committee is composed of Samuel A. Hamood, Chris Egan and Kathleen A. Winters. Samuel A. Hamood serves as chair of the Audit Committee. Samuel A. Hamood and Kathleen A. Winters qualify as an “audit committee financial expert” as such term has been defined by the SEC in Item 407(d) of Regulation S-K. Our Board has affirmatively determined that Samuel A. Hamood, Chris Egan and Kathleen A. Winters meet the definition of an “independent director” for the purposes of serving on the Audit Committee under applicable Nasdaq rules and Rule 10A-3 under the Exchange Act. The Audit Committee is governed by a charter that complies with the rules of Nasdaq.</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8" w:lineRule="exact"/>
        <w:rPr>
          <w:sz w:val="20"/>
          <w:szCs w:val="20"/>
          <w:color w:val="auto"/>
        </w:rPr>
      </w:pPr>
    </w:p>
    <w:p>
      <w:pPr>
        <w:ind w:left="460" w:right="560" w:firstLine="413"/>
        <w:spacing w:after="0" w:line="272" w:lineRule="auto"/>
        <w:rPr>
          <w:sz w:val="20"/>
          <w:szCs w:val="20"/>
          <w:color w:val="auto"/>
        </w:rPr>
      </w:pPr>
      <w:r>
        <w:rPr>
          <w:rFonts w:ascii="Arial" w:cs="Arial" w:eastAsia="Arial" w:hAnsi="Arial"/>
          <w:sz w:val="17"/>
          <w:szCs w:val="17"/>
          <w:color w:val="auto"/>
        </w:rPr>
        <w:t>The primary purpose of our Compensation Committee under the committee’s charter is to assist the Board in overseeing our management compensation policies and practices, including:</w:t>
      </w:r>
    </w:p>
    <w:p>
      <w:pPr>
        <w:spacing w:after="0" w:line="76" w:lineRule="exact"/>
        <w:rPr>
          <w:sz w:val="20"/>
          <w:szCs w:val="20"/>
          <w:color w:val="auto"/>
        </w:rPr>
      </w:pPr>
    </w:p>
    <w:p>
      <w:pPr>
        <w:ind w:left="1360" w:hanging="498"/>
        <w:spacing w:after="0"/>
        <w:tabs>
          <w:tab w:leader="none" w:pos="1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determining and approving and recommending to the Board for its approval the compensation of our executive officers; and</w:t>
      </w:r>
    </w:p>
    <w:p>
      <w:pPr>
        <w:spacing w:after="0" w:line="121" w:lineRule="exact"/>
        <w:rPr>
          <w:rFonts w:ascii="Arial" w:cs="Arial" w:eastAsia="Arial" w:hAnsi="Arial"/>
          <w:sz w:val="17"/>
          <w:szCs w:val="17"/>
          <w:color w:val="auto"/>
        </w:rPr>
      </w:pPr>
    </w:p>
    <w:p>
      <w:pPr>
        <w:ind w:left="1360" w:right="160" w:hanging="498"/>
        <w:spacing w:after="0" w:line="272" w:lineRule="auto"/>
        <w:tabs>
          <w:tab w:leader="none" w:pos="1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reviewing and approving and recommending to the Board for its approval incentive compensation and equity compensation policies and programs.</w:t>
      </w:r>
    </w:p>
    <w:p>
      <w:pPr>
        <w:spacing w:after="0" w:line="165" w:lineRule="exact"/>
        <w:rPr>
          <w:sz w:val="20"/>
          <w:szCs w:val="20"/>
          <w:color w:val="auto"/>
        </w:rPr>
      </w:pPr>
    </w:p>
    <w:p>
      <w:pPr>
        <w:ind w:left="460" w:right="160" w:firstLine="413"/>
        <w:spacing w:after="0" w:line="303" w:lineRule="auto"/>
        <w:rPr>
          <w:sz w:val="20"/>
          <w:szCs w:val="20"/>
          <w:color w:val="auto"/>
        </w:rPr>
      </w:pPr>
      <w:r>
        <w:rPr>
          <w:rFonts w:ascii="Arial" w:cs="Arial" w:eastAsia="Arial" w:hAnsi="Arial"/>
          <w:sz w:val="16"/>
          <w:szCs w:val="16"/>
          <w:color w:val="auto"/>
        </w:rPr>
        <w:t>Our Compensation Committee is composed of Jill Larsen, D. Randall Winn, Jeff Haywood and Lauren Young. Jill Larsen serves as chair of the Compensation Committee. The Compensation Committee is governed by a charter that complies with the rules of Nasdaq.</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08" w:lineRule="exact"/>
        <w:rPr>
          <w:sz w:val="20"/>
          <w:szCs w:val="20"/>
          <w:color w:val="auto"/>
        </w:rPr>
      </w:pPr>
    </w:p>
    <w:p>
      <w:pPr>
        <w:ind w:left="460" w:right="60" w:firstLine="413"/>
        <w:spacing w:after="0" w:line="340" w:lineRule="auto"/>
        <w:rPr>
          <w:sz w:val="20"/>
          <w:szCs w:val="20"/>
          <w:color w:val="auto"/>
        </w:rPr>
      </w:pPr>
      <w:r>
        <w:rPr>
          <w:rFonts w:ascii="Arial" w:cs="Arial" w:eastAsia="Arial" w:hAnsi="Arial"/>
          <w:sz w:val="15"/>
          <w:szCs w:val="15"/>
          <w:color w:val="auto"/>
        </w:rPr>
        <w:t>Our Board has established a nominating and corporate governance committee. The primary purpose of our nominating and corporate governance committee is to recommend candidates for appointment to the Board and to review the corporate governance guidelines of the Company, including:</w:t>
      </w:r>
    </w:p>
    <w:p>
      <w:pPr>
        <w:spacing w:after="0" w:line="31" w:lineRule="exact"/>
        <w:rPr>
          <w:sz w:val="20"/>
          <w:szCs w:val="20"/>
          <w:color w:val="auto"/>
        </w:rPr>
      </w:pPr>
    </w:p>
    <w:p>
      <w:pPr>
        <w:ind w:left="1360" w:hanging="498"/>
        <w:spacing w:after="0"/>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identifying and screening individuals qualified to serve as directors;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developing, recommending to the Board and reviewing the Company’s corporate governance guidelines;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and its committees; and</w:t>
      </w:r>
    </w:p>
    <w:p>
      <w:pPr>
        <w:spacing w:after="0" w:line="121" w:lineRule="exact"/>
        <w:rPr>
          <w:rFonts w:ascii="Arial" w:cs="Arial" w:eastAsia="Arial" w:hAnsi="Arial"/>
          <w:sz w:val="17"/>
          <w:szCs w:val="17"/>
          <w:color w:val="auto"/>
        </w:rPr>
      </w:pPr>
    </w:p>
    <w:p>
      <w:pPr>
        <w:ind w:left="1360" w:right="380" w:hanging="498"/>
        <w:spacing w:after="0" w:line="272" w:lineRule="auto"/>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reviewing on a regular basis the overall corporate governance of the Company and recommending improvements to the Board where appropriate.</w:t>
      </w:r>
    </w:p>
    <w:p>
      <w:pPr>
        <w:spacing w:after="0" w:line="165" w:lineRule="exact"/>
        <w:rPr>
          <w:sz w:val="20"/>
          <w:szCs w:val="20"/>
          <w:color w:val="auto"/>
        </w:rPr>
      </w:pPr>
    </w:p>
    <w:p>
      <w:pPr>
        <w:jc w:val="both"/>
        <w:ind w:left="460" w:right="20" w:firstLine="413"/>
        <w:spacing w:after="0" w:line="260" w:lineRule="auto"/>
        <w:rPr>
          <w:sz w:val="20"/>
          <w:szCs w:val="20"/>
          <w:color w:val="auto"/>
        </w:rPr>
      </w:pPr>
      <w:r>
        <w:rPr>
          <w:rFonts w:ascii="Arial" w:cs="Arial" w:eastAsia="Arial" w:hAnsi="Arial"/>
          <w:sz w:val="17"/>
          <w:szCs w:val="17"/>
          <w:color w:val="auto"/>
        </w:rPr>
        <w:t>The nominating and corporate governance committee are comprised of Lauren Young, D. Randall Winn and Chris Mitchell. Lauren Young serves as the chair of the nominating and corporate governance committee. The nominating and corporate governance committee is governed by a charter that complies with the rules of Nasdaq.</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2"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members of our Compensation Committee during 2021 were Jill Larsen, D. Randall Winn, Jeff Haywood and Lauren Young. During 2021,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11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720"/>
          </w:cols>
          <w:pgMar w:left="320" w:top="440" w:right="85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Indemnification of Directors</w:t>
      </w:r>
    </w:p>
    <w:p>
      <w:pPr>
        <w:spacing w:after="0" w:line="112"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Our amended and restated certificate of incorporation provides that we will indemnify our executive officers and directors to the fullest extent permitted by the DGCL.</w:t>
      </w:r>
    </w:p>
    <w:p>
      <w:pPr>
        <w:spacing w:after="0" w:line="165" w:lineRule="exact"/>
        <w:rPr>
          <w:sz w:val="20"/>
          <w:szCs w:val="20"/>
          <w:color w:val="auto"/>
        </w:rPr>
      </w:pPr>
    </w:p>
    <w:p>
      <w:pPr>
        <w:ind w:left="460" w:right="340" w:firstLine="413"/>
        <w:spacing w:after="0" w:line="260" w:lineRule="auto"/>
        <w:rPr>
          <w:sz w:val="20"/>
          <w:szCs w:val="20"/>
          <w:color w:val="auto"/>
        </w:rPr>
      </w:pPr>
      <w:r>
        <w:rPr>
          <w:rFonts w:ascii="Arial" w:cs="Arial" w:eastAsia="Arial" w:hAnsi="Arial"/>
          <w:sz w:val="17"/>
          <w:szCs w:val="17"/>
          <w:color w:val="auto"/>
        </w:rPr>
        <w:t>We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subject to certain exceptions contained in those agreements.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12" w:lineRule="exact"/>
        <w:rPr>
          <w:sz w:val="20"/>
          <w:szCs w:val="20"/>
          <w:color w:val="auto"/>
        </w:rPr>
      </w:pPr>
    </w:p>
    <w:p>
      <w:pPr>
        <w:ind w:left="460" w:right="140" w:firstLine="413"/>
        <w:spacing w:after="0" w:line="256" w:lineRule="auto"/>
        <w:rPr>
          <w:sz w:val="20"/>
          <w:szCs w:val="20"/>
          <w:color w:val="auto"/>
        </w:rPr>
      </w:pPr>
      <w:r>
        <w:rPr>
          <w:rFonts w:ascii="Arial" w:cs="Arial" w:eastAsia="Arial" w:hAnsi="Arial"/>
          <w:sz w:val="17"/>
          <w:szCs w:val="17"/>
          <w:color w:val="auto"/>
        </w:rPr>
        <w:t>Our code of business conduct and ethics that applies to all of our employees, officers and directors is available on our website located at www.definitivehc.com. Any amendments or waivers from our code for our principal executive officer, principal financial officer, principal accounting officer or controller, or persons performing similar functions that are required to be disclosed will be disclosed on our Internet website promptly following the date of such amendment or waiver.</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Corporate Governance Guidelines</w:t>
      </w:r>
    </w:p>
    <w:p>
      <w:pPr>
        <w:spacing w:after="0" w:line="112"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Our Board has adopted corporate governance guidelines in accordance with the applicable corporate governance rules of Nasdaq that serve as a flexible framework within which our Board and its committees operate. These guidelines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senior managers and independent advisers, Board communication with stockholders and others, director compensation and annual board and committee performance evaluations. A copy of our corporate governance guidelines is posted on our website.</w:t>
      </w:r>
    </w:p>
    <w:p>
      <w:pPr>
        <w:spacing w:after="0" w:line="10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740"/>
          </w:cols>
          <w:pgMar w:left="320" w:top="440" w:right="8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4" w:lineRule="exact"/>
        <w:rPr>
          <w:sz w:val="20"/>
          <w:szCs w:val="20"/>
          <w:color w:val="auto"/>
        </w:rPr>
      </w:pPr>
    </w:p>
    <w:p>
      <w:pPr>
        <w:ind w:left="460" w:right="40" w:firstLine="413"/>
        <w:spacing w:after="0" w:line="284" w:lineRule="auto"/>
        <w:rPr>
          <w:sz w:val="20"/>
          <w:szCs w:val="20"/>
          <w:color w:val="auto"/>
        </w:rPr>
      </w:pPr>
      <w:r>
        <w:rPr>
          <w:rFonts w:ascii="Arial" w:cs="Arial" w:eastAsia="Arial" w:hAnsi="Arial"/>
          <w:sz w:val="16"/>
          <w:szCs w:val="16"/>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112" w:lineRule="exact"/>
        <w:rPr>
          <w:sz w:val="20"/>
          <w:szCs w:val="20"/>
          <w:color w:val="auto"/>
        </w:rPr>
      </w:pPr>
    </w:p>
    <w:p>
      <w:pPr>
        <w:ind w:left="460" w:right="40" w:firstLine="413"/>
        <w:spacing w:after="0" w:line="287" w:lineRule="auto"/>
        <w:rPr>
          <w:sz w:val="20"/>
          <w:szCs w:val="20"/>
          <w:color w:val="auto"/>
        </w:rPr>
      </w:pPr>
      <w:r>
        <w:rPr>
          <w:rFonts w:ascii="Arial" w:cs="Arial" w:eastAsia="Arial" w:hAnsi="Arial"/>
          <w:sz w:val="15"/>
          <w:szCs w:val="15"/>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2020 were:</w:t>
      </w:r>
    </w:p>
    <w:p>
      <w:pPr>
        <w:spacing w:after="0" w:line="109" w:lineRule="exact"/>
        <w:rPr>
          <w:sz w:val="20"/>
          <w:szCs w:val="20"/>
          <w:color w:val="auto"/>
        </w:rPr>
      </w:pPr>
    </w:p>
    <w:p>
      <w:pPr>
        <w:ind w:left="1360" w:hanging="498"/>
        <w:spacing w:after="0"/>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Jason Krantz, our Chairman and Chief Executive Officer;</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Kevin Shone, our former Chief Financial Officer;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Joseph Mirisola, our Chief Revenue Officer.</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Summary Compensation Table</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certain information regarding the total compensation awarded to, earned by or paid to our NEOs in fiscal 2020.</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8"/>
              </w:rPr>
              <w:t>Non-Equity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All Other</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66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 and Principal Position</w:t>
            </w:r>
          </w:p>
        </w:tc>
        <w:tc>
          <w:tcPr>
            <w:tcW w:w="23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Year</w:t>
            </w:r>
          </w:p>
        </w:tc>
        <w:tc>
          <w:tcPr>
            <w:tcW w:w="36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Salary</w:t>
            </w:r>
          </w:p>
        </w:tc>
        <w:tc>
          <w:tcPr>
            <w:tcW w:w="18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Bonus(2)</w:t>
            </w:r>
          </w:p>
        </w:tc>
        <w:tc>
          <w:tcPr>
            <w:tcW w:w="180" w:type="dxa"/>
            <w:vAlign w:val="bottom"/>
          </w:tcPr>
          <w:p>
            <w:pPr>
              <w:spacing w:after="0"/>
              <w:rPr>
                <w:sz w:val="12"/>
                <w:szCs w:val="12"/>
                <w:color w:val="auto"/>
              </w:rPr>
            </w:pPr>
          </w:p>
        </w:tc>
        <w:tc>
          <w:tcPr>
            <w:tcW w:w="1180" w:type="dxa"/>
            <w:vAlign w:val="bottom"/>
            <w:gridSpan w:val="3"/>
          </w:tcPr>
          <w:p>
            <w:pPr>
              <w:jc w:val="right"/>
              <w:ind w:right="280"/>
              <w:spacing w:after="0" w:line="139" w:lineRule="exact"/>
              <w:rPr>
                <w:sz w:val="20"/>
                <w:szCs w:val="20"/>
                <w:color w:val="auto"/>
              </w:rPr>
            </w:pPr>
            <w:r>
              <w:rPr>
                <w:rFonts w:ascii="Arial" w:cs="Arial" w:eastAsia="Arial" w:hAnsi="Arial"/>
                <w:sz w:val="13"/>
                <w:szCs w:val="13"/>
                <w:b w:val="1"/>
                <w:bCs w:val="1"/>
                <w:color w:val="auto"/>
              </w:rPr>
              <w:t>Incentive Plan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7"/>
        </w:trPr>
        <w:tc>
          <w:tcPr>
            <w:tcW w:w="1660" w:type="dxa"/>
            <w:vAlign w:val="bottom"/>
            <w:tcBorders>
              <w:bottom w:val="single" w:sz="8" w:color="auto"/>
            </w:tcBorders>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180"/>
              <w:spacing w:after="0" w:line="147" w:lineRule="exact"/>
              <w:rPr>
                <w:sz w:val="20"/>
                <w:szCs w:val="20"/>
                <w:color w:val="auto"/>
              </w:rPr>
            </w:pPr>
            <w:r>
              <w:rPr>
                <w:rFonts w:ascii="Arial" w:cs="Arial" w:eastAsia="Arial" w:hAnsi="Arial"/>
                <w:sz w:val="13"/>
                <w:szCs w:val="13"/>
                <w:b w:val="1"/>
                <w:bCs w:val="1"/>
                <w:color w:val="auto"/>
                <w:w w:val="92"/>
              </w:rPr>
              <w:t>Compensation(3)</w:t>
            </w:r>
          </w:p>
        </w:tc>
        <w:tc>
          <w:tcPr>
            <w:tcW w:w="180" w:type="dxa"/>
            <w:vAlign w:val="bottom"/>
          </w:tcPr>
          <w:p>
            <w:pPr>
              <w:spacing w:after="0"/>
              <w:rPr>
                <w:sz w:val="14"/>
                <w:szCs w:val="14"/>
                <w:color w:val="auto"/>
              </w:rPr>
            </w:pPr>
          </w:p>
        </w:tc>
        <w:tc>
          <w:tcPr>
            <w:tcW w:w="1180" w:type="dxa"/>
            <w:vAlign w:val="bottom"/>
            <w:gridSpan w:val="3"/>
          </w:tcPr>
          <w:p>
            <w:pPr>
              <w:jc w:val="right"/>
              <w:ind w:right="180"/>
              <w:spacing w:after="0" w:line="147" w:lineRule="exact"/>
              <w:rPr>
                <w:sz w:val="20"/>
                <w:szCs w:val="20"/>
                <w:color w:val="auto"/>
              </w:rPr>
            </w:pPr>
            <w:r>
              <w:rPr>
                <w:rFonts w:ascii="Arial" w:cs="Arial" w:eastAsia="Arial" w:hAnsi="Arial"/>
                <w:sz w:val="13"/>
                <w:szCs w:val="13"/>
                <w:b w:val="1"/>
                <w:bCs w:val="1"/>
                <w:color w:val="auto"/>
                <w:w w:val="92"/>
              </w:rPr>
              <w:t>Compensation(4)</w:t>
            </w:r>
          </w:p>
        </w:tc>
        <w:tc>
          <w:tcPr>
            <w:tcW w:w="1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Jason Krantz</w:t>
            </w: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60"/>
              <w:spacing w:after="0" w:line="188" w:lineRule="exact"/>
              <w:rPr>
                <w:sz w:val="20"/>
                <w:szCs w:val="20"/>
                <w:color w:val="auto"/>
              </w:rPr>
            </w:pPr>
            <w:r>
              <w:rPr>
                <w:rFonts w:ascii="Arial" w:cs="Arial" w:eastAsia="Arial" w:hAnsi="Arial"/>
                <w:sz w:val="17"/>
                <w:szCs w:val="17"/>
                <w:color w:val="auto"/>
                <w:w w:val="84"/>
              </w:rPr>
              <w:t>2020</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87"/>
              </w:rPr>
              <w:t>$420,250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7"/>
                <w:szCs w:val="17"/>
                <w:color w:val="auto"/>
                <w:w w:val="87"/>
              </w:rPr>
              <w:t>$25,000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310,770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29,677</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7"/>
                <w:szCs w:val="17"/>
                <w:color w:val="auto"/>
                <w:w w:val="90"/>
              </w:rPr>
              <w:t>$760,697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60" w:type="dxa"/>
            <w:vAlign w:val="bottom"/>
            <w:gridSpan w:val="2"/>
          </w:tcPr>
          <w:p>
            <w:pPr>
              <w:spacing w:after="0" w:line="190" w:lineRule="exact"/>
              <w:rPr>
                <w:sz w:val="20"/>
                <w:szCs w:val="20"/>
                <w:color w:val="auto"/>
              </w:rPr>
            </w:pPr>
            <w:r>
              <w:rPr>
                <w:rFonts w:ascii="Arial" w:cs="Arial" w:eastAsia="Arial" w:hAnsi="Arial"/>
                <w:sz w:val="17"/>
                <w:szCs w:val="17"/>
                <w:color w:val="auto"/>
              </w:rPr>
              <w:t>Kevin Shone</w:t>
            </w:r>
            <w:r>
              <w:rPr>
                <w:rFonts w:ascii="Arial" w:cs="Arial" w:eastAsia="Arial" w:hAnsi="Arial"/>
                <w:sz w:val="14"/>
                <w:szCs w:val="14"/>
                <w:color w:val="auto"/>
              </w:rPr>
              <w:t>(1)</w:t>
            </w:r>
          </w:p>
        </w:tc>
        <w:tc>
          <w:tcPr>
            <w:tcW w:w="700" w:type="dxa"/>
            <w:vAlign w:val="bottom"/>
            <w:gridSpan w:val="2"/>
          </w:tcPr>
          <w:p>
            <w:pPr>
              <w:ind w:left="360"/>
              <w:spacing w:after="0" w:line="190" w:lineRule="exact"/>
              <w:rPr>
                <w:sz w:val="20"/>
                <w:szCs w:val="20"/>
                <w:color w:val="auto"/>
              </w:rPr>
            </w:pPr>
            <w:r>
              <w:rPr>
                <w:rFonts w:ascii="Arial" w:cs="Arial" w:eastAsia="Arial" w:hAnsi="Arial"/>
                <w:sz w:val="17"/>
                <w:szCs w:val="17"/>
                <w:color w:val="auto"/>
                <w:w w:val="84"/>
              </w:rPr>
              <w:t>2020</w:t>
            </w:r>
          </w:p>
        </w:tc>
        <w:tc>
          <w:tcPr>
            <w:tcW w:w="1180" w:type="dxa"/>
            <w:vAlign w:val="bottom"/>
            <w:gridSpan w:val="3"/>
          </w:tcPr>
          <w:p>
            <w:pPr>
              <w:jc w:val="right"/>
              <w:ind w:right="180"/>
              <w:spacing w:after="0" w:line="190" w:lineRule="exact"/>
              <w:rPr>
                <w:sz w:val="20"/>
                <w:szCs w:val="20"/>
                <w:color w:val="auto"/>
              </w:rPr>
            </w:pPr>
            <w:r>
              <w:rPr>
                <w:rFonts w:ascii="Arial" w:cs="Arial" w:eastAsia="Arial" w:hAnsi="Arial"/>
                <w:sz w:val="17"/>
                <w:szCs w:val="17"/>
                <w:color w:val="auto"/>
              </w:rPr>
              <w:t>$280,500</w:t>
            </w:r>
          </w:p>
        </w:tc>
        <w:tc>
          <w:tcPr>
            <w:tcW w:w="900" w:type="dxa"/>
            <w:vAlign w:val="bottom"/>
            <w:gridSpan w:val="3"/>
          </w:tcPr>
          <w:p>
            <w:pPr>
              <w:jc w:val="center"/>
              <w:spacing w:after="0" w:line="190" w:lineRule="exact"/>
              <w:rPr>
                <w:sz w:val="20"/>
                <w:szCs w:val="20"/>
                <w:color w:val="auto"/>
              </w:rPr>
            </w:pPr>
            <w:r>
              <w:rPr>
                <w:rFonts w:ascii="Arial" w:cs="Arial" w:eastAsia="Arial" w:hAnsi="Arial"/>
                <w:sz w:val="17"/>
                <w:szCs w:val="17"/>
                <w:color w:val="auto"/>
                <w:w w:val="87"/>
              </w:rPr>
              <w:t>$25,000</w:t>
            </w:r>
          </w:p>
        </w:tc>
        <w:tc>
          <w:tcPr>
            <w:tcW w:w="30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125,000</w:t>
            </w:r>
          </w:p>
        </w:tc>
        <w:tc>
          <w:tcPr>
            <w:tcW w:w="32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31,807</w:t>
            </w:r>
          </w:p>
        </w:tc>
        <w:tc>
          <w:tcPr>
            <w:tcW w:w="880" w:type="dxa"/>
            <w:vAlign w:val="bottom"/>
            <w:gridSpan w:val="3"/>
          </w:tcPr>
          <w:p>
            <w:pPr>
              <w:jc w:val="center"/>
              <w:ind w:left="36"/>
              <w:spacing w:after="0" w:line="190" w:lineRule="exact"/>
              <w:rPr>
                <w:sz w:val="20"/>
                <w:szCs w:val="20"/>
                <w:color w:val="auto"/>
              </w:rPr>
            </w:pPr>
            <w:r>
              <w:rPr>
                <w:rFonts w:ascii="Arial" w:cs="Arial" w:eastAsia="Arial" w:hAnsi="Arial"/>
                <w:sz w:val="17"/>
                <w:szCs w:val="17"/>
                <w:color w:val="auto"/>
                <w:w w:val="90"/>
              </w:rPr>
              <w:t>$437,307</w:t>
            </w:r>
          </w:p>
        </w:tc>
        <w:tc>
          <w:tcPr>
            <w:tcW w:w="0" w:type="dxa"/>
            <w:vAlign w:val="bottom"/>
          </w:tcPr>
          <w:p>
            <w:pPr>
              <w:spacing w:after="0"/>
              <w:rPr>
                <w:sz w:val="1"/>
                <w:szCs w:val="1"/>
                <w:color w:val="auto"/>
              </w:rPr>
            </w:pPr>
          </w:p>
        </w:tc>
      </w:tr>
      <w:tr>
        <w:trPr>
          <w:trHeight w:val="214"/>
        </w:trPr>
        <w:tc>
          <w:tcPr>
            <w:tcW w:w="3960" w:type="dxa"/>
            <w:vAlign w:val="bottom"/>
            <w:gridSpan w:val="2"/>
          </w:tcPr>
          <w:p>
            <w:pPr>
              <w:ind w:left="160"/>
              <w:spacing w:after="0"/>
              <w:rPr>
                <w:sz w:val="20"/>
                <w:szCs w:val="20"/>
                <w:color w:val="auto"/>
              </w:rPr>
            </w:pPr>
            <w:r>
              <w:rPr>
                <w:rFonts w:ascii="Arial" w:cs="Arial" w:eastAsia="Arial" w:hAnsi="Arial"/>
                <w:sz w:val="17"/>
                <w:szCs w:val="17"/>
                <w:color w:val="auto"/>
              </w:rPr>
              <w:t>former Chief Financial Officer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2020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$275,000</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7"/>
              </w:rPr>
              <w:t>$25,000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11,670</w:t>
            </w:r>
          </w:p>
        </w:tc>
        <w:tc>
          <w:tcPr>
            <w:tcW w:w="880" w:type="dxa"/>
            <w:vAlign w:val="bottom"/>
            <w:gridSpan w:val="3"/>
            <w:shd w:val="clear" w:color="auto" w:fill="CCEEFF"/>
          </w:tcPr>
          <w:p>
            <w:pPr>
              <w:jc w:val="center"/>
              <w:ind w:left="36"/>
              <w:spacing w:after="0"/>
              <w:rPr>
                <w:sz w:val="20"/>
                <w:szCs w:val="20"/>
                <w:color w:val="auto"/>
              </w:rPr>
            </w:pPr>
            <w:r>
              <w:rPr>
                <w:rFonts w:ascii="Arial" w:cs="Arial" w:eastAsia="Arial" w:hAnsi="Arial"/>
                <w:sz w:val="17"/>
                <w:szCs w:val="17"/>
                <w:color w:val="auto"/>
                <w:w w:val="90"/>
              </w:rPr>
              <w:t>$486,670</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Revenue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right="720" w:hanging="403"/>
        <w:spacing w:after="0" w:line="256" w:lineRule="auto"/>
        <w:tabs>
          <w:tab w:leader="none" w:pos="8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Mr. Shone served as our Chief Financial Officer from April 24, 2018 until March 15, 2021, when he transitioned to the position of Chief Administrative Officer.</w:t>
      </w:r>
    </w:p>
    <w:p>
      <w:pPr>
        <w:ind w:left="860" w:hanging="403"/>
        <w:spacing w:after="0"/>
        <w:tabs>
          <w:tab w:leader="none" w:pos="8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Reflects amounts paid pursuant to the Executive Stretch tier as described below.</w:t>
      </w:r>
    </w:p>
    <w:p>
      <w:pPr>
        <w:spacing w:after="0" w:line="7" w:lineRule="exact"/>
        <w:rPr>
          <w:rFonts w:ascii="Arial" w:cs="Arial" w:eastAsia="Arial" w:hAnsi="Arial"/>
          <w:sz w:val="17"/>
          <w:szCs w:val="17"/>
          <w:color w:val="auto"/>
        </w:rPr>
      </w:pPr>
    </w:p>
    <w:p>
      <w:pPr>
        <w:ind w:left="860" w:hanging="403"/>
        <w:spacing w:after="0"/>
        <w:tabs>
          <w:tab w:leader="none" w:pos="8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Represents performance-based amounts earned in fiscal 2020 under the Definitive Healthcare 2020 Corporate Bonus Program.</w:t>
      </w:r>
    </w:p>
    <w:p>
      <w:pPr>
        <w:spacing w:after="0" w:line="7" w:lineRule="exact"/>
        <w:rPr>
          <w:rFonts w:ascii="Arial" w:cs="Arial" w:eastAsia="Arial" w:hAnsi="Arial"/>
          <w:sz w:val="17"/>
          <w:szCs w:val="17"/>
          <w:color w:val="auto"/>
        </w:rPr>
      </w:pPr>
    </w:p>
    <w:p>
      <w:pPr>
        <w:ind w:left="860" w:hanging="403"/>
        <w:spacing w:after="0"/>
        <w:tabs>
          <w:tab w:leader="none" w:pos="8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Payments to our NEOs included in the “All Other Compensation” column include the following:</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5"/>
              </w:rPr>
              <w:t>Short and</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6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w w:val="95"/>
              </w:rPr>
              <w:t>Long Term</w:t>
            </w:r>
          </w:p>
        </w:tc>
        <w:tc>
          <w:tcPr>
            <w:tcW w:w="140" w:type="dxa"/>
            <w:vAlign w:val="bottom"/>
          </w:tcPr>
          <w:p>
            <w:pPr>
              <w:spacing w:after="0"/>
              <w:rPr>
                <w:sz w:val="12"/>
                <w:szCs w:val="12"/>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Life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401(k)</w:t>
            </w:r>
          </w:p>
        </w:tc>
        <w:tc>
          <w:tcPr>
            <w:tcW w:w="200" w:type="dxa"/>
            <w:vAlign w:val="bottom"/>
          </w:tcPr>
          <w:p>
            <w:pPr>
              <w:spacing w:after="0"/>
              <w:rPr>
                <w:sz w:val="12"/>
                <w:szCs w:val="12"/>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5"/>
              </w:rPr>
              <w:t>Health</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60" w:type="dxa"/>
            <w:vAlign w:val="bottom"/>
            <w:gridSpan w:val="3"/>
          </w:tcPr>
          <w:p>
            <w:pPr>
              <w:jc w:val="center"/>
              <w:ind w:right="440"/>
              <w:spacing w:after="0" w:line="139" w:lineRule="exact"/>
              <w:rPr>
                <w:sz w:val="20"/>
                <w:szCs w:val="20"/>
                <w:color w:val="auto"/>
              </w:rPr>
            </w:pPr>
            <w:r>
              <w:rPr>
                <w:rFonts w:ascii="Arial" w:cs="Arial" w:eastAsia="Arial" w:hAnsi="Arial"/>
                <w:sz w:val="13"/>
                <w:szCs w:val="13"/>
                <w:b w:val="1"/>
                <w:bCs w:val="1"/>
                <w:color w:val="auto"/>
                <w:w w:val="93"/>
              </w:rPr>
              <w:t>Disability</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290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6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w w:val="94"/>
              </w:rPr>
              <w:t>Insurance</w:t>
            </w:r>
          </w:p>
        </w:tc>
        <w:tc>
          <w:tcPr>
            <w:tcW w:w="8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Insurance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8"/>
              </w:rPr>
              <w:t>Matching</w:t>
            </w:r>
          </w:p>
        </w:tc>
        <w:tc>
          <w:tcPr>
            <w:tcW w:w="200" w:type="dxa"/>
            <w:vAlign w:val="bottom"/>
          </w:tcPr>
          <w:p>
            <w:pPr>
              <w:spacing w:after="0"/>
              <w:rPr>
                <w:sz w:val="12"/>
                <w:szCs w:val="12"/>
                <w:color w:val="auto"/>
              </w:rPr>
            </w:pPr>
          </w:p>
        </w:tc>
        <w:tc>
          <w:tcPr>
            <w:tcW w:w="102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4"/>
              </w:rPr>
              <w:t>Insurance</w:t>
            </w: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gridSpan w:val="3"/>
          </w:tcPr>
          <w:p>
            <w:pPr>
              <w:jc w:val="center"/>
              <w:ind w:right="400"/>
              <w:spacing w:after="0" w:line="147" w:lineRule="exact"/>
              <w:rPr>
                <w:sz w:val="20"/>
                <w:szCs w:val="20"/>
                <w:color w:val="auto"/>
              </w:rPr>
            </w:pPr>
            <w:r>
              <w:rPr>
                <w:rFonts w:ascii="Arial" w:cs="Arial" w:eastAsia="Arial" w:hAnsi="Arial"/>
                <w:sz w:val="13"/>
                <w:szCs w:val="13"/>
                <w:b w:val="1"/>
                <w:bCs w:val="1"/>
                <w:color w:val="auto"/>
                <w:w w:val="92"/>
              </w:rPr>
              <w:t>Premiums</w:t>
            </w:r>
          </w:p>
        </w:tc>
        <w:tc>
          <w:tcPr>
            <w:tcW w:w="82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Premiums</w:t>
            </w:r>
          </w:p>
        </w:tc>
        <w:tc>
          <w:tcPr>
            <w:tcW w:w="200" w:type="dxa"/>
            <w:vAlign w:val="bottom"/>
          </w:tcPr>
          <w:p>
            <w:pPr>
              <w:spacing w:after="0"/>
              <w:rPr>
                <w:sz w:val="14"/>
                <w:szCs w:val="14"/>
                <w:color w:val="auto"/>
              </w:rPr>
            </w:pPr>
          </w:p>
        </w:tc>
        <w:tc>
          <w:tcPr>
            <w:tcW w:w="102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Contributions</w:t>
            </w:r>
          </w:p>
        </w:tc>
        <w:tc>
          <w:tcPr>
            <w:tcW w:w="200" w:type="dxa"/>
            <w:vAlign w:val="bottom"/>
          </w:tcPr>
          <w:p>
            <w:pPr>
              <w:spacing w:after="0"/>
              <w:rPr>
                <w:sz w:val="14"/>
                <w:szCs w:val="14"/>
                <w:color w:val="auto"/>
              </w:rPr>
            </w:pPr>
          </w:p>
        </w:tc>
        <w:tc>
          <w:tcPr>
            <w:tcW w:w="1020" w:type="dxa"/>
            <w:vAlign w:val="bottom"/>
            <w:gridSpan w:val="2"/>
          </w:tcPr>
          <w:p>
            <w:pPr>
              <w:jc w:val="center"/>
              <w:ind w:right="400"/>
              <w:spacing w:after="0" w:line="147" w:lineRule="exact"/>
              <w:rPr>
                <w:sz w:val="20"/>
                <w:szCs w:val="20"/>
                <w:color w:val="auto"/>
              </w:rPr>
            </w:pPr>
            <w:r>
              <w:rPr>
                <w:rFonts w:ascii="Arial" w:cs="Arial" w:eastAsia="Arial" w:hAnsi="Arial"/>
                <w:sz w:val="13"/>
                <w:szCs w:val="13"/>
                <w:b w:val="1"/>
                <w:bCs w:val="1"/>
                <w:color w:val="auto"/>
                <w:w w:val="92"/>
              </w:rPr>
              <w:t>Premiums</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Jason Krantz</w:t>
            </w:r>
          </w:p>
        </w:tc>
        <w:tc>
          <w:tcPr>
            <w:tcW w:w="2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160"/>
              <w:spacing w:after="0" w:line="188" w:lineRule="exact"/>
              <w:rPr>
                <w:sz w:val="20"/>
                <w:szCs w:val="20"/>
                <w:color w:val="auto"/>
              </w:rPr>
            </w:pPr>
            <w:r>
              <w:rPr>
                <w:rFonts w:ascii="Arial" w:cs="Arial" w:eastAsia="Arial" w:hAnsi="Arial"/>
                <w:sz w:val="17"/>
                <w:szCs w:val="17"/>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270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11,400</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7"/>
                <w:szCs w:val="17"/>
                <w:color w:val="auto"/>
                <w:w w:val="90"/>
              </w:rPr>
              <w:t>$ 18,007</w:t>
            </w:r>
          </w:p>
        </w:tc>
        <w:tc>
          <w:tcPr>
            <w:tcW w:w="4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7"/>
                <w:szCs w:val="17"/>
                <w:color w:val="auto"/>
                <w:w w:val="91"/>
              </w:rPr>
              <w:t>$29,677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Arial" w:cs="Arial" w:eastAsia="Arial" w:hAnsi="Arial"/>
                <w:sz w:val="17"/>
                <w:szCs w:val="17"/>
                <w:color w:val="auto"/>
              </w:rPr>
              <w:t>Kevin Shone</w:t>
            </w:r>
          </w:p>
        </w:tc>
        <w:tc>
          <w:tcPr>
            <w:tcW w:w="24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160"/>
              <w:spacing w:after="0"/>
              <w:rPr>
                <w:sz w:val="20"/>
                <w:szCs w:val="20"/>
                <w:color w:val="auto"/>
              </w:rPr>
            </w:pPr>
            <w:r>
              <w:rPr>
                <w:rFonts w:ascii="Arial" w:cs="Arial" w:eastAsia="Arial" w:hAnsi="Arial"/>
                <w:sz w:val="17"/>
                <w:szCs w:val="17"/>
                <w:color w:val="auto"/>
              </w:rPr>
              <w:t>846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270</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11,400</w:t>
            </w:r>
          </w:p>
        </w:tc>
        <w:tc>
          <w:tcPr>
            <w:tcW w:w="1220" w:type="dxa"/>
            <w:vAlign w:val="bottom"/>
            <w:gridSpan w:val="3"/>
          </w:tcPr>
          <w:p>
            <w:pPr>
              <w:jc w:val="center"/>
              <w:ind w:right="220"/>
              <w:spacing w:after="0"/>
              <w:rPr>
                <w:sz w:val="20"/>
                <w:szCs w:val="20"/>
                <w:color w:val="auto"/>
              </w:rPr>
            </w:pPr>
            <w:r>
              <w:rPr>
                <w:rFonts w:ascii="Arial" w:cs="Arial" w:eastAsia="Arial" w:hAnsi="Arial"/>
                <w:sz w:val="17"/>
                <w:szCs w:val="17"/>
                <w:color w:val="auto"/>
                <w:w w:val="90"/>
              </w:rPr>
              <w:t>$ 19,291</w:t>
            </w:r>
          </w:p>
        </w:tc>
        <w:tc>
          <w:tcPr>
            <w:tcW w:w="62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$31,807</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11,400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$11,670</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Narrative Discussion of the Summary Compensation Table</w:t>
      </w:r>
    </w:p>
    <w:p>
      <w:pPr>
        <w:spacing w:after="0" w:line="112"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In fiscal 2020, we primarily compensated our NEOs through a combination of base salary and annual cash incentive awards. Our NEOs are also entitled to certain other benefits, subject to their enrollment, including a</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800"/>
          </w:cols>
          <w:pgMar w:left="320" w:top="440" w:right="77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0"/>
        <w:spacing w:after="0" w:line="272" w:lineRule="auto"/>
        <w:rPr>
          <w:sz w:val="20"/>
          <w:szCs w:val="20"/>
          <w:color w:val="auto"/>
        </w:rPr>
      </w:pPr>
      <w:r>
        <w:rPr>
          <w:rFonts w:ascii="Arial" w:cs="Arial" w:eastAsia="Arial" w:hAnsi="Arial"/>
          <w:sz w:val="17"/>
          <w:szCs w:val="17"/>
          <w:color w:val="auto"/>
        </w:rPr>
        <w:t>401(k) plan with matching contributions, medical, dental, vision, life, accidental death and dismemberment, short-term disability and long-term disability insurance.</w:t>
      </w:r>
    </w:p>
    <w:p>
      <w:pPr>
        <w:spacing w:after="0" w:line="165"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Prior to the IPO, the vesting of a portion of the Class B Units was tied to the achievement by Advent of certain specified investment multiples and a portion is subject to time-based vesting. Under the terms of the existing award agreements with our executive officers and certain other award holders, upon the initial public offering, the portion of such awards as to which such investment multiples would not be achieved if Advent were to sell its entire investment at the initial public offering price was forfeited. In connection with the initial public offering, such forfeiture condition was waived and, after the IPO, all such unvested awards are subject to time-based vesting, subject to the service provider’s continued service. See “Executive and Director Compensation—Equity Compensation.”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our fiscal 2020 compensation program are described in more detail below:</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Cash Compensation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Base Salary</w:t>
      </w:r>
    </w:p>
    <w:p>
      <w:pPr>
        <w:spacing w:after="0" w:line="108"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2020 Annual Cash Incentive Awards and Bonus</w:t>
      </w:r>
    </w:p>
    <w:p>
      <w:pPr>
        <w:spacing w:after="0" w:line="108"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57"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55" w:lineRule="exact"/>
        <w:rPr>
          <w:sz w:val="20"/>
          <w:szCs w:val="20"/>
          <w:color w:val="auto"/>
        </w:rPr>
      </w:pPr>
    </w:p>
    <w:p>
      <w:pPr>
        <w:jc w:val="both"/>
        <w:ind w:left="460" w:right="460" w:firstLine="413"/>
        <w:spacing w:after="0" w:line="311" w:lineRule="auto"/>
        <w:rPr>
          <w:sz w:val="20"/>
          <w:szCs w:val="20"/>
          <w:color w:val="auto"/>
        </w:rPr>
      </w:pPr>
      <w:r>
        <w:rPr>
          <w:rFonts w:ascii="Arial" w:cs="Arial" w:eastAsia="Arial" w:hAnsi="Arial"/>
          <w:sz w:val="15"/>
          <w:szCs w:val="15"/>
          <w:color w:val="auto"/>
        </w:rPr>
        <w:t>Mr. Krantz’s, base achievement, target achievement and stretch achievement payments for fiscal 2020 were up to 68% of his base salary for achievement of any of base, target and stretch goals. Mr. Shone’s base, target and stretch achievement were set at $50,000, $75,000 and $100,000 respectively, and Mr. Mirisola’s base, target and stretch achievement were set at $75,000, $125,000 and $175,000 respectively.</w:t>
      </w:r>
    </w:p>
    <w:p>
      <w:pPr>
        <w:spacing w:after="0" w:line="140"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The Board also approved an incremental tier (“Executive Stretch”) of $25,000 pursuant to the 2020 Bonus Program for executive leaders, including our NEOs for above stretch achievement.</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760"/>
          </w:cols>
          <w:pgMar w:left="320" w:top="440" w:right="81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Based on achievement of Cash Revenue Performance in fiscal 2020 of $136.607 million, our compensation committee approved the following payments to our NEOs: for Mr. Krantz, $285,770; for Mr. Shone, $100,000; 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Employment Arrangements</w:t>
      </w:r>
    </w:p>
    <w:p>
      <w:pPr>
        <w:spacing w:after="0" w:line="112"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Jason Krantz</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82" w:lineRule="exact"/>
        <w:rPr>
          <w:sz w:val="20"/>
          <w:szCs w:val="20"/>
          <w:color w:val="auto"/>
        </w:rPr>
      </w:pPr>
    </w:p>
    <w:p>
      <w:pPr>
        <w:jc w:val="both"/>
        <w:ind w:left="460" w:right="40" w:firstLine="413"/>
        <w:spacing w:after="0" w:line="311" w:lineRule="auto"/>
        <w:rPr>
          <w:sz w:val="20"/>
          <w:szCs w:val="20"/>
          <w:color w:val="auto"/>
        </w:rPr>
      </w:pPr>
      <w:r>
        <w:rPr>
          <w:rFonts w:ascii="Arial" w:cs="Arial" w:eastAsia="Arial" w:hAnsi="Arial"/>
          <w:sz w:val="15"/>
          <w:szCs w:val="15"/>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40" w:lineRule="exact"/>
        <w:rPr>
          <w:sz w:val="20"/>
          <w:szCs w:val="20"/>
          <w:color w:val="auto"/>
        </w:rPr>
      </w:pPr>
    </w:p>
    <w:p>
      <w:pPr>
        <w:jc w:val="both"/>
        <w:ind w:left="460" w:right="140" w:firstLine="413"/>
        <w:spacing w:after="0" w:line="260" w:lineRule="auto"/>
        <w:rPr>
          <w:sz w:val="20"/>
          <w:szCs w:val="20"/>
          <w:color w:val="auto"/>
        </w:rPr>
      </w:pPr>
      <w:r>
        <w:rPr>
          <w:rFonts w:ascii="Arial" w:cs="Arial" w:eastAsia="Arial" w:hAnsi="Arial"/>
          <w:sz w:val="17"/>
          <w:szCs w:val="17"/>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75"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70"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Krantz Employment Agreement includes customary confidentiality provisions, as well as provisions relating to noncompetition, assignment of inventions, and non-solicitation of our employees.</w:t>
      </w:r>
    </w:p>
    <w:p>
      <w:pPr>
        <w:spacing w:after="0" w:line="165"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For purposes of the Krantz Employment Agreement, “Cause” means that the Mr. Krantz has: (i) breached any fiduciary duty or legal or material contractual obligation to us, which breach, if curable, is not cured within</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760"/>
          </w:cols>
          <w:pgMar w:left="320" w:top="440" w:right="81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53" w:lineRule="auto"/>
        <w:rPr>
          <w:sz w:val="20"/>
          <w:szCs w:val="20"/>
          <w:color w:val="auto"/>
        </w:rPr>
      </w:pPr>
      <w:r>
        <w:rPr>
          <w:rFonts w:ascii="Arial" w:cs="Arial" w:eastAsia="Arial" w:hAnsi="Arial"/>
          <w:sz w:val="17"/>
          <w:szCs w:val="17"/>
          <w:color w:val="auto"/>
        </w:rPr>
        <w:t xml:space="preserve">15 days after written notice to the Executive thereof or, if cured, recurs; (ii) 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82" w:lineRule="exact"/>
        <w:rPr>
          <w:sz w:val="20"/>
          <w:szCs w:val="20"/>
          <w:color w:val="auto"/>
        </w:rPr>
      </w:pPr>
    </w:p>
    <w:p>
      <w:pPr>
        <w:ind w:left="460" w:right="120" w:firstLine="413"/>
        <w:spacing w:after="0" w:line="290" w:lineRule="auto"/>
        <w:rPr>
          <w:sz w:val="20"/>
          <w:szCs w:val="20"/>
          <w:color w:val="auto"/>
        </w:rPr>
      </w:pPr>
      <w:r>
        <w:rPr>
          <w:rFonts w:ascii="Arial" w:cs="Arial" w:eastAsia="Arial" w:hAnsi="Arial"/>
          <w:sz w:val="15"/>
          <w:szCs w:val="15"/>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ind w:left="460"/>
        <w:spacing w:after="0" w:line="292" w:lineRule="auto"/>
        <w:rPr>
          <w:sz w:val="20"/>
          <w:szCs w:val="20"/>
          <w:color w:val="auto"/>
        </w:rPr>
      </w:pPr>
      <w:r>
        <w:rPr>
          <w:rFonts w:ascii="Arial" w:cs="Arial" w:eastAsia="Arial" w:hAnsi="Arial"/>
          <w:sz w:val="15"/>
          <w:szCs w:val="15"/>
          <w:color w:val="auto"/>
        </w:rPr>
        <w:t>Mr. Krantz’s then-current base salary by twenty percent (20%) or more provided that any such reduction that applies to all management employees in the 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155"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In connection with the IPO, we amended Mr. Krantz’s employment agreement to provide him with additional benefits if we terminate Mr. Krantz’s employment without Cause or Mr. Krantz terminates his employment for Good Reason, in each case within a 12 month period after a change of control. If Mr. Krantz’s employment terminates on such basis within a 12 month period after a change of control, under his amended employment agreement we would provide Mr. Krantz with (i) severance in the amount of 150% of the sum of Mr. Krantz’s base salary and target bonus at the rate in effect on the date of termination; (ii) a prorated portion of the annual bonus Mr. Krantz would have earned at target level; and (iii) if Mr. Krantz is eligible, continuation of payments of the group health continuation coverage premiums for Mr. Krantz and his eligible dependents for a period of up to 18 months. In addition, we would accelerate the vesting of all of Mr. Krantz’s unvested equity awards. The payments and benefits described above may be reduced if they would result in Mr. Krantz receiving a lower amount on an after-tax basis due to the application of the excise tax on “golden parachutes.”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Kevin Shone</w:t>
      </w:r>
    </w:p>
    <w:p>
      <w:pPr>
        <w:spacing w:after="0" w:line="108"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1" w:lineRule="exact"/>
        <w:rPr>
          <w:sz w:val="20"/>
          <w:szCs w:val="20"/>
          <w:color w:val="auto"/>
        </w:rPr>
      </w:pPr>
    </w:p>
    <w:p>
      <w:pPr>
        <w:ind w:left="460" w:right="140"/>
        <w:spacing w:after="0" w:line="276" w:lineRule="auto"/>
        <w:rPr>
          <w:sz w:val="20"/>
          <w:szCs w:val="20"/>
          <w:color w:val="auto"/>
        </w:rPr>
      </w:pPr>
      <w:r>
        <w:rPr>
          <w:rFonts w:ascii="Arial" w:cs="Arial" w:eastAsia="Arial" w:hAnsi="Arial"/>
          <w:sz w:val="16"/>
          <w:szCs w:val="16"/>
          <w:color w:val="auto"/>
        </w:rPr>
        <w:t>Mr. Shone’s base salary for fiscal 2020. The Shone Employment Agreement also provides that Mr. Shone is eligible to receive an annual cash bonus based on the Company achieving specific revenue targets which are determined on an annual basis for the following year by the Board. Pursuant to his employment agreement, Mr. Shone received Class B Units as described in the Class B Units section.</w:t>
      </w:r>
    </w:p>
    <w:p>
      <w:pPr>
        <w:spacing w:after="0" w:line="164" w:lineRule="exact"/>
        <w:rPr>
          <w:sz w:val="20"/>
          <w:szCs w:val="20"/>
          <w:color w:val="auto"/>
        </w:rPr>
      </w:pPr>
    </w:p>
    <w:p>
      <w:pPr>
        <w:ind w:left="460" w:right="160" w:firstLine="413"/>
        <w:spacing w:after="0" w:line="311" w:lineRule="auto"/>
        <w:rPr>
          <w:sz w:val="20"/>
          <w:szCs w:val="20"/>
          <w:color w:val="auto"/>
        </w:rPr>
      </w:pPr>
      <w:r>
        <w:rPr>
          <w:rFonts w:ascii="Arial" w:cs="Arial" w:eastAsia="Arial" w:hAnsi="Arial"/>
          <w:sz w:val="15"/>
          <w:szCs w:val="15"/>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40"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780"/>
          </w:cols>
          <w:pgMar w:left="320" w:top="440" w:right="79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If we terminate Mr. Shone’s employment without Cause (other than as a result of death or disability), or Mr. Shone terminates his employment for Good Reason, then we must provide Mr. Shone with continuation of 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79" w:lineRule="exact"/>
        <w:rPr>
          <w:sz w:val="20"/>
          <w:szCs w:val="20"/>
          <w:color w:val="auto"/>
        </w:rPr>
      </w:pPr>
    </w:p>
    <w:p>
      <w:pPr>
        <w:ind w:left="460" w:right="740" w:firstLine="413"/>
        <w:spacing w:after="0" w:line="272" w:lineRule="auto"/>
        <w:rPr>
          <w:sz w:val="20"/>
          <w:szCs w:val="20"/>
          <w:color w:val="auto"/>
        </w:rPr>
      </w:pPr>
      <w:r>
        <w:rPr>
          <w:rFonts w:ascii="Arial" w:cs="Arial" w:eastAsia="Arial" w:hAnsi="Arial"/>
          <w:sz w:val="17"/>
          <w:szCs w:val="17"/>
          <w:color w:val="auto"/>
        </w:rPr>
        <w:t>The Shone Employment Agreement includes confidentiality provisions, as well as provisions relating to noncompetition, assignment of inventions, and non-solicitation of our employees.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“Cause” under the Shone Employment Agreement has the same meaning as under the Krantz Employment Agreement.</w:t>
      </w:r>
    </w:p>
    <w:p>
      <w:pPr>
        <w:spacing w:after="0" w:line="210"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70" w:lineRule="exact"/>
        <w:rPr>
          <w:sz w:val="20"/>
          <w:szCs w:val="20"/>
          <w:color w:val="auto"/>
        </w:rPr>
      </w:pPr>
    </w:p>
    <w:p>
      <w:pPr>
        <w:ind w:left="460" w:right="40" w:firstLine="413"/>
        <w:spacing w:after="0" w:line="289" w:lineRule="auto"/>
        <w:rPr>
          <w:sz w:val="20"/>
          <w:szCs w:val="20"/>
          <w:color w:val="auto"/>
        </w:rPr>
      </w:pPr>
      <w:r>
        <w:rPr>
          <w:rFonts w:ascii="Arial" w:cs="Arial" w:eastAsia="Arial" w:hAnsi="Arial"/>
          <w:sz w:val="15"/>
          <w:szCs w:val="15"/>
          <w:color w:val="auto"/>
        </w:rPr>
        <w:t>Mr. Shone retired from the Company on September 30, 2021. In connection with his retirement, we are providing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were modified for the change of the vesting condition after the consummation of the proposed initial public offering. A revaluation of the awards will be performed in accordance with GAAP as if granted on the date of the modification. Incremental compensation expense of approximately $1.8 million was recorded during the third quarter 2021. Upon separation, Mr. Shone forfeited 37,917 of his remaining unvested time-based Class B units and 75,833 of his remaining unvested performance-based Class B units.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Joseph Mirisola</w:t>
      </w:r>
    </w:p>
    <w:p>
      <w:pPr>
        <w:spacing w:after="0" w:line="108"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155"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We intend to enter into employment agreements with Mr. Mirisola and other senior executives that would provide them with certain severance benefits. If we terminate the executive’s employment without cause (to be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760"/>
          </w:cols>
          <w:pgMar w:left="320" w:top="440" w:right="81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84" w:lineRule="auto"/>
        <w:rPr>
          <w:sz w:val="20"/>
          <w:szCs w:val="20"/>
          <w:color w:val="auto"/>
        </w:rPr>
      </w:pPr>
      <w:r>
        <w:rPr>
          <w:rFonts w:ascii="Arial" w:cs="Arial" w:eastAsia="Arial" w:hAnsi="Arial"/>
          <w:sz w:val="15"/>
          <w:szCs w:val="15"/>
          <w:color w:val="auto"/>
        </w:rPr>
        <w:t>defined in such agreement) or the executive terminates his or her employment for good reason (to be defined in such agreement) we would provide such executive with (i) continuation of payments of their base salary at the rate in effect on the date of termination for a period of 12 months; (ii) a prorated portion of the annual bonus such executive would have earned; and (iii) if the executive is eligible, continuation of payments of the group health continuation coverage premiums for such executive and his eligible dependents for a period of up to 12 months. If such termination occurs within a 12 month period after a change of control we would provide such executive with (i) severance in the amount of the sum of such executive’s base salary and target bonus at the rate in effect on the date of termination; (ii) a prorated portion of the annual bonus such executive would have earned at target level;</w:t>
      </w:r>
    </w:p>
    <w:p>
      <w:pPr>
        <w:spacing w:after="0" w:line="3" w:lineRule="exact"/>
        <w:rPr>
          <w:sz w:val="20"/>
          <w:szCs w:val="20"/>
          <w:color w:val="auto"/>
        </w:rPr>
      </w:pPr>
    </w:p>
    <w:p>
      <w:pPr>
        <w:ind w:left="460" w:right="240" w:hanging="3"/>
        <w:spacing w:after="0" w:line="251" w:lineRule="auto"/>
        <w:tabs>
          <w:tab w:leader="none" w:pos="75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the executive is eligible, continuation of payments of the group health continuation coverage premiums for such executive and his eligible dependents for a period of up to 12 months. In addition, we would accelerate the vesting of all of such executive’s unvested equity awards. The payments and benefits described above may be reduced if they would result in the executive receiving a lower amount on an after-tax basis due to the application of the excise tax on “golden parachutes.”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Equity Compensation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2019 Equity Incentive Plan</w:t>
      </w:r>
    </w:p>
    <w:p>
      <w:pPr>
        <w:spacing w:after="0" w:line="108" w:lineRule="exact"/>
        <w:rPr>
          <w:sz w:val="20"/>
          <w:szCs w:val="20"/>
          <w:color w:val="auto"/>
        </w:rPr>
      </w:pPr>
    </w:p>
    <w:p>
      <w:pPr>
        <w:jc w:val="both"/>
        <w:ind w:left="460" w:right="60" w:firstLine="413"/>
        <w:spacing w:after="0" w:line="284" w:lineRule="auto"/>
        <w:rPr>
          <w:sz w:val="20"/>
          <w:szCs w:val="20"/>
          <w:color w:val="auto"/>
        </w:rPr>
      </w:pPr>
      <w:r>
        <w:rPr>
          <w:rFonts w:ascii="Arial" w:cs="Arial" w:eastAsia="Arial" w:hAnsi="Arial"/>
          <w:sz w:val="16"/>
          <w:szCs w:val="16"/>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Outstanding Class B Units at Fiscal Year End</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sets forth certain information with respect to outstanding unvested Class B Units held by our NEOs as of December 31, 2020.</w:t>
      </w:r>
    </w:p>
    <w:p>
      <w:pPr>
        <w:spacing w:after="0" w:line="233"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3"/>
              </w:rPr>
              <w:t>Class B Units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gridSpan w:val="2"/>
          </w:tcPr>
          <w:p>
            <w:pPr>
              <w:jc w:val="center"/>
              <w:ind w:right="220"/>
              <w:spacing w:after="0" w:line="112" w:lineRule="exact"/>
              <w:rPr>
                <w:sz w:val="20"/>
                <w:szCs w:val="20"/>
                <w:color w:val="auto"/>
              </w:rPr>
            </w:pPr>
            <w:r>
              <w:rPr>
                <w:rFonts w:ascii="Arial" w:cs="Arial" w:eastAsia="Arial" w:hAnsi="Arial"/>
                <w:sz w:val="12"/>
                <w:szCs w:val="12"/>
                <w:b w:val="1"/>
                <w:bCs w:val="1"/>
                <w:color w:val="auto"/>
              </w:rPr>
              <w:t>Number of</w:t>
            </w:r>
          </w:p>
        </w:tc>
        <w:tc>
          <w:tcPr>
            <w:tcW w:w="240" w:type="dxa"/>
            <w:vAlign w:val="bottom"/>
          </w:tcPr>
          <w:p>
            <w:pPr>
              <w:spacing w:after="0"/>
              <w:rPr>
                <w:sz w:val="9"/>
                <w:szCs w:val="9"/>
                <w:color w:val="auto"/>
              </w:rPr>
            </w:pPr>
          </w:p>
        </w:tc>
        <w:tc>
          <w:tcPr>
            <w:tcW w:w="920" w:type="dxa"/>
            <w:vAlign w:val="bottom"/>
            <w:gridSpan w:val="2"/>
          </w:tcPr>
          <w:p>
            <w:pPr>
              <w:spacing w:after="0" w:line="112" w:lineRule="exact"/>
              <w:rPr>
                <w:sz w:val="20"/>
                <w:szCs w:val="20"/>
                <w:color w:val="auto"/>
              </w:rPr>
            </w:pPr>
            <w:r>
              <w:rPr>
                <w:rFonts w:ascii="Arial" w:cs="Arial" w:eastAsia="Arial" w:hAnsi="Arial"/>
                <w:sz w:val="12"/>
                <w:szCs w:val="12"/>
                <w:b w:val="1"/>
                <w:bCs w:val="1"/>
                <w:color w:val="auto"/>
              </w:rPr>
              <w:t>Market value of</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Class B Units</w:t>
            </w:r>
          </w:p>
        </w:tc>
        <w:tc>
          <w:tcPr>
            <w:tcW w:w="240" w:type="dxa"/>
            <w:vAlign w:val="bottom"/>
          </w:tcPr>
          <w:p>
            <w:pPr>
              <w:spacing w:after="0"/>
              <w:rPr>
                <w:sz w:val="12"/>
                <w:szCs w:val="12"/>
                <w:color w:val="auto"/>
              </w:rPr>
            </w:pPr>
          </w:p>
        </w:tc>
        <w:tc>
          <w:tcPr>
            <w:tcW w:w="98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0"/>
              </w:rPr>
              <w:t>Class B Units</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4"/>
              </w:rPr>
              <w:t>that have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that have</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596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Grant Date</w:t>
            </w:r>
          </w:p>
        </w:tc>
        <w:tc>
          <w:tcPr>
            <w:tcW w:w="10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not vested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9"/>
              </w:rPr>
              <w:t>not vested</w:t>
            </w: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1"/>
              <w:spacing w:after="0" w:line="147"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Jason Krantz</w:t>
            </w:r>
          </w:p>
        </w:tc>
        <w:tc>
          <w:tcPr>
            <w:tcW w:w="4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2"/>
              </w:rPr>
              <w:t>9/18/2019(1)</w:t>
            </w:r>
          </w:p>
        </w:tc>
        <w:tc>
          <w:tcPr>
            <w:tcW w:w="6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93"/>
              </w:rPr>
              <w:t>505,554.75</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7,659,340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460"/>
              <w:spacing w:after="0"/>
              <w:rPr>
                <w:sz w:val="20"/>
                <w:szCs w:val="20"/>
                <w:color w:val="auto"/>
              </w:rPr>
            </w:pPr>
            <w:r>
              <w:rPr>
                <w:rFonts w:ascii="Arial" w:cs="Arial" w:eastAsia="Arial" w:hAnsi="Arial"/>
                <w:sz w:val="17"/>
                <w:szCs w:val="17"/>
                <w:color w:val="auto"/>
              </w:rPr>
              <w:t>9/18/2019(2)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674,073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10,212,453</w:t>
            </w:r>
          </w:p>
        </w:tc>
        <w:tc>
          <w:tcPr>
            <w:tcW w:w="0" w:type="dxa"/>
            <w:vAlign w:val="bottom"/>
          </w:tcPr>
          <w:p>
            <w:pPr>
              <w:spacing w:after="0"/>
              <w:rPr>
                <w:sz w:val="1"/>
                <w:szCs w:val="1"/>
                <w:color w:val="auto"/>
              </w:rPr>
            </w:pPr>
          </w:p>
        </w:tc>
      </w:tr>
      <w:tr>
        <w:trPr>
          <w:trHeight w:val="190"/>
        </w:trPr>
        <w:tc>
          <w:tcPr>
            <w:tcW w:w="6300" w:type="dxa"/>
            <w:vAlign w:val="bottom"/>
            <w:gridSpan w:val="2"/>
          </w:tcPr>
          <w:p>
            <w:pPr>
              <w:spacing w:after="0" w:line="190" w:lineRule="exact"/>
              <w:rPr>
                <w:sz w:val="20"/>
                <w:szCs w:val="20"/>
                <w:color w:val="auto"/>
              </w:rPr>
            </w:pPr>
            <w:r>
              <w:rPr>
                <w:rFonts w:ascii="Arial" w:cs="Arial" w:eastAsia="Arial" w:hAnsi="Arial"/>
                <w:sz w:val="17"/>
                <w:szCs w:val="17"/>
                <w:color w:val="auto"/>
              </w:rPr>
              <w:t>Kevin Shone</w:t>
            </w:r>
          </w:p>
        </w:tc>
        <w:tc>
          <w:tcPr>
            <w:tcW w:w="1780" w:type="dxa"/>
            <w:vAlign w:val="bottom"/>
            <w:gridSpan w:val="3"/>
          </w:tcPr>
          <w:p>
            <w:pPr>
              <w:ind w:left="460"/>
              <w:spacing w:after="0" w:line="190" w:lineRule="exact"/>
              <w:rPr>
                <w:sz w:val="20"/>
                <w:szCs w:val="20"/>
                <w:color w:val="auto"/>
              </w:rPr>
            </w:pPr>
            <w:r>
              <w:rPr>
                <w:rFonts w:ascii="Arial" w:cs="Arial" w:eastAsia="Arial" w:hAnsi="Arial"/>
                <w:sz w:val="17"/>
                <w:szCs w:val="17"/>
                <w:color w:val="auto"/>
              </w:rPr>
              <w:t>9/18/2019(1)</w:t>
            </w:r>
          </w:p>
        </w:tc>
        <w:tc>
          <w:tcPr>
            <w:tcW w:w="1040" w:type="dxa"/>
            <w:vAlign w:val="bottom"/>
            <w:gridSpan w:val="2"/>
          </w:tcPr>
          <w:p>
            <w:pPr>
              <w:jc w:val="right"/>
              <w:ind w:right="220"/>
              <w:spacing w:after="0" w:line="190" w:lineRule="exact"/>
              <w:rPr>
                <w:sz w:val="20"/>
                <w:szCs w:val="20"/>
                <w:color w:val="auto"/>
              </w:rPr>
            </w:pPr>
            <w:r>
              <w:rPr>
                <w:rFonts w:ascii="Arial" w:cs="Arial" w:eastAsia="Arial" w:hAnsi="Arial"/>
                <w:sz w:val="17"/>
                <w:szCs w:val="17"/>
                <w:color w:val="auto"/>
                <w:w w:val="93"/>
              </w:rPr>
              <w:t>113,749.88</w:t>
            </w:r>
          </w:p>
        </w:tc>
        <w:tc>
          <w:tcPr>
            <w:tcW w:w="360" w:type="dxa"/>
            <w:vAlign w:val="bottom"/>
            <w:gridSpan w:val="2"/>
          </w:tcPr>
          <w:p>
            <w:pPr>
              <w:ind w:left="240"/>
              <w:spacing w:after="0" w:line="190"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60"/>
              <w:spacing w:after="0" w:line="190" w:lineRule="exact"/>
              <w:rPr>
                <w:sz w:val="20"/>
                <w:szCs w:val="20"/>
                <w:color w:val="auto"/>
              </w:rPr>
            </w:pPr>
            <w:r>
              <w:rPr>
                <w:rFonts w:ascii="Arial" w:cs="Arial" w:eastAsia="Arial" w:hAnsi="Arial"/>
                <w:sz w:val="17"/>
                <w:szCs w:val="17"/>
                <w:color w:val="auto"/>
              </w:rPr>
              <w:t>1,723,352</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780" w:type="dxa"/>
            <w:vAlign w:val="bottom"/>
            <w:gridSpan w:val="3"/>
          </w:tcPr>
          <w:p>
            <w:pPr>
              <w:ind w:left="460"/>
              <w:spacing w:after="0"/>
              <w:rPr>
                <w:sz w:val="20"/>
                <w:szCs w:val="20"/>
                <w:color w:val="auto"/>
              </w:rPr>
            </w:pPr>
            <w:r>
              <w:rPr>
                <w:rFonts w:ascii="Arial" w:cs="Arial" w:eastAsia="Arial" w:hAnsi="Arial"/>
                <w:sz w:val="17"/>
                <w:szCs w:val="17"/>
                <w:color w:val="auto"/>
              </w:rPr>
              <w:t>9/18/2019(2)</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151,666.5</w:t>
            </w: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2,297,803</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1780" w:type="dxa"/>
            <w:vAlign w:val="bottom"/>
            <w:gridSpan w:val="3"/>
            <w:shd w:val="clear" w:color="auto" w:fill="CCEEFF"/>
          </w:tcPr>
          <w:p>
            <w:pPr>
              <w:ind w:left="460"/>
              <w:spacing w:after="0"/>
              <w:rPr>
                <w:sz w:val="20"/>
                <w:szCs w:val="20"/>
                <w:color w:val="auto"/>
              </w:rPr>
            </w:pPr>
            <w:r>
              <w:rPr>
                <w:rFonts w:ascii="Arial" w:cs="Arial" w:eastAsia="Arial" w:hAnsi="Arial"/>
                <w:sz w:val="17"/>
                <w:szCs w:val="17"/>
                <w:color w:val="auto"/>
              </w:rPr>
              <w:t>9/18/2019(1)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113,749.88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1,723,352</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460"/>
              <w:spacing w:after="0"/>
              <w:rPr>
                <w:sz w:val="20"/>
                <w:szCs w:val="20"/>
                <w:color w:val="auto"/>
              </w:rPr>
            </w:pPr>
            <w:r>
              <w:rPr>
                <w:rFonts w:ascii="Arial" w:cs="Arial" w:eastAsia="Arial" w:hAnsi="Arial"/>
                <w:sz w:val="17"/>
                <w:szCs w:val="17"/>
                <w:color w:val="auto"/>
              </w:rPr>
              <w:t>9/18/2019(2)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151,666.5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2,297,803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960" w:right="120" w:hanging="503"/>
        <w:spacing w:after="0" w:line="252" w:lineRule="auto"/>
        <w:tabs>
          <w:tab w:leader="none" w:pos="9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 w:lineRule="exact"/>
        <w:rPr>
          <w:rFonts w:ascii="Arial" w:cs="Arial" w:eastAsia="Arial" w:hAnsi="Arial"/>
          <w:sz w:val="17"/>
          <w:szCs w:val="17"/>
          <w:color w:val="auto"/>
        </w:rPr>
      </w:pPr>
    </w:p>
    <w:p>
      <w:pPr>
        <w:ind w:left="860" w:hanging="403"/>
        <w:spacing w:after="0"/>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unvested performance-based units converted into units with time-based vesting upon the consummation of our IPO.</w:t>
      </w:r>
    </w:p>
    <w:p>
      <w:pPr>
        <w:spacing w:after="0" w:line="13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800"/>
          </w:cols>
          <w:pgMar w:left="320" w:top="440" w:right="77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right="20" w:hanging="403"/>
        <w:spacing w:after="0" w:line="260" w:lineRule="auto"/>
        <w:tabs>
          <w:tab w:leader="none" w:pos="8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market value was determined assuming an initial public offering price of $27.00 per share (the midpoint of the estimated public offering price range set forth on the cover page of the Registration Statement on Form S-1 filed on September 13, 2021 (File No. 333-258990)) and gives effect to the Reorganization Transactions.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 B Units</w:t>
      </w:r>
    </w:p>
    <w:p>
      <w:pPr>
        <w:spacing w:after="0" w:line="108"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were reclassified into the Reclassified Management Holdings Class B Units with corresponding Class B Units issued by AIDH TopCo, LLC reclassified into Reclassified Class B LLC Units, which remain subject to the vesting terms described below. In connection with the reorganization, Class B common stock was issued to each holder of Reclassified Management Holdings Class B Units (or in the case of Mr. Krantz, with respect to his Class B Units in AIDH TopCo, LLC) on a one-for-one basis to such holder’s Reclassified Management Holdings Class B Units (or in the case of Mr. Krantz, on a one-for-one basis to his Reclassified Class B LLC Units), provided that such Class B common stock are not entitled to any voting rights until such time as the Reclassified Management Holdings Class B Units or Reclassified Class B LLC Units vest. Once vested, the holders of Reclassified Management Holdings Class B Units will have the right, pursuant to the terms of the amended and restated limited liability company agreement of AIDH Management Holdings, LLC, to cause AIDH TopCo to redeem or exchange their Reclassified Management Holdings Class B LLC Units for newly issued shares of Class A common stock on a one-for-one basis, pursuant to the terms of the Amended LLC Agreement.</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 B Unit Agreements with Messrs. Krantz, Shone and Mirisola</w:t>
      </w:r>
    </w:p>
    <w:p>
      <w:pPr>
        <w:spacing w:after="0" w:line="108" w:lineRule="exact"/>
        <w:rPr>
          <w:sz w:val="20"/>
          <w:szCs w:val="20"/>
          <w:color w:val="auto"/>
        </w:rPr>
      </w:pPr>
    </w:p>
    <w:p>
      <w:pPr>
        <w:ind w:left="460" w:right="20" w:firstLine="413"/>
        <w:spacing w:after="0" w:line="293" w:lineRule="auto"/>
        <w:rPr>
          <w:sz w:val="20"/>
          <w:szCs w:val="20"/>
          <w:color w:val="auto"/>
        </w:rPr>
      </w:pPr>
      <w:r>
        <w:rPr>
          <w:rFonts w:ascii="Arial" w:cs="Arial" w:eastAsia="Arial" w:hAnsi="Arial"/>
          <w:sz w:val="15"/>
          <w:szCs w:val="15"/>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55"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Class B Unit agreements further provide that, subject to Messrs. Krantz, Mirisola and previously Mr. Shone’s continued service through consummation of the IPO, any performance-vesting Class B Units that would meet the applicable prescribed investment multiple if Advent were to sell its investment at the IPO price will be converted into an award of what would become Reclassified Management Holdings Class B Units and any performance-vesting Class B Units that would not meet the applicable prescribed investment multiple would be forfeited. In connection with the consummation of our IPO, such forfeiture condition was waived. One-third of such Reclassified Management Holdings Class B Units vest on each of the first, second and third anniversaries of the IPO, subject to the service provider’s continued service through the applicable vesting date. Any unvested time-vesting units will continue to vest, subject to the service provider’s continued service, according to the normal vesting schedule (25% of the time-vesting Class B Units vest on each of the first four anniversaries of July 16, 2019) following the IPO.</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Potential Payments Upon Termination or Change-In-Control</w:t>
      </w:r>
    </w:p>
    <w:p>
      <w:pPr>
        <w:spacing w:after="0" w:line="112" w:lineRule="exact"/>
        <w:rPr>
          <w:sz w:val="20"/>
          <w:szCs w:val="20"/>
          <w:color w:val="auto"/>
        </w:rPr>
      </w:pPr>
    </w:p>
    <w:p>
      <w:pPr>
        <w:jc w:val="both"/>
        <w:ind w:left="460" w:right="480" w:firstLine="413"/>
        <w:spacing w:after="0" w:line="284" w:lineRule="auto"/>
        <w:rPr>
          <w:sz w:val="20"/>
          <w:szCs w:val="20"/>
          <w:color w:val="auto"/>
        </w:rPr>
      </w:pPr>
      <w:r>
        <w:rPr>
          <w:rFonts w:ascii="Arial" w:cs="Arial" w:eastAsia="Arial" w:hAnsi="Arial"/>
          <w:sz w:val="16"/>
          <w:szCs w:val="16"/>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760"/>
          </w:cols>
          <w:pgMar w:left="320" w:top="440" w:right="81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Treatment of Class B Units</w:t>
      </w:r>
    </w:p>
    <w:p>
      <w:pPr>
        <w:spacing w:after="0" w:line="108" w:lineRule="exact"/>
        <w:rPr>
          <w:sz w:val="20"/>
          <w:szCs w:val="20"/>
          <w:color w:val="auto"/>
        </w:rPr>
      </w:pPr>
    </w:p>
    <w:p>
      <w:pPr>
        <w:ind w:left="460" w:right="440" w:firstLine="413"/>
        <w:spacing w:after="0" w:line="272" w:lineRule="auto"/>
        <w:rPr>
          <w:sz w:val="20"/>
          <w:szCs w:val="20"/>
          <w:color w:val="auto"/>
        </w:rPr>
      </w:pPr>
      <w:r>
        <w:rPr>
          <w:rFonts w:ascii="Arial" w:cs="Arial" w:eastAsia="Arial" w:hAnsi="Arial"/>
          <w:sz w:val="17"/>
          <w:szCs w:val="17"/>
          <w:color w:val="auto"/>
        </w:rPr>
        <w:t>If there is a change in control, all unvested reclassified units will vest as described in the Class B Units section. All references to “change in control” in this section refer to such term as it is defined in the 2019 Plan.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Executive Severance</w:t>
      </w:r>
    </w:p>
    <w:p>
      <w:pPr>
        <w:spacing w:after="0" w:line="112"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Mr. Shone retired from the Company on September 30, 2021. In connection with his retirement, we entered into a Separation Agreement with Mr. Shone, providing for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were modified for the change of the vesting condition after the consummation of the proposed IPO. A revaluation of the awards was performed in accordance with GAAP as if granted on the date of the modification. Incremental compensation expense of $1.8 million was recorded during the third quarter 2021. Upon separation, Mr. Shone forfeited 37,917 of his remaining unvested time-based Class B units and 75,833 of his remaining unvested performance-based Class B units.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Retirement Benefits</w:t>
      </w:r>
    </w:p>
    <w:p>
      <w:pPr>
        <w:spacing w:after="0" w:line="112" w:lineRule="exact"/>
        <w:rPr>
          <w:sz w:val="20"/>
          <w:szCs w:val="20"/>
          <w:color w:val="auto"/>
        </w:rPr>
      </w:pPr>
    </w:p>
    <w:p>
      <w:pPr>
        <w:jc w:val="both"/>
        <w:ind w:left="460" w:right="20" w:firstLine="413"/>
        <w:spacing w:after="0" w:line="311" w:lineRule="auto"/>
        <w:rPr>
          <w:sz w:val="20"/>
          <w:szCs w:val="20"/>
          <w:color w:val="auto"/>
        </w:rPr>
      </w:pPr>
      <w:r>
        <w:rPr>
          <w:rFonts w:ascii="Arial" w:cs="Arial" w:eastAsia="Arial" w:hAnsi="Arial"/>
          <w:sz w:val="15"/>
          <w:szCs w:val="15"/>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Definitive Healthcare Corp. 2021 Equity Incentive Plan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Summary</w:t>
      </w:r>
    </w:p>
    <w:p>
      <w:pPr>
        <w:spacing w:after="0" w:line="108"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In connection with our IPO, we adopted the 2021 Plan, effective as of September 14, 2021. The principal features of the 2021 Plan are summarized below. This summary does not purport to be a complete statement of the terms of the 2021 Plan and is qualified in its entirety by reference to the full text of the 2021 Plan, a copy of which is attached as Exhibit 10.2 to our Registration Statement on Form S-1 filed on August 20, 2021, as amended and supplemented and incorporated by reference herein.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Purpose</w:t>
      </w:r>
    </w:p>
    <w:p>
      <w:pPr>
        <w:spacing w:after="0" w:line="108" w:lineRule="exact"/>
        <w:rPr>
          <w:sz w:val="20"/>
          <w:szCs w:val="20"/>
          <w:color w:val="auto"/>
        </w:rPr>
      </w:pPr>
    </w:p>
    <w:p>
      <w:pPr>
        <w:jc w:val="both"/>
        <w:ind w:left="460" w:right="120" w:firstLine="413"/>
        <w:spacing w:after="0" w:line="260" w:lineRule="auto"/>
        <w:rPr>
          <w:sz w:val="20"/>
          <w:szCs w:val="20"/>
          <w:color w:val="auto"/>
        </w:rPr>
      </w:pPr>
      <w:r>
        <w:rPr>
          <w:rFonts w:ascii="Arial" w:cs="Arial" w:eastAsia="Arial" w:hAnsi="Arial"/>
          <w:sz w:val="17"/>
          <w:szCs w:val="17"/>
          <w:color w:val="auto"/>
        </w:rPr>
        <w:t>The purpose of the Incentive Plan is to align the interests of eligible participants with our stockholders by providing incentive compensation tied to Definitive’s performance. The intent of the Incentive Plan is to advance Definitive’s interests and increase stockholder value by attracting, retaining and motivating key personnel.</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Awards</w:t>
      </w:r>
    </w:p>
    <w:p>
      <w:pPr>
        <w:spacing w:after="0" w:line="108" w:lineRule="exact"/>
        <w:rPr>
          <w:sz w:val="20"/>
          <w:szCs w:val="20"/>
          <w:color w:val="auto"/>
        </w:rPr>
      </w:pPr>
    </w:p>
    <w:p>
      <w:pPr>
        <w:ind w:left="460" w:right="40" w:firstLine="413"/>
        <w:spacing w:after="0" w:line="303" w:lineRule="auto"/>
        <w:rPr>
          <w:sz w:val="20"/>
          <w:szCs w:val="20"/>
          <w:color w:val="auto"/>
        </w:rPr>
      </w:pPr>
      <w:r>
        <w:rPr>
          <w:rFonts w:ascii="Arial" w:cs="Arial" w:eastAsia="Arial" w:hAnsi="Arial"/>
          <w:sz w:val="16"/>
          <w:szCs w:val="16"/>
          <w:color w:val="auto"/>
        </w:rPr>
        <w:t>The types of awards available under the 2021 Plan include stock options (both incentive and non-qualified), SARs, restricted stock awards, RSUs and stock-based awards. All awards granted to participants under the 2021 Plan are represented by an award agreement.</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Shares Available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Approximately 8,989,039 shares of Class A common stock as of the consummation of the IPO were available for awards under the 2021 Plan.</w:t>
      </w:r>
    </w:p>
    <w:p>
      <w:pPr>
        <w:spacing w:after="0" w:line="16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740"/>
          </w:cols>
          <w:pgMar w:left="320" w:top="440" w:right="8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6"/>
          <w:szCs w:val="16"/>
          <w:color w:val="auto"/>
        </w:rPr>
        <w:t>We refer to the aggregate number of shares available for awards under the 2021 Plan as the “share reserve.” On the first day of each fiscal year, commencing on January 1, 2023 and ending on (and including) January 1, 2032, the share reserve will automatically increase by a 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 Within the share reserve, a total of 8,989,039 shares, which is subject to increase in future years by the evergreen provision, of Class A common stock as of the consummation of the IPO are available for awards of incentive stock options.</w:t>
      </w:r>
    </w:p>
    <w:p>
      <w:pPr>
        <w:spacing w:after="0" w:line="167"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If any award granted under the 2021 Plan is cancelled, expired, repurchased, forfeited, surrendered, exchanged for cash, settled in cash or by delivery of fewer shares of Class A common stock than the number underlying the award, or otherwise terminated without consideration or delivery of the shares to the participant, then such unissued shares will be returned to the 2021 Plan and be available for future awards under the 2021 Plan. Shares that are withheld from any award in payment of the exercise, base or purchase price or taxes related to such an award will be available for future awards under the 2021 Plan and will increase the share reserve by one share for each share that is retained or returned to Definitive. Shares of common stock repurchased by Definitive on the open market with the proceeds of a stock option, will not be returned to the 2021 Plan nor be available for future awards under the 2021 Plan. The payment of dividend equivalents in cash in conjunction with any outstanding award shall not count against the share reserve.</w:t>
      </w:r>
    </w:p>
    <w:p>
      <w:pPr>
        <w:spacing w:after="0" w:line="182"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The share reserve will be reduced by one share for each share subject to an award. If a share that was subject to an award is returned to the share reserve, the share reserve will be credited with one share.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Eligibility</w:t>
      </w:r>
    </w:p>
    <w:p>
      <w:pPr>
        <w:spacing w:after="0" w:line="108"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Any employee, officer, non-employee director or any natural person who is a consultant or other personal service provider to Definitive or any of its subsidiaries or affiliates can participate in the 2021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Administration</w:t>
      </w:r>
    </w:p>
    <w:p>
      <w:pPr>
        <w:spacing w:after="0" w:line="108" w:lineRule="exact"/>
        <w:rPr>
          <w:sz w:val="20"/>
          <w:szCs w:val="20"/>
          <w:color w:val="auto"/>
        </w:rPr>
      </w:pPr>
    </w:p>
    <w:p>
      <w:pPr>
        <w:ind w:left="460" w:right="140" w:firstLine="413"/>
        <w:spacing w:after="0" w:line="288" w:lineRule="auto"/>
        <w:rPr>
          <w:sz w:val="20"/>
          <w:szCs w:val="20"/>
          <w:color w:val="auto"/>
        </w:rPr>
      </w:pPr>
      <w:r>
        <w:rPr>
          <w:rFonts w:ascii="Arial" w:cs="Arial" w:eastAsia="Arial" w:hAnsi="Arial"/>
          <w:sz w:val="15"/>
          <w:szCs w:val="15"/>
          <w:color w:val="auto"/>
        </w:rPr>
        <w:t>Pursuant to its terms, the 2021 Plan may be administered by the Compensation Committee of the Board, such other committee of the Board appointed by the Board to administer the 2021 Plan or the Board, as determined by the Board (such administrator of the 2021 Plan, the “Committee”). The Committee has the power and discretion necessary to administer the 2021 Plan, with such powers including, but not limited to, the authority to select persons to participate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Committee’s determinations, interpretations and actions under the 2021 Plan are binding on Definitive, the participants in the 2021 Plan and all other parties. It is anticipated that the 2021 Plan will be administered by our Compensation Committee, which solely consists of independent directors, as appointed by the Board from time to time. The Compensation Committee may delegate authority to one or more officers of Definitive to grant awards to eligible persons other than members of the Definitive Board or who are subject to Rule 16b-3 of the Exchange Act, as permitted under the 2021 Plan and under applicable law.</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Options</w:t>
      </w:r>
    </w:p>
    <w:p>
      <w:pPr>
        <w:spacing w:after="0" w:line="108" w:lineRule="exact"/>
        <w:rPr>
          <w:sz w:val="20"/>
          <w:szCs w:val="20"/>
          <w:color w:val="auto"/>
        </w:rPr>
      </w:pPr>
    </w:p>
    <w:p>
      <w:pPr>
        <w:jc w:val="both"/>
        <w:ind w:left="460" w:right="400" w:firstLine="413"/>
        <w:spacing w:after="0" w:line="260" w:lineRule="auto"/>
        <w:rPr>
          <w:sz w:val="20"/>
          <w:szCs w:val="20"/>
          <w:color w:val="auto"/>
        </w:rPr>
      </w:pPr>
      <w:r>
        <w:rPr>
          <w:rFonts w:ascii="Arial" w:cs="Arial" w:eastAsia="Arial" w:hAnsi="Arial"/>
          <w:sz w:val="17"/>
          <w:szCs w:val="17"/>
          <w:color w:val="auto"/>
        </w:rPr>
        <w:t>A stock option grant entitles a participant to purchase a specified number of shares of Class A common stock during a specified term (with a maximum term of ten years) at an exercise price that will not be less than the fair market value of a share as of the date of grant (unless otherwise determined by the Committee).</w:t>
      </w:r>
    </w:p>
    <w:p>
      <w:pPr>
        <w:spacing w:after="0" w:line="11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740"/>
          </w:cols>
          <w:pgMar w:left="320" w:top="440" w:right="8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The Committee will determine the requirements for vesting and exercisability of the stock options, which may be based on the continued employment or service of the participant with Definitive for a specified time period, upon the attainment of performance goals or both. The stock options may terminate prior to the end of the term or vesting date upon termination of employment or service (or for any other reason), as determined by the Committee. If the fair market value of a share of Class A common stock exceeds the exercise price on the last day the stock option may be exercised under an award agreement, the participant shall be deemed to have exercised the vested portion of such option in a net exercise and net share withholding for taxes, without taking further action. Unless approved by the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w:t>
      </w:r>
    </w:p>
    <w:p>
      <w:pPr>
        <w:spacing w:after="0" w:line="170" w:lineRule="exact"/>
        <w:rPr>
          <w:sz w:val="20"/>
          <w:szCs w:val="20"/>
          <w:color w:val="auto"/>
        </w:rPr>
      </w:pPr>
    </w:p>
    <w:p>
      <w:pPr>
        <w:ind w:left="460" w:right="260" w:firstLine="413"/>
        <w:spacing w:after="0" w:line="260" w:lineRule="auto"/>
        <w:rPr>
          <w:sz w:val="20"/>
          <w:szCs w:val="20"/>
          <w:color w:val="auto"/>
        </w:rPr>
      </w:pPr>
      <w:r>
        <w:rPr>
          <w:rFonts w:ascii="Arial" w:cs="Arial" w:eastAsia="Arial" w:hAnsi="Arial"/>
          <w:sz w:val="17"/>
          <w:szCs w:val="17"/>
          <w:color w:val="auto"/>
        </w:rPr>
        <w:t>Stock options granted under the 2021 Plan will be either non-qualified stock options or incentive stock options (with incentive stock options intended to meet the applicable requirements under the Internal Revenue Code of 1986, as amended (the “Code”)). Stock options are nontransferable except in limited circumstances.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08" w:lineRule="exact"/>
        <w:rPr>
          <w:sz w:val="20"/>
          <w:szCs w:val="20"/>
          <w:color w:val="auto"/>
        </w:rPr>
      </w:pPr>
    </w:p>
    <w:p>
      <w:pPr>
        <w:ind w:left="460" w:right="20" w:firstLine="413"/>
        <w:spacing w:after="0" w:line="291" w:lineRule="auto"/>
        <w:rPr>
          <w:sz w:val="20"/>
          <w:szCs w:val="20"/>
          <w:color w:val="auto"/>
        </w:rPr>
      </w:pPr>
      <w:r>
        <w:rPr>
          <w:rFonts w:ascii="Arial" w:cs="Arial" w:eastAsia="Arial" w:hAnsi="Arial"/>
          <w:sz w:val="15"/>
          <w:szCs w:val="15"/>
          <w:color w:val="auto"/>
        </w:rPr>
        <w:t>A SAR granted under the 2021 Plan gives the participant a right to receive, upon exercise or other payment of the SAR, an amount in cash, shares of Class A common stock or a combination of both equal to (i) the excess of (a) the fair market value of a share on the date of exercise less (b) the base price of the SAR that the Committee specified on the date of the grant multiplied by (ii) the number of shares as to which such SAR is exercised or paid. The base price of a SAR will not be less than the fair market value of a share as of the date of grant. The right of exercise in connection with a SAR may be made by the participant or automatically upon a specified date or event. If the fair market value of a share of Class A common stock exceeds the base price on the last day the SAR may be exercised under an award agreement, the participant shall be deemed to have exercised the vested portion of such SAR in a net exercise and net share withholding for taxes, without taking further action. SARs are nontransferable, except in limited circumstances.</w:t>
      </w:r>
    </w:p>
    <w:p>
      <w:pPr>
        <w:spacing w:after="0" w:line="157" w:lineRule="exact"/>
        <w:rPr>
          <w:sz w:val="20"/>
          <w:szCs w:val="20"/>
          <w:color w:val="auto"/>
        </w:rPr>
      </w:pPr>
    </w:p>
    <w:p>
      <w:pPr>
        <w:ind w:left="460" w:right="40" w:firstLine="413"/>
        <w:spacing w:after="0" w:line="293" w:lineRule="auto"/>
        <w:rPr>
          <w:sz w:val="20"/>
          <w:szCs w:val="20"/>
          <w:color w:val="auto"/>
        </w:rPr>
      </w:pPr>
      <w:r>
        <w:rPr>
          <w:rFonts w:ascii="Arial" w:cs="Arial" w:eastAsia="Arial" w:hAnsi="Arial"/>
          <w:sz w:val="15"/>
          <w:szCs w:val="15"/>
          <w:color w:val="auto"/>
        </w:rPr>
        <w:t>The Committees determine the requirements for vesting and exercisability of the SARs, which may be based on the continued employment or service of the participant with Definitive for a specified time period or upon the attainment of specific performance goals. The SARs may be terminated prior to the end of the term (with a maximum term of ten years) upon termination of employment or service, as determined by the Committee. Unless approved by Definitive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A restricted stock award is a grant of a specified number of shares of Class A common stock to a participant, which restrictions will lapse upon the terms that the Committee determines at the time of grant. The Committee will determine the requirements for the lapse of the restrictions for the restricted stock awards, which may be based on the continued employment or service of the participant with Definitive over a specified time period, upon the attainment of performance goals, or both.</w:t>
      </w:r>
    </w:p>
    <w:p>
      <w:pPr>
        <w:spacing w:after="0" w:line="179" w:lineRule="exact"/>
        <w:rPr>
          <w:sz w:val="20"/>
          <w:szCs w:val="20"/>
          <w:color w:val="auto"/>
        </w:rPr>
      </w:pPr>
    </w:p>
    <w:p>
      <w:pPr>
        <w:ind w:left="460" w:right="100" w:firstLine="413"/>
        <w:spacing w:after="0" w:line="301" w:lineRule="auto"/>
        <w:rPr>
          <w:sz w:val="20"/>
          <w:szCs w:val="20"/>
          <w:color w:val="auto"/>
        </w:rPr>
      </w:pPr>
      <w:r>
        <w:rPr>
          <w:rFonts w:ascii="Arial" w:cs="Arial" w:eastAsia="Arial" w:hAnsi="Arial"/>
          <w:sz w:val="15"/>
          <w:szCs w:val="15"/>
          <w:color w:val="auto"/>
        </w:rPr>
        <w:t>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780"/>
          </w:cols>
          <w:pgMar w:left="320" w:top="440" w:right="79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A restricted stock unit (“RSU”) granted under the 2021 Plan gives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w:t>
      </w:r>
    </w:p>
    <w:p>
      <w:pPr>
        <w:spacing w:after="0" w:line="181"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Committee determines the requirements for vesting and payment of the RSUs, which may be based on the continued employment or service of the participant with Definitive for a specified time period and also upon the attainment of specific performance goals. RSUs will be forfeited if the vesting requirements are not satisfied. RSUs are nontransferable, except in limited circumstances.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08" w:lineRule="exact"/>
        <w:rPr>
          <w:sz w:val="20"/>
          <w:szCs w:val="20"/>
          <w:color w:val="auto"/>
        </w:rPr>
      </w:pPr>
    </w:p>
    <w:p>
      <w:pPr>
        <w:ind w:left="460" w:right="20" w:firstLine="413"/>
        <w:spacing w:after="0" w:line="270" w:lineRule="auto"/>
        <w:rPr>
          <w:sz w:val="20"/>
          <w:szCs w:val="20"/>
          <w:color w:val="auto"/>
        </w:rPr>
      </w:pPr>
      <w:r>
        <w:rPr>
          <w:rFonts w:ascii="Arial" w:cs="Arial" w:eastAsia="Arial" w:hAnsi="Arial"/>
          <w:sz w:val="16"/>
          <w:szCs w:val="16"/>
          <w:color w:val="auto"/>
        </w:rPr>
        <w:t>Stock-based awards may be granted to eligible participants under the 2021 Plan and consist of an award of, or an award that is valued by reference to, shares of Class A common stock. A stock-based award may be granted for past employment or service, in lieu of bonus or other cash compensation, as director’s compensation or any other purpose as determined by the Committee, and shall be based upon or calculated by reference to the common stock. The Committee determines the requirements for the vesting and payment of the stock-based award, with the possibility that awards may be made with no vesting requirements. Upon receipt of the stock-based award that consists of shares of Class A common stock, the participant will not have any rights of a stockholder with respect to the shares of Class A common stock, including the right to vote and receive dividends, until such time as shares of Class A common stock (if any) are issued to the participant.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Plan Amendments or Termination; Term</w:t>
      </w:r>
    </w:p>
    <w:p>
      <w:pPr>
        <w:spacing w:after="0" w:line="108"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The Board may amend, modify, suspend or terminate the 2021 Plan; provided that if such amendment, modification, suspension or termination materially and adversely affects any award, Definitive must obtain the affected participant’s consent, subject to changes that are necessary to comply with applicable laws. Certain amendments or modifications of the 2021 Plan may also be subject to the approval of our stockholders as required by SEC and Nasdaq rules or applicable law.</w:t>
      </w:r>
    </w:p>
    <w:p>
      <w:pPr>
        <w:spacing w:after="0" w:line="179" w:lineRule="exact"/>
        <w:rPr>
          <w:sz w:val="20"/>
          <w:szCs w:val="20"/>
          <w:color w:val="auto"/>
        </w:rPr>
      </w:pPr>
    </w:p>
    <w:p>
      <w:pPr>
        <w:ind w:left="460" w:right="720" w:firstLine="413"/>
        <w:spacing w:after="0" w:line="340" w:lineRule="auto"/>
        <w:rPr>
          <w:sz w:val="20"/>
          <w:szCs w:val="20"/>
          <w:color w:val="auto"/>
        </w:rPr>
      </w:pPr>
      <w:r>
        <w:rPr>
          <w:rFonts w:ascii="Arial" w:cs="Arial" w:eastAsia="Arial" w:hAnsi="Arial"/>
          <w:sz w:val="15"/>
          <w:szCs w:val="15"/>
          <w:color w:val="auto"/>
        </w:rPr>
        <w:t>The 2021 Plan went into effect upon the effectiveness of our registration statement on Form S-1, filed August 20, 2021, as amended and supplemented, on September 14, 2021, and will expire on the tenth anniversary of the date the 2021 Plan became effective.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Termination of Service</w:t>
      </w:r>
    </w:p>
    <w:p>
      <w:pPr>
        <w:spacing w:after="0" w:line="108"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color w:val="auto"/>
        </w:rPr>
        <w:t>Awards under the 2021 Plan may be subject to reduction, cancellation or forfeiture upon termination of service or failure to meet applicable performance conditions or other vesting terms.</w:t>
      </w:r>
    </w:p>
    <w:p>
      <w:pPr>
        <w:spacing w:after="0" w:line="165"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Under the 2021 Plan, unless an award agreement provides otherwise, if a participant’s employment or service is terminated for cause, or if after termination the Committee determines that the participant engaged in an act that falls within the definition of cause, or if after termination the participant engages in conduct that violates any continuing obligation of the participant with respect to Definitive, Definitive may cancel, forfeit and/ or recoup any or all of that participant’s outstanding awards. In addition, if the Committee makes the determination above, Definitive may suspend the participant’s right to exercise any stock option or SAR, receive any payment or vest in any award pending a determination of whether the act falls within the definition of cause (as defined in the 2021 Plan). If a participant voluntarily terminates employment or service in anticipation of an involuntary termination for cause, that shall be deemed a termination for cause.</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780"/>
          </w:cols>
          <w:pgMar w:left="320" w:top="440" w:right="79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Right of Recapture</w:t>
      </w:r>
    </w:p>
    <w:p>
      <w:pPr>
        <w:spacing w:after="0" w:line="108"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6"/>
          <w:szCs w:val="16"/>
          <w:color w:val="auto"/>
        </w:rPr>
        <w:t>Awards granted under the 2021 Plan may be subject to recoupment in accordance with Section 954 of the Dodd-Frank Wall Street Reform and Consumer Protection Act (regarding recoupment of erroneously awarded compensation). Definitive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materially violated any continuing obligation of the participant with respect to Definitive or (c) the Committee determines the participant is subject to recoupment due to a clawback policy.</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Change in Control</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Under the 2021 Plan, in the event of a change in control of Definitive, as defined in the 2021 Plan, all outstanding awards shall either be</w:t>
      </w:r>
    </w:p>
    <w:p>
      <w:pPr>
        <w:spacing w:after="0" w:line="30" w:lineRule="exact"/>
        <w:rPr>
          <w:sz w:val="20"/>
          <w:szCs w:val="20"/>
          <w:color w:val="auto"/>
        </w:rPr>
      </w:pPr>
    </w:p>
    <w:p>
      <w:pPr>
        <w:ind w:left="460" w:right="20" w:hanging="3"/>
        <w:spacing w:after="0" w:line="250" w:lineRule="auto"/>
        <w:tabs>
          <w:tab w:leader="none" w:pos="69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186" w:lineRule="exact"/>
        <w:rPr>
          <w:sz w:val="20"/>
          <w:szCs w:val="20"/>
          <w:color w:val="auto"/>
        </w:rPr>
      </w:pPr>
    </w:p>
    <w:p>
      <w:pPr>
        <w:ind w:left="460" w:right="80" w:firstLine="413"/>
        <w:spacing w:after="0" w:line="252" w:lineRule="auto"/>
        <w:rPr>
          <w:sz w:val="20"/>
          <w:szCs w:val="20"/>
          <w:color w:val="auto"/>
        </w:rPr>
      </w:pPr>
      <w:r>
        <w:rPr>
          <w:rFonts w:ascii="Arial" w:cs="Arial" w:eastAsia="Arial" w:hAnsi="Arial"/>
          <w:sz w:val="17"/>
          <w:szCs w:val="17"/>
          <w:color w:val="auto"/>
        </w:rPr>
        <w:t>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other property or any combination of such consideration), less any applicable exercise or base price.</w:t>
      </w:r>
    </w:p>
    <w:p>
      <w:pPr>
        <w:spacing w:after="0" w:line="184"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Notwithstanding the foregoing, if a participant’s employment or service is terminated upon or within 24 months following a change in control by Definitive without cause or upon such other circumstances as determined by the Committee, the unvested portion (if any) of all outstanding awards held by the participant will immediately vest (and, to the extent applicable, become exercisable) and be paid in full upon such termination, with any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Assumption of Awards in Connection with an Acquisition</w:t>
      </w:r>
    </w:p>
    <w:p>
      <w:pPr>
        <w:spacing w:after="0" w:line="108"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2021 Plan if the Committee deems it necessary. The assumed awards will not reduce the total number of shares available for awards under the 2021 Plan.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Adjustments</w:t>
      </w:r>
    </w:p>
    <w:p>
      <w:pPr>
        <w:spacing w:after="0" w:line="108"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w:t>
      </w:r>
    </w:p>
    <w:p>
      <w:pPr>
        <w:spacing w:after="0" w:line="11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740"/>
          </w:cols>
          <w:pgMar w:left="320" w:top="440" w:right="8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hanging="3"/>
        <w:spacing w:after="0" w:line="303" w:lineRule="auto"/>
        <w:tabs>
          <w:tab w:leader="none" w:pos="6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number and kind of shares or other securities available for awards and covered by outstanding awards, (ii) the exercise, base or purchase price or other value determinations of outstanding awards, and/or (iii) any other terms of an award affected by the corporate event.</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Award Limits</w:t>
      </w:r>
    </w:p>
    <w:p>
      <w:pPr>
        <w:spacing w:after="0" w:line="108"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A non-employee director may not be granted during a calendar year awards that have a fair value that, when added to all other cash compensation received in respect of service as a member of the Board that year, exceeds (i) $1,000,000 in the year that the director is first elected to serve as a director on the Board; and (ii) $500,000 in each subsequent year.</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U.S. Federal Tax Consequences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Incentive Stock Options</w:t>
      </w:r>
    </w:p>
    <w:p>
      <w:pPr>
        <w:spacing w:after="0" w:line="108"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Definitive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Definitive for federal income tax purposes, except to the extent such deduction is limited by applicable provisions of the Code.</w:t>
      </w:r>
    </w:p>
    <w:p>
      <w:pPr>
        <w:spacing w:after="0" w:line="159" w:lineRule="exact"/>
        <w:rPr>
          <w:sz w:val="20"/>
          <w:szCs w:val="20"/>
          <w:color w:val="auto"/>
        </w:rPr>
      </w:pPr>
    </w:p>
    <w:p>
      <w:pPr>
        <w:ind w:left="460" w:right="120" w:firstLine="413"/>
        <w:spacing w:after="0" w:line="254" w:lineRule="auto"/>
        <w:rPr>
          <w:sz w:val="20"/>
          <w:szCs w:val="20"/>
          <w:color w:val="auto"/>
        </w:rPr>
      </w:pPr>
      <w:r>
        <w:rPr>
          <w:rFonts w:ascii="Arial" w:cs="Arial" w:eastAsia="Arial" w:hAnsi="Arial"/>
          <w:sz w:val="17"/>
          <w:szCs w:val="17"/>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Nonqualified Stock Options</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Options not designated or qualifying as incentive stock options will be nonqualified stock options having no special tax status. An optionee generally recognizes no taxable income as the result of the grant of such an option. Upon exercise of a nonqualified stock option, the optionee normally recognizes ordinary income equal to the amount by which the fair market value of the shares on such date exceeds the exercise price. If the optionee is an employee, such ordinary income generally is subject to withholding of income and employment taxes. Upon the sale of shares acquired by the exercise of a nonqualified stock option, any gain or loss, based on the difference between the sale price and the fair market value on the exercise date, will be taxed as capital gain or loss.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08"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In general, no taxable income is reportable when SARs are granted to a participant. Upon exercise, the participant will recognize ordinary income in an amount equal to the fair market value of any cash or shares</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740"/>
          </w:cols>
          <w:pgMar w:left="320" w:top="440" w:right="83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color w:val="auto"/>
        </w:rPr>
        <w:t>received. If the participant is an employee, such ordinary income generally is subject to withholding of income and employment taxes. Any additional gain or loss recognized upon any later disposition of the shares would be capital gain or loss.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08"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w:t>
      </w:r>
    </w:p>
    <w:p>
      <w:pPr>
        <w:spacing w:after="0" w:line="179"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08"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There are no immediate tax consequences of receiving an award of RSUs. A participant who is awarded RSUs will be required to recognize ordinary income in an amount equal to the fair market value of shares issued to such participant at the end of the applicable vesting period or, if later, the settlement date elected by the Committee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The tax consequences associated with any other stock-based award of unrestricted shares or an award that is valued by reference to shares granted under the 2021 Plan will vary depending on the specific terms of the award. A participant acquiring unrestricted shares generally will recognize ordinary income equal to the fair market value of the shares on the grant date. The factors that will determine the timing and character of the income include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Section 409A</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Section 409A provides certain requirements for non-qualified deferred compensation arrangements with respect to an individual’s deferral and distribution elections and permissible distribution events. Certain types of awards granted under the 2021 Plan may be subject to the requirements of Section 409A. It is intended that the .2021 Plan and all awards comply with, or be exempt from,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Tax Effect for Definitive</w:t>
      </w:r>
    </w:p>
    <w:p>
      <w:pPr>
        <w:spacing w:after="0" w:line="108"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Definitive generally is entitled to a tax deduction in connection with an award under the 2021 Plan in an amount equal to the ordinary income realized by a participant and at the time the participant recognizes such</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780"/>
          </w:cols>
          <w:pgMar w:left="320" w:top="440" w:right="79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spacing w:after="0" w:line="272" w:lineRule="auto"/>
        <w:rPr>
          <w:sz w:val="20"/>
          <w:szCs w:val="20"/>
          <w:color w:val="auto"/>
        </w:rPr>
      </w:pPr>
      <w:r>
        <w:rPr>
          <w:rFonts w:ascii="Arial" w:cs="Arial" w:eastAsia="Arial" w:hAnsi="Arial"/>
          <w:sz w:val="16"/>
          <w:szCs w:val="16"/>
          <w:color w:val="auto"/>
        </w:rPr>
        <w:t>income (for example, the exercise of a nonqualified stock option). Special rules limit the deductibility of compensation paid to our chief executive officer, chief financial officer and the other “covered employees” as determined under Section 162(m) and applicable guidance. Under Section 162(m), the annual compensation paid to any of these covered employees, including awards that Definitive grants pursuant to the 2021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2021 Plan may not be deductible by Definitive, to the extent that the annual deduction limitation is exceeded.</w:t>
      </w:r>
    </w:p>
    <w:p>
      <w:pPr>
        <w:spacing w:after="0" w:line="167"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2021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2021 Plan Grants</w:t>
      </w:r>
    </w:p>
    <w:p>
      <w:pPr>
        <w:spacing w:after="0" w:line="112" w:lineRule="exact"/>
        <w:rPr>
          <w:sz w:val="20"/>
          <w:szCs w:val="20"/>
          <w:color w:val="auto"/>
        </w:rPr>
      </w:pPr>
    </w:p>
    <w:p>
      <w:pPr>
        <w:ind w:left="460" w:right="220" w:firstLine="413"/>
        <w:spacing w:after="0" w:line="311" w:lineRule="auto"/>
        <w:rPr>
          <w:sz w:val="20"/>
          <w:szCs w:val="20"/>
          <w:color w:val="auto"/>
        </w:rPr>
      </w:pPr>
      <w:r>
        <w:rPr>
          <w:rFonts w:ascii="Arial" w:cs="Arial" w:eastAsia="Arial" w:hAnsi="Arial"/>
          <w:sz w:val="15"/>
          <w:szCs w:val="15"/>
          <w:color w:val="auto"/>
        </w:rPr>
        <w:t>We granted equity awards to approximately 560 employees. These grants are expected to have an estimated fair value at grant of $22.0 million. These awards will be restricted stock units that vest over four years, with 25% vesting on the first anniversary of grant, and the remainder vesting quarterly, subject to continued employment or other service. The related expense will be recognized ratably over the four year vesting period.</w:t>
      </w:r>
    </w:p>
    <w:p>
      <w:pPr>
        <w:spacing w:after="0" w:line="140"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In addition, we granted equity awards to 10 members of the executive leadership team, including our executive officers. These awards will be in the form of restricted stock units, 75% of which will vest based on the performance of employment or other service and 25% will vest based on achievement of performance metric(s) and continued employment or other service. The former portion will vest over four years, with 25% vesting on the first anniversary of grant, and the remainder vesting quarterly. The latter portion will be tied to a 2022 business metric(s). To the extent the performance criteria is achieved, the restricted stock units will vest ratably on each of January 1, 2023, January 1, 2024 and January 1, 2025. We recently granted equity awards to our new President in the form of restricted stock units that vest over time. His first award vests over four years with 25% vesting on the first anniversary of grant and the remainder vesting quarterly. The second award vests over three years with 33% vesting on the first anniversary of grant, and the remainder vesting quarterly. The estimated fair value of these awards at grant is $17.5 million. The related expense will be recognized at the time of vesting.</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Definitive Healthcare Corp. 2021 Employee Stock Purchase Plan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Summary</w:t>
      </w:r>
    </w:p>
    <w:p>
      <w:pPr>
        <w:spacing w:after="0" w:line="112" w:lineRule="exact"/>
        <w:rPr>
          <w:sz w:val="20"/>
          <w:szCs w:val="20"/>
          <w:color w:val="auto"/>
        </w:rPr>
      </w:pPr>
    </w:p>
    <w:p>
      <w:pPr>
        <w:ind w:left="460" w:right="140" w:firstLine="413"/>
        <w:spacing w:after="0" w:line="303" w:lineRule="auto"/>
        <w:rPr>
          <w:sz w:val="20"/>
          <w:szCs w:val="20"/>
          <w:color w:val="auto"/>
        </w:rPr>
      </w:pPr>
      <w:r>
        <w:rPr>
          <w:rFonts w:ascii="Arial" w:cs="Arial" w:eastAsia="Arial" w:hAnsi="Arial"/>
          <w:sz w:val="16"/>
          <w:szCs w:val="16"/>
          <w:color w:val="auto"/>
        </w:rPr>
        <w:t>In connection our IPO, we adopted the Definitive Healthcare Corp. 2021 Employee Stock Purchase Plan (the “ESPP”). The principal features of the ESPP are summarized below. This summary does not purport to be a complete statement of the terms of the ESPP.</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Purpose</w:t>
      </w:r>
    </w:p>
    <w:p>
      <w:pPr>
        <w:spacing w:after="0" w:line="108" w:lineRule="exact"/>
        <w:rPr>
          <w:sz w:val="20"/>
          <w:szCs w:val="20"/>
          <w:color w:val="auto"/>
        </w:rPr>
      </w:pPr>
    </w:p>
    <w:p>
      <w:pPr>
        <w:ind w:left="460" w:right="120" w:firstLine="413"/>
        <w:spacing w:after="0" w:line="254" w:lineRule="auto"/>
        <w:rPr>
          <w:sz w:val="20"/>
          <w:szCs w:val="20"/>
          <w:color w:val="auto"/>
        </w:rPr>
      </w:pPr>
      <w:r>
        <w:rPr>
          <w:rFonts w:ascii="Arial" w:cs="Arial" w:eastAsia="Arial" w:hAnsi="Arial"/>
          <w:sz w:val="17"/>
          <w:szCs w:val="17"/>
          <w:color w:val="auto"/>
        </w:rPr>
        <w:t>The ESPP provides a means by which eligible employees and/or eligible service providers of either Definitive or an affiliate may be given an opportunity to purchase shares of common stock. The ESPP permits us to grant a series of purchase rights to eligible employees and/or eligible service providers. By means of the ESPP, we seek to retain and assist our affiliates in retaining the services of such eligible employees and eligible service providers, to secure and retain the services of new eligible employees and eligible service providers and to provide incentives for such persons to exert maximum efforts for our success and that of our affiliates.</w:t>
      </w:r>
    </w:p>
    <w:p>
      <w:pPr>
        <w:spacing w:after="0" w:line="181"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The ESPP includes two components: a “423 Component” and a “Non-423 Component.” We intend the 423 Component to qualify as an employee stock purchase plan pursuant to Section 423 of the Code. The provisions of</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760"/>
          </w:cols>
          <w:pgMar w:left="320" w:top="440" w:right="81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72" w:lineRule="auto"/>
        <w:rPr>
          <w:sz w:val="20"/>
          <w:szCs w:val="20"/>
          <w:color w:val="auto"/>
        </w:rPr>
      </w:pPr>
      <w:r>
        <w:rPr>
          <w:rFonts w:ascii="Arial" w:cs="Arial" w:eastAsia="Arial" w:hAnsi="Arial"/>
          <w:sz w:val="16"/>
          <w:szCs w:val="16"/>
          <w:color w:val="auto"/>
        </w:rPr>
        <w:t>the 423 Component are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Board, the Non-423 Component operates and is administered in the same manner as the 423 Component. Eligible employees are able to participate in the 423 Component or Non-423 Component of the ESPP. Eligible service providers (who may or may not be eligible employees) are only able to participate in the Non-423 Component of the ESPP.</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Administration</w:t>
      </w:r>
    </w:p>
    <w:p>
      <w:pPr>
        <w:spacing w:after="0" w:line="108"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The Board administers the ESPP and has the final power to construe and interpret both the ESPP and the rights granted under it. Further, the Board has the power, subject to the provisions of the ESPP, to determine when and how rights to purchase common stock will be granted, the provisions of each offering of such rights (which need not be identical), and whether any employee or other service provider will be eligible to participate in the ESPP.</w:t>
      </w:r>
    </w:p>
    <w:p>
      <w:pPr>
        <w:spacing w:after="0" w:line="179" w:lineRule="exact"/>
        <w:rPr>
          <w:sz w:val="20"/>
          <w:szCs w:val="20"/>
          <w:color w:val="auto"/>
        </w:rPr>
      </w:pPr>
    </w:p>
    <w:p>
      <w:pPr>
        <w:ind w:left="460" w:right="120" w:firstLine="413"/>
        <w:spacing w:after="0" w:line="256" w:lineRule="auto"/>
        <w:rPr>
          <w:sz w:val="20"/>
          <w:szCs w:val="20"/>
          <w:color w:val="auto"/>
        </w:rPr>
      </w:pPr>
      <w:r>
        <w:rPr>
          <w:rFonts w:ascii="Arial" w:cs="Arial" w:eastAsia="Arial" w:hAnsi="Arial"/>
          <w:sz w:val="17"/>
          <w:szCs w:val="17"/>
          <w:color w:val="auto"/>
        </w:rPr>
        <w:t>The Board has the power to delegate administration of the ESPP to a committee composed of one or more members of the Board. As used herein with respect to the ESPP, the term “Board” refers to any committee the Board appoints, and to the Board. Whether or not the Board has delegated administration of the ESPP to a committee, the Board has the final power to determine all questions of policy and expediency that may arise in the administration of the ESPP.</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 Subject to the ESPP</w:t>
      </w:r>
    </w:p>
    <w:p>
      <w:pPr>
        <w:spacing w:after="0" w:line="108" w:lineRule="exact"/>
        <w:rPr>
          <w:sz w:val="20"/>
          <w:szCs w:val="20"/>
          <w:color w:val="auto"/>
        </w:rPr>
      </w:pPr>
    </w:p>
    <w:p>
      <w:pPr>
        <w:ind w:left="460" w:right="260" w:firstLine="413"/>
        <w:spacing w:after="0" w:line="286" w:lineRule="auto"/>
        <w:rPr>
          <w:sz w:val="20"/>
          <w:szCs w:val="20"/>
          <w:color w:val="auto"/>
        </w:rPr>
      </w:pPr>
      <w:r>
        <w:rPr>
          <w:rFonts w:ascii="Arial" w:cs="Arial" w:eastAsia="Arial" w:hAnsi="Arial"/>
          <w:sz w:val="15"/>
          <w:szCs w:val="15"/>
          <w:color w:val="auto"/>
        </w:rPr>
        <w:t>Subject to adjustments as provided in the ESPP, the maximum number of shares of common stock that may be issued under the ESPP will not exceed 1,498,173 shares of common stock. On the first day of each fiscal year, commencing on January 1, 2023 and ending on (and including) January 1, 2032, the share reserve will automatically increase by a number equal to the least of (i) 1% of the total number of shares of common stock actually issued and outstanding on the last day of the preceding fiscal year, (ii) a number of shares of common stock determined by the Board; and</w:t>
      </w:r>
    </w:p>
    <w:p>
      <w:pPr>
        <w:ind w:left="460" w:right="20" w:hanging="3"/>
        <w:spacing w:after="0" w:line="251" w:lineRule="auto"/>
        <w:tabs>
          <w:tab w:leader="none" w:pos="7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1,498,173 shares of common stock. If any purchase right granted under the ESPP terminates without having been exercised in full, the shares of common stock not purchased under such purchase right will again become available for issuance under the ESPP. The ESPP will be effective on the day immediately prior to the date on which the Registration Statement is declared effective by the SEC under the Securities Act until the 10 year anniversary following the date the ESPP became effective.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Offerings</w:t>
      </w:r>
    </w:p>
    <w:p>
      <w:pPr>
        <w:spacing w:after="0" w:line="108"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The ESPP is implemented by offerings of rights to all eligible employees and eligible service providers from time to time. Offerings may comprise one or more purchase periods. The maximum length for an offering under the ESPP is 27 months. The provisions of separate offerings need not be identical. When a participant elects to join an offering, he or she is granted a purchase right to acquire shares of common stock on each purchase date within the offering, each corresponding to the end of a purchase period within such offering. On each purchase date, all payroll deductions collected from the participant during such purchase period are automatically applied to the purchase of common stock, subject to certain limitations.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Eligibility</w:t>
      </w:r>
    </w:p>
    <w:p>
      <w:pPr>
        <w:spacing w:after="0" w:line="108" w:lineRule="exact"/>
        <w:rPr>
          <w:sz w:val="20"/>
          <w:szCs w:val="20"/>
          <w:color w:val="auto"/>
        </w:rPr>
      </w:pPr>
    </w:p>
    <w:p>
      <w:pPr>
        <w:ind w:left="460" w:right="80" w:firstLine="413"/>
        <w:spacing w:after="0" w:line="311" w:lineRule="auto"/>
        <w:rPr>
          <w:sz w:val="20"/>
          <w:szCs w:val="20"/>
          <w:color w:val="auto"/>
        </w:rPr>
      </w:pPr>
      <w:r>
        <w:rPr>
          <w:rFonts w:ascii="Arial" w:cs="Arial" w:eastAsia="Arial" w:hAnsi="Arial"/>
          <w:sz w:val="15"/>
          <w:szCs w:val="15"/>
          <w:color w:val="auto"/>
        </w:rPr>
        <w:t>Purchase rights may be granted only to our employees, employees of qualifying related corporations or, solely with respect to the Non-423 Component, employees of an affiliate (other than a qualifying related corporation) or eligible service providers. The Board may provide that employees will not be eligible to be granted purchase rights under the ESPP if, on the offering date, the employee (i) has not completed at least two</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780"/>
          </w:cols>
          <w:pgMar w:left="320" w:top="440" w:right="79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color w:val="auto"/>
        </w:rPr>
        <w:t>years of service since the employee’s last hire date (or such lesser period as the Board may determine), (ii) customarily works not more than 20 hours per week (or such lesser period as the Board may determine), (iii) customarily works not more than five months per calendar year (or such lesser period as the Board may determine), (iv) is an officer within the meaning of Section 16 of the Exchange Act, (v) is a highly compensated employee within the meaning of the Code, or (vi) has not satisfied such other criteria as the Board may determine consistent with Section 423 of the Code. Unless otherwise determined by the Board for any offering, an employee will not be eligible to be granted purchase rights unless, on the offering date, the employee customarily works more than 20 hours per week and more than five months per calendar year, and has been employed by us or a related corporation or affiliate for at least three continuous months preceding such offering date.</w:t>
      </w:r>
    </w:p>
    <w:p>
      <w:pPr>
        <w:spacing w:after="0" w:line="172" w:lineRule="exact"/>
        <w:rPr>
          <w:sz w:val="20"/>
          <w:szCs w:val="20"/>
          <w:color w:val="auto"/>
        </w:rPr>
      </w:pPr>
    </w:p>
    <w:p>
      <w:pPr>
        <w:ind w:left="460" w:right="80" w:firstLine="413"/>
        <w:spacing w:after="0" w:line="277" w:lineRule="auto"/>
        <w:rPr>
          <w:sz w:val="20"/>
          <w:szCs w:val="20"/>
          <w:color w:val="auto"/>
        </w:rPr>
      </w:pPr>
      <w:r>
        <w:rPr>
          <w:rFonts w:ascii="Arial" w:cs="Arial" w:eastAsia="Arial" w:hAnsi="Arial"/>
          <w:sz w:val="16"/>
          <w:szCs w:val="16"/>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 do not permit such eligible employee’s rights to purchase stock in excess of $25,000 worth of stock in any calendar year.</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Participation in the ESPP</w:t>
      </w:r>
    </w:p>
    <w:p>
      <w:pPr>
        <w:spacing w:after="0" w:line="108"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On each offering date, each eligible employee or eligible service provider, pursuant to an offering made under the ESPP, will be granted a purchase right to purchase up to that number of shares of common stock purchasable either with a percentage or with a maximum dollar amount, as designated by the Board; provided however, that in the case of eligible employees, such percentage or maximum dollar amount will in either case not exceed 15% of such employee’s earnings during the period that begins on the offering date (or such later date as the Board determines for a particular offering) and ends on the date stated in the offering, which date will be no later than the end of the offering, unless otherwise provided for in an offering.</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Purchase Price</w:t>
      </w:r>
    </w:p>
    <w:p>
      <w:pPr>
        <w:spacing w:after="0" w:line="108"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The purchase price of shares of common stock acquired pursuant to purchase rights will be not less than the lesser of (i) 85% of the fair market value of the shares of common stock on the offering date; or (ii) 85% of the fair market value of the shares of common stock on the applicable purchase date (i.e., the last day of the applicable purchase period).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Payment of Purchase Price; Payroll Deductions</w:t>
      </w:r>
    </w:p>
    <w:p>
      <w:pPr>
        <w:spacing w:after="0" w:line="108"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6"/>
          <w:szCs w:val="16"/>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No interest will accrue on such payroll deductions.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Purchase of Stock</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In connection with each offering, the Board may specify a maximum number of shares of common stock that may be purchased by any participant or all participants. If the aggregate purchase of shares of common stock</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760"/>
          </w:cols>
          <w:pgMar w:left="320" w:top="440" w:right="81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color w:val="auto"/>
        </w:rPr>
        <w:t>issuable 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Withdrawal</w:t>
      </w:r>
    </w:p>
    <w:p>
      <w:pPr>
        <w:spacing w:after="0" w:line="108" w:lineRule="exact"/>
        <w:rPr>
          <w:sz w:val="20"/>
          <w:szCs w:val="20"/>
          <w:color w:val="auto"/>
        </w:rPr>
      </w:pPr>
    </w:p>
    <w:p>
      <w:pPr>
        <w:ind w:left="460" w:right="280" w:firstLine="413"/>
        <w:spacing w:after="0" w:line="253" w:lineRule="auto"/>
        <w:rPr>
          <w:sz w:val="20"/>
          <w:szCs w:val="20"/>
          <w:color w:val="auto"/>
        </w:rPr>
      </w:pPr>
      <w:r>
        <w:rPr>
          <w:rFonts w:ascii="Arial" w:cs="Arial" w:eastAsia="Arial" w:hAnsi="Arial"/>
          <w:sz w:val="17"/>
          <w:szCs w:val="17"/>
          <w:color w:val="auto"/>
        </w:rPr>
        <w:t>During an offering, a participant may cease making contributions and withdraw from the offering by delivering a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Termination of Employment</w:t>
      </w:r>
    </w:p>
    <w:p>
      <w:pPr>
        <w:spacing w:after="0" w:line="108"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shall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Restrictions on Transfer</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Exercise of Purchase Rights</w:t>
      </w:r>
    </w:p>
    <w:p>
      <w:pPr>
        <w:spacing w:after="0" w:line="108" w:lineRule="exact"/>
        <w:rPr>
          <w:sz w:val="20"/>
          <w:szCs w:val="20"/>
          <w:color w:val="auto"/>
        </w:rPr>
      </w:pPr>
    </w:p>
    <w:p>
      <w:pPr>
        <w:ind w:left="460" w:right="140" w:firstLine="413"/>
        <w:spacing w:after="0" w:line="301" w:lineRule="auto"/>
        <w:rPr>
          <w:sz w:val="20"/>
          <w:szCs w:val="20"/>
          <w:color w:val="auto"/>
        </w:rPr>
      </w:pPr>
      <w:r>
        <w:rPr>
          <w:rFonts w:ascii="Arial" w:cs="Arial" w:eastAsia="Arial" w:hAnsi="Arial"/>
          <w:sz w:val="15"/>
          <w:szCs w:val="15"/>
          <w:color w:val="auto"/>
        </w:rPr>
        <w:t>On each purchase date, each participant’s accumulated contributions will be applied to the purchase of shares of common stock, up to the maximum number of shares of common stock permitted by the ESPP and the applicable offering, at the purchase price specified in the offering. Unless otherwise specified in the ESPP, no fractional shares will be issued and, if any amount of accumulated contributions remains in a participant’s account after the purchase of shares of common stock on the final purchase date in an offering, such remaining amount will roll over to the next offering.</w:t>
      </w:r>
    </w:p>
    <w:p>
      <w:pPr>
        <w:spacing w:after="0" w:line="148" w:lineRule="exact"/>
        <w:rPr>
          <w:sz w:val="20"/>
          <w:szCs w:val="20"/>
          <w:color w:val="auto"/>
        </w:rPr>
      </w:pPr>
    </w:p>
    <w:p>
      <w:pPr>
        <w:ind w:left="460" w:right="60" w:firstLine="413"/>
        <w:spacing w:after="0" w:line="253" w:lineRule="auto"/>
        <w:rPr>
          <w:sz w:val="20"/>
          <w:szCs w:val="20"/>
          <w:color w:val="auto"/>
        </w:rPr>
      </w:pPr>
      <w:r>
        <w:rPr>
          <w:rFonts w:ascii="Arial" w:cs="Arial" w:eastAsia="Arial" w:hAnsi="Arial"/>
          <w:sz w:val="17"/>
          <w:szCs w:val="17"/>
          <w:color w:val="auto"/>
        </w:rPr>
        <w:t>No purchase rights may be exercised to any extent unless and until the shares of common stock to be issued 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the purchase date, as delayed to the maximum extent permissible, the shares of common stock are not registered and the ESPP is not in material compliance with all applicable laws or regulations, no purchase rights will be exercised and all accumulated but unused contributions will be distributed as soon as practicable to the participants without interest.</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Capitalization Adjustments</w:t>
      </w:r>
    </w:p>
    <w:p>
      <w:pPr>
        <w:spacing w:after="0" w:line="108" w:lineRule="exact"/>
        <w:rPr>
          <w:sz w:val="20"/>
          <w:szCs w:val="20"/>
          <w:color w:val="auto"/>
        </w:rPr>
      </w:pPr>
    </w:p>
    <w:p>
      <w:pPr>
        <w:jc w:val="both"/>
        <w:ind w:left="460" w:right="460" w:firstLine="413"/>
        <w:spacing w:after="0" w:line="260" w:lineRule="auto"/>
        <w:rPr>
          <w:sz w:val="20"/>
          <w:szCs w:val="20"/>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ESPP, (ii) the classes and maximum number of securities by which the share reserve is to increase automatically each year pursuant to the ESPP, (iii) the classes</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800"/>
          </w:cols>
          <w:pgMar w:left="320" w:top="440" w:right="77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color w:val="auto"/>
        </w:rPr>
        <w:t>and number of securities subject to, and the purchase price applicable to outstanding offerings and purchase rights, and (iv) the classes and number of securities that are the subject of the purchase limits under each ongoing offering.</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Dissolution or Liquidation</w:t>
      </w:r>
    </w:p>
    <w:p>
      <w:pPr>
        <w:spacing w:after="0" w:line="108"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In the event of Definitive’s dissolution or liquidation, the Board will shorten any offering then in progress by setting a new purchase date prior to the consummation of such proposed dissolution or liquidation.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Effect of a Change in Control:</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Upon any of the following events (each a Change in Control under the ESPP):</w:t>
      </w:r>
    </w:p>
    <w:p>
      <w:pPr>
        <w:spacing w:after="0" w:line="121" w:lineRule="exact"/>
        <w:rPr>
          <w:sz w:val="20"/>
          <w:szCs w:val="20"/>
          <w:color w:val="auto"/>
        </w:rPr>
      </w:pPr>
    </w:p>
    <w:p>
      <w:pPr>
        <w:ind w:left="1360" w:right="40" w:hanging="396"/>
        <w:spacing w:after="0" w:line="284" w:lineRule="auto"/>
        <w:tabs>
          <w:tab w:leader="none" w:pos="13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any person (other than Definitive, any trustee or other fiduciary holding securities under any employee benefit plan of Definitive, or any company owned, directly or indirectly by stockholders of Definitive in substantially the same proportions as their shares of common stock) becomes the beneficial owner, directly or indirectly, of at least 50% of our then outstanding capital stock;</w:t>
      </w:r>
    </w:p>
    <w:p>
      <w:pPr>
        <w:spacing w:after="0" w:line="68" w:lineRule="exact"/>
        <w:rPr>
          <w:rFonts w:ascii="Arial" w:cs="Arial" w:eastAsia="Arial" w:hAnsi="Arial"/>
          <w:sz w:val="16"/>
          <w:szCs w:val="16"/>
          <w:color w:val="auto"/>
        </w:rPr>
      </w:pPr>
    </w:p>
    <w:p>
      <w:pPr>
        <w:ind w:left="1360" w:right="180" w:hanging="396"/>
        <w:spacing w:after="0" w:line="272" w:lineRule="auto"/>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cease for any reason to constitute at least a majority of the Board;</w:t>
      </w:r>
    </w:p>
    <w:p>
      <w:pPr>
        <w:spacing w:after="0" w:line="76" w:lineRule="exact"/>
        <w:rPr>
          <w:rFonts w:ascii="Arial" w:cs="Arial" w:eastAsia="Arial" w:hAnsi="Arial"/>
          <w:sz w:val="17"/>
          <w:szCs w:val="17"/>
          <w:color w:val="auto"/>
        </w:rPr>
      </w:pPr>
    </w:p>
    <w:p>
      <w:pPr>
        <w:ind w:left="1360" w:right="60" w:hanging="396"/>
        <w:spacing w:after="0" w:line="272" w:lineRule="auto"/>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 amalgamation, merger, or consolidation of Definitive with any other company or corporation or a scheme of arrangement involving any other company or corporation; or</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sale or disposition of all or substantially all of Definitive’s assets;</w:t>
      </w:r>
    </w:p>
    <w:p>
      <w:pPr>
        <w:spacing w:after="0" w:line="210"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any surviving corporation or acquiring corporation (or the surviving or acquiring corporation’s parent company) may assume or continue outstanding purchase rights or may substitute similar rights for outstanding purchase rights, or, if any surviving or acquiring corporation (or its parent company) does not assume or continue such purchase rights or does not substitute similar rights for such purchase rights, then the participants’ accumulated contributions will be used to purchase shares of common stock prior to the Change in Control under the outstanding purchase rights, and the purchase rights will terminate immediately after such purchase.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Amendment, Termination or Suspension of the ESPP; Term</w:t>
      </w:r>
    </w:p>
    <w:p>
      <w:pPr>
        <w:spacing w:after="0" w:line="108" w:lineRule="exact"/>
        <w:rPr>
          <w:sz w:val="20"/>
          <w:szCs w:val="20"/>
          <w:color w:val="auto"/>
        </w:rPr>
      </w:pPr>
    </w:p>
    <w:p>
      <w:pPr>
        <w:ind w:left="460" w:right="320" w:firstLine="413"/>
        <w:spacing w:after="0" w:line="286" w:lineRule="auto"/>
        <w:rPr>
          <w:sz w:val="20"/>
          <w:szCs w:val="20"/>
          <w:color w:val="auto"/>
        </w:rPr>
      </w:pPr>
      <w:r>
        <w:rPr>
          <w:rFonts w:ascii="Arial" w:cs="Arial" w:eastAsia="Arial" w:hAnsi="Arial"/>
          <w:sz w:val="15"/>
          <w:szCs w:val="15"/>
          <w:color w:val="auto"/>
        </w:rPr>
        <w:t>The Board may amend the ESPP at any time in any respect the Board deems necessary or advisable. However, except with respect to capitalization adjustments described above, stockholder approval will be required for any amendment of the ESPP for which stockholder approval is required by applicable laws, regulations or listing requirements, including any amendment that either (i) increases the number of shares of common stock available for issuance under the ESPP, (ii) expands the class of individuals eligible to become participants and receive purchase rights,</w:t>
      </w:r>
    </w:p>
    <w:p>
      <w:pPr>
        <w:ind w:left="460" w:right="60" w:hanging="3"/>
        <w:spacing w:after="0" w:line="253" w:lineRule="auto"/>
        <w:tabs>
          <w:tab w:leader="none" w:pos="7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materially increases the benefits accruing to participants under the ESPP or reduces the price at which shares of common stock may be purchased under the ESPP, (iv) extends the term of the ESPP, or (v) expands the types of awards available for issuance under the ESPP, but in each case only to the extent stockholder approval is required by applicable laws, regulations, or listing requirements.</w:t>
      </w:r>
    </w:p>
    <w:p>
      <w:pPr>
        <w:spacing w:after="0" w:line="181"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The Board may suspend or terminate the ESPP at any time. No purchase rights may be granted under the ESPP while the ESPP is suspended or after it is terminated.</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800"/>
          </w:cols>
          <w:pgMar w:left="320" w:top="440" w:right="77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ESPP became effective on September 13, 2021, and will expire on the tenth anniversary of the date the ESPP became effective.</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U.S. Federal Income Tax Consequences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423 Component</w:t>
      </w:r>
    </w:p>
    <w:p>
      <w:pPr>
        <w:spacing w:after="0" w:line="108" w:lineRule="exact"/>
        <w:rPr>
          <w:sz w:val="20"/>
          <w:szCs w:val="20"/>
          <w:color w:val="auto"/>
        </w:rPr>
      </w:pPr>
    </w:p>
    <w:p>
      <w:pPr>
        <w:ind w:left="460" w:right="380" w:firstLine="413"/>
        <w:spacing w:after="0" w:line="303" w:lineRule="auto"/>
        <w:rPr>
          <w:sz w:val="20"/>
          <w:szCs w:val="20"/>
          <w:color w:val="auto"/>
        </w:rPr>
      </w:pPr>
      <w:r>
        <w:rPr>
          <w:rFonts w:ascii="Arial" w:cs="Arial" w:eastAsia="Arial" w:hAnsi="Arial"/>
          <w:sz w:val="16"/>
          <w:szCs w:val="16"/>
          <w:color w:val="auto"/>
        </w:rPr>
        <w:t>Rights granted under the 423 Component of the ESPP are intended to qualify for favorable U.S. federal income tax treatment associated with rights granted under an employee stock purchase plan which qualifies under the provisions of Section 423 of the Code.</w:t>
      </w:r>
    </w:p>
    <w:p>
      <w:pPr>
        <w:spacing w:after="0" w:line="143" w:lineRule="exact"/>
        <w:rPr>
          <w:sz w:val="20"/>
          <w:szCs w:val="20"/>
          <w:color w:val="auto"/>
        </w:rPr>
      </w:pPr>
    </w:p>
    <w:p>
      <w:pPr>
        <w:ind w:left="460" w:right="360" w:firstLine="413"/>
        <w:spacing w:after="0" w:line="284" w:lineRule="auto"/>
        <w:rPr>
          <w:sz w:val="20"/>
          <w:szCs w:val="20"/>
          <w:color w:val="auto"/>
        </w:rPr>
      </w:pPr>
      <w:r>
        <w:rPr>
          <w:rFonts w:ascii="Arial" w:cs="Arial" w:eastAsia="Arial" w:hAnsi="Arial"/>
          <w:sz w:val="16"/>
          <w:szCs w:val="16"/>
          <w:color w:val="auto"/>
        </w:rPr>
        <w:t>A participant will be taxed on amounts withheld for the purchase of shares of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spacing w:after="0" w:line="157"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1" w:lineRule="exact"/>
        <w:rPr>
          <w:sz w:val="20"/>
          <w:szCs w:val="20"/>
          <w:color w:val="auto"/>
        </w:rPr>
      </w:pPr>
    </w:p>
    <w:p>
      <w:pPr>
        <w:ind w:left="460" w:right="180" w:firstLine="413"/>
        <w:spacing w:after="0" w:line="340" w:lineRule="auto"/>
        <w:rPr>
          <w:sz w:val="20"/>
          <w:szCs w:val="20"/>
          <w:color w:val="auto"/>
        </w:rPr>
      </w:pPr>
      <w:r>
        <w:rPr>
          <w:rFonts w:ascii="Arial" w:cs="Arial" w:eastAsia="Arial" w:hAnsi="Arial"/>
          <w:sz w:val="15"/>
          <w:szCs w:val="15"/>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w:t>
      </w:r>
    </w:p>
    <w:p>
      <w:pPr>
        <w:spacing w:after="0" w:line="11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Non-423 Component</w:t>
      </w:r>
    </w:p>
    <w:p>
      <w:pPr>
        <w:spacing w:after="0" w:line="108" w:lineRule="exact"/>
        <w:rPr>
          <w:sz w:val="20"/>
          <w:szCs w:val="20"/>
          <w:color w:val="auto"/>
        </w:rPr>
      </w:pPr>
    </w:p>
    <w:p>
      <w:pPr>
        <w:ind w:left="460" w:right="60" w:firstLine="413"/>
        <w:spacing w:after="0" w:line="296" w:lineRule="auto"/>
        <w:rPr>
          <w:sz w:val="20"/>
          <w:szCs w:val="20"/>
          <w:color w:val="auto"/>
        </w:rPr>
      </w:pPr>
      <w:r>
        <w:rPr>
          <w:rFonts w:ascii="Arial" w:cs="Arial" w:eastAsia="Arial" w:hAnsi="Arial"/>
          <w:sz w:val="15"/>
          <w:szCs w:val="15"/>
          <w:color w:val="auto"/>
        </w:rPr>
        <w:t>A participant will be taxed on amounts withheld for the purchase of shares of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Definitive or one of its affiliates, that income will be subject to withholding taxes. The participant’s tax basis in those shares will be equal to the fair market value of the shares on the date of exercise of the purchase right, and the participant’s capital gain holding period for those shares will begin on the day after the shares are transferred to the participant.</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Tax Effects for Definitive</w:t>
      </w:r>
    </w:p>
    <w:p>
      <w:pPr>
        <w:spacing w:after="0" w:line="112"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There are no U.S. federal income tax consequences to Definitive by reason of the grant or exercise of rights under the ESPP. Definitive is entitled to a deduction to the extent amounts are taxed as ordinary income to a</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780"/>
          </w:cols>
          <w:pgMar w:left="320" w:top="440" w:right="79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740"/>
        <w:spacing w:after="0" w:line="303" w:lineRule="auto"/>
        <w:rPr>
          <w:sz w:val="20"/>
          <w:szCs w:val="20"/>
          <w:color w:val="auto"/>
        </w:rPr>
      </w:pPr>
      <w:r>
        <w:rPr>
          <w:rFonts w:ascii="Arial" w:cs="Arial" w:eastAsia="Arial" w:hAnsi="Arial"/>
          <w:sz w:val="16"/>
          <w:szCs w:val="16"/>
          <w:color w:val="auto"/>
        </w:rPr>
        <w:t>participant for shares sold or otherwise disposed of before the expiration of the holding periods described above (subject to the requirement of reasonableness, the deduction limits under Section 162(m) of the Code and the satisfaction of tax reporting obligations).</w:t>
      </w:r>
    </w:p>
    <w:p>
      <w:pPr>
        <w:spacing w:after="0" w:line="143"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THE FOREGOING IS ONLY A SUMMARY OF THE EFFECT OF CURRENT U.S. FEDERAL INCOME TAXATION UPON PARTICIPANTS AND DEFINITIVE WITH RESPECT TO AWARDS UNDER THE ESPP. IT DOES NOT PURPORT TO BE COMPLETE AND DOES NOT DISCUSS THE IMPACT OF EMPLOYMENT OR OTHER TAX REQUIREMENTS, THE TAX CONSEQUENCES OF A PARTICIPANT’S DEATH, OR THE PROVISIONS OF THE INCOME TAX LAWS OF ANY MUNICIPALITY, STATE, OR FOREIGN COUNTRY IN WHICH THE PARTICIPANT MAY RESIDE. THE ESPP IS NOT QUALIFIED UNDER THE PROVISIONS OF SECTION 401(A) OF THE CODE AND IS NOT SUBJECT TO ANY OF THE PROVISIONS OF THE EMPLOYEE RETIREMENT INCOME SECURITY ACT OF 1974, AS AMENDED.</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Director Compensation</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Any director who is an employee receives no additional compensation for services as a director or as a member of a committee of our Board.</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concerning the compensation of our directors for fiscal year 2020.</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Fees earned or</w:t>
            </w:r>
          </w:p>
        </w:tc>
        <w:tc>
          <w:tcPr>
            <w:tcW w:w="11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Stock</w:t>
            </w: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398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1460" w:type="dxa"/>
            <w:vAlign w:val="bottom"/>
            <w:gridSpan w:val="3"/>
          </w:tcPr>
          <w:p>
            <w:pPr>
              <w:jc w:val="right"/>
              <w:ind w:right="608"/>
              <w:spacing w:after="0" w:line="139" w:lineRule="exact"/>
              <w:rPr>
                <w:sz w:val="20"/>
                <w:szCs w:val="20"/>
                <w:color w:val="auto"/>
              </w:rPr>
            </w:pPr>
            <w:r>
              <w:rPr>
                <w:rFonts w:ascii="Arial" w:cs="Arial" w:eastAsia="Arial" w:hAnsi="Arial"/>
                <w:sz w:val="13"/>
                <w:szCs w:val="13"/>
                <w:b w:val="1"/>
                <w:bCs w:val="1"/>
                <w:color w:val="auto"/>
              </w:rPr>
              <w:t>paid in cash</w:t>
            </w:r>
          </w:p>
        </w:tc>
        <w:tc>
          <w:tcPr>
            <w:tcW w:w="114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3"/>
              </w:rPr>
              <w:t>awards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78"/>
              <w:spacing w:after="0" w:line="147" w:lineRule="exact"/>
              <w:rPr>
                <w:sz w:val="20"/>
                <w:szCs w:val="20"/>
                <w:color w:val="auto"/>
              </w:rPr>
            </w:pPr>
            <w:r>
              <w:rPr>
                <w:rFonts w:ascii="Arial" w:cs="Arial" w:eastAsia="Arial" w:hAnsi="Arial"/>
                <w:sz w:val="13"/>
                <w:szCs w:val="13"/>
                <w:b w:val="1"/>
                <w:bCs w:val="1"/>
                <w:color w:val="auto"/>
              </w:rPr>
              <w:t>($)</w:t>
            </w:r>
          </w:p>
        </w:tc>
        <w:tc>
          <w:tcPr>
            <w:tcW w:w="600" w:type="dxa"/>
            <w:vAlign w:val="bottom"/>
          </w:tcPr>
          <w:p>
            <w:pPr>
              <w:spacing w:after="0"/>
              <w:rPr>
                <w:sz w:val="14"/>
                <w:szCs w:val="14"/>
                <w:color w:val="auto"/>
              </w:rPr>
            </w:pPr>
          </w:p>
        </w:tc>
        <w:tc>
          <w:tcPr>
            <w:tcW w:w="760" w:type="dxa"/>
            <w:vAlign w:val="bottom"/>
          </w:tcPr>
          <w:p>
            <w:pPr>
              <w:ind w:left="300"/>
              <w:spacing w:after="0" w:line="147"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4"/>
                <w:szCs w:val="14"/>
                <w:color w:val="auto"/>
              </w:rPr>
            </w:pPr>
          </w:p>
        </w:tc>
        <w:tc>
          <w:tcPr>
            <w:tcW w:w="560" w:type="dxa"/>
            <w:vAlign w:val="bottom"/>
          </w:tcPr>
          <w:p>
            <w:pPr>
              <w:jc w:val="right"/>
              <w:ind w:right="120"/>
              <w:spacing w:after="0" w:line="147"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Samuel A. Hamood</w:t>
            </w:r>
            <w:r>
              <w:rPr>
                <w:rFonts w:ascii="Arial" w:cs="Arial" w:eastAsia="Arial" w:hAnsi="Arial"/>
                <w:sz w:val="14"/>
                <w:szCs w:val="14"/>
                <w:color w:val="auto"/>
              </w:rPr>
              <w:t>(1)</w:t>
            </w:r>
          </w:p>
        </w:tc>
        <w:tc>
          <w:tcPr>
            <w:tcW w:w="28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17,500</w:t>
            </w:r>
          </w:p>
        </w:tc>
        <w:tc>
          <w:tcPr>
            <w:tcW w:w="600" w:type="dxa"/>
            <w:vAlign w:val="bottom"/>
            <w:tcBorders>
              <w:top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81"/>
              </w:rPr>
              <w:t>(2)</w:t>
            </w:r>
          </w:p>
        </w:tc>
        <w:tc>
          <w:tcPr>
            <w:tcW w:w="76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7"/>
                <w:szCs w:val="17"/>
                <w:color w:val="auto"/>
                <w:w w:val="91"/>
              </w:rPr>
              <w:t>$30,974</w:t>
            </w:r>
            <w:r>
              <w:rPr>
                <w:rFonts w:ascii="Arial" w:cs="Arial" w:eastAsia="Arial" w:hAnsi="Arial"/>
                <w:sz w:val="14"/>
                <w:szCs w:val="14"/>
                <w:color w:val="auto"/>
                <w:w w:val="91"/>
              </w:rPr>
              <w:t>(3)</w:t>
            </w:r>
          </w:p>
        </w:tc>
        <w:tc>
          <w:tcPr>
            <w:tcW w:w="3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87"/>
              </w:rPr>
              <w:t>$48,474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rPr>
                <w:sz w:val="20"/>
                <w:szCs w:val="20"/>
                <w:color w:val="auto"/>
              </w:rPr>
            </w:pPr>
            <w:r>
              <w:rPr>
                <w:rFonts w:ascii="Arial" w:cs="Arial" w:eastAsia="Arial" w:hAnsi="Arial"/>
                <w:sz w:val="17"/>
                <w:szCs w:val="17"/>
                <w:color w:val="auto"/>
              </w:rPr>
              <w:t>John Maldonado</w:t>
            </w:r>
          </w:p>
        </w:tc>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Christopher Egan</w:t>
            </w:r>
          </w:p>
        </w:tc>
        <w:tc>
          <w:tcPr>
            <w:tcW w:w="2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 Mitchell</w:t>
            </w:r>
          </w:p>
        </w:tc>
        <w:tc>
          <w:tcPr>
            <w:tcW w:w="2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 Randall Winn</w:t>
            </w:r>
          </w:p>
        </w:tc>
        <w:tc>
          <w:tcPr>
            <w:tcW w:w="2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hanging="403"/>
        <w:spacing w:after="0"/>
        <w:tabs>
          <w:tab w:leader="none" w:pos="8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Our only director who received compensation in fiscal 2020 was Mr. Hamood, who joined the Board in September 2020.</w:t>
      </w:r>
    </w:p>
    <w:p>
      <w:pPr>
        <w:spacing w:after="0" w:line="18" w:lineRule="exact"/>
        <w:rPr>
          <w:rFonts w:ascii="Arial" w:cs="Arial" w:eastAsia="Arial" w:hAnsi="Arial"/>
          <w:sz w:val="17"/>
          <w:szCs w:val="17"/>
          <w:color w:val="auto"/>
        </w:rPr>
      </w:pPr>
    </w:p>
    <w:p>
      <w:pPr>
        <w:ind w:left="860" w:hanging="403"/>
        <w:spacing w:after="0"/>
        <w:tabs>
          <w:tab w:leader="none" w:pos="8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Earned for Mr. Hamood’s service on the Board and as chair of the Audit Committee in 2020, which was paid in January 2021.</w:t>
      </w:r>
    </w:p>
    <w:p>
      <w:pPr>
        <w:spacing w:after="0" w:line="7" w:lineRule="exact"/>
        <w:rPr>
          <w:rFonts w:ascii="Arial" w:cs="Arial" w:eastAsia="Arial" w:hAnsi="Arial"/>
          <w:sz w:val="17"/>
          <w:szCs w:val="17"/>
          <w:color w:val="auto"/>
        </w:rPr>
      </w:pPr>
    </w:p>
    <w:p>
      <w:pPr>
        <w:ind w:left="860" w:hanging="403"/>
        <w:spacing w:after="0"/>
        <w:tabs>
          <w:tab w:leader="none" w:pos="8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Mr. Hamood received a grant of 34,037 Class B Units on April 28, 2021 in consideration for his joining the Board.</w:t>
      </w:r>
    </w:p>
    <w:p>
      <w:pPr>
        <w:spacing w:after="0" w:line="13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800"/>
          </w:cols>
          <w:pgMar w:left="320" w:top="440" w:right="77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PRINCIPAL STOCKHOLDERS</w:t>
      </w:r>
    </w:p>
    <w:p>
      <w:pPr>
        <w:spacing w:after="0" w:line="214"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November 15, 2021 as adjusted for this offering as described in “Use of Proceeds” by:</w:t>
      </w:r>
    </w:p>
    <w:p>
      <w:pPr>
        <w:spacing w:after="0" w:line="76" w:lineRule="exact"/>
        <w:rPr>
          <w:sz w:val="20"/>
          <w:szCs w:val="20"/>
          <w:color w:val="auto"/>
        </w:rPr>
      </w:pPr>
    </w:p>
    <w:p>
      <w:pPr>
        <w:ind w:left="1360" w:hanging="498"/>
        <w:spacing w:after="0"/>
        <w:tabs>
          <w:tab w:leader="none" w:pos="13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person or group whom we know to own beneficially more than 5% of our common stock;</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of the directors and named executive officers individually;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all directors and executive officers as a group.</w:t>
      </w:r>
    </w:p>
    <w:p>
      <w:pPr>
        <w:spacing w:after="0" w:line="210"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See “Prospectus Summary—Organizational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before this offering and immediately after this offering (after giving effect to the use of proceeds therefrom). See “Use of Proceeds.” Each Unitholder holds one share of Class B common stock for each LLC unit such Unitholder beneficially owns.</w:t>
      </w:r>
    </w:p>
    <w:p>
      <w:pPr>
        <w:spacing w:after="0" w:line="184" w:lineRule="exact"/>
        <w:rPr>
          <w:sz w:val="20"/>
          <w:szCs w:val="20"/>
          <w:color w:val="auto"/>
        </w:rPr>
      </w:pPr>
    </w:p>
    <w:p>
      <w:pPr>
        <w:ind w:left="460" w:right="180" w:firstLine="413"/>
        <w:spacing w:after="0" w:line="253" w:lineRule="auto"/>
        <w:rPr>
          <w:sz w:val="20"/>
          <w:szCs w:val="20"/>
          <w:color w:val="auto"/>
        </w:rPr>
      </w:pPr>
      <w:r>
        <w:rPr>
          <w:rFonts w:ascii="Arial" w:cs="Arial" w:eastAsia="Arial" w:hAnsi="Arial"/>
          <w:sz w:val="17"/>
          <w:szCs w:val="17"/>
          <w:color w:val="auto"/>
        </w:rPr>
        <w:t>In accordance with the rules of the SEC, beneficial ownership includes voting or investment power with respect to securities. The number of shares of Class A common stock outstanding after this offering includes shares of common stock being offered for sale by us in this offering and the shares of Class A common stock owned by existing holders.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640"/>
          </w:cols>
          <w:pgMar w:left="320" w:top="440" w:right="9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0"/>
              </w:rPr>
              <w:t>Shares of Class A</w:t>
            </w:r>
          </w:p>
        </w:tc>
        <w:tc>
          <w:tcPr>
            <w:tcW w:w="168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90"/>
              </w:rPr>
              <w:t>Shares of Class A</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Shares of Class B</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Shares of Class B</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common stock</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4"/>
              </w:rPr>
              <w:t>Class A Units in</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common stock</w:t>
            </w: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common stock</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40"/>
              <w:spacing w:after="0" w:line="139" w:lineRule="exact"/>
              <w:rPr>
                <w:sz w:val="20"/>
                <w:szCs w:val="20"/>
                <w:color w:val="auto"/>
              </w:rPr>
            </w:pPr>
            <w:r>
              <w:rPr>
                <w:rFonts w:ascii="Arial" w:cs="Arial" w:eastAsia="Arial" w:hAnsi="Arial"/>
                <w:sz w:val="13"/>
                <w:szCs w:val="13"/>
                <w:b w:val="1"/>
                <w:bCs w:val="1"/>
                <w:color w:val="auto"/>
                <w:w w:val="93"/>
              </w:rPr>
              <w:t>beneficially owned after</w:t>
            </w:r>
          </w:p>
        </w:tc>
        <w:tc>
          <w:tcPr>
            <w:tcW w:w="1260" w:type="dxa"/>
            <w:vAlign w:val="bottom"/>
            <w:gridSpan w:val="2"/>
          </w:tcPr>
          <w:p>
            <w:pPr>
              <w:jc w:val="right"/>
              <w:ind w:right="55"/>
              <w:spacing w:after="0" w:line="139" w:lineRule="exact"/>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66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beneficially owned after</w:t>
            </w: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beneficially owned after</w:t>
            </w:r>
          </w:p>
        </w:tc>
        <w:tc>
          <w:tcPr>
            <w:tcW w:w="16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6"/>
              </w:rPr>
              <w:t>Units in</w:t>
            </w:r>
          </w:p>
        </w:tc>
        <w:tc>
          <w:tcPr>
            <w:tcW w:w="1660" w:type="dxa"/>
            <w:vAlign w:val="bottom"/>
            <w:gridSpan w:val="3"/>
          </w:tcPr>
          <w:p>
            <w:pPr>
              <w:jc w:val="center"/>
              <w:ind w:right="240"/>
              <w:spacing w:after="0" w:line="139" w:lineRule="exact"/>
              <w:rPr>
                <w:sz w:val="20"/>
                <w:szCs w:val="20"/>
                <w:color w:val="auto"/>
              </w:rPr>
            </w:pPr>
            <w:r>
              <w:rPr>
                <w:rFonts w:ascii="Arial" w:cs="Arial" w:eastAsia="Arial" w:hAnsi="Arial"/>
                <w:sz w:val="13"/>
                <w:szCs w:val="13"/>
                <w:b w:val="1"/>
                <w:bCs w:val="1"/>
                <w:color w:val="auto"/>
                <w:w w:val="93"/>
              </w:rPr>
              <w:t>this offering</w:t>
            </w:r>
          </w:p>
        </w:tc>
        <w:tc>
          <w:tcPr>
            <w:tcW w:w="12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4"/>
              </w:rPr>
              <w:t>beneficially owned af</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6"/>
              </w:rPr>
              <w:t>Definitive OpCo</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this offering (assuming</w:t>
            </w:r>
          </w:p>
        </w:tc>
        <w:tc>
          <w:tcPr>
            <w:tcW w:w="168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1"/>
              </w:rPr>
              <w:t>this offering (assuming</w:t>
            </w:r>
          </w:p>
        </w:tc>
        <w:tc>
          <w:tcPr>
            <w:tcW w:w="1680" w:type="dxa"/>
            <w:vAlign w:val="bottom"/>
            <w:gridSpan w:val="3"/>
            <w:vMerge w:val="continue"/>
          </w:tcPr>
          <w:p>
            <w:pPr>
              <w:spacing w:after="0"/>
              <w:rPr>
                <w:sz w:val="12"/>
                <w:szCs w:val="12"/>
                <w:color w:val="auto"/>
              </w:rPr>
            </w:pP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88"/>
              </w:rPr>
              <w:t>(assuming no exercise</w:t>
            </w:r>
          </w:p>
        </w:tc>
        <w:tc>
          <w:tcPr>
            <w:tcW w:w="12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5"/>
              </w:rPr>
              <w:t>this offering (assumi</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beneficially</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0"/>
              </w:rPr>
              <w:t>no exercise of the option</w:t>
            </w:r>
          </w:p>
        </w:tc>
        <w:tc>
          <w:tcPr>
            <w:tcW w:w="168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1"/>
              </w:rPr>
              <w:t>full exercise of the</w:t>
            </w: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6"/>
              </w:rPr>
              <w:t>Definitive OpCo</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of the option</w:t>
            </w:r>
          </w:p>
        </w:tc>
        <w:tc>
          <w:tcPr>
            <w:tcW w:w="12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full exercise of the</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owned before</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to purchase</w:t>
            </w:r>
          </w:p>
        </w:tc>
        <w:tc>
          <w:tcPr>
            <w:tcW w:w="168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2"/>
              </w:rPr>
              <w:t>option to purchase</w:t>
            </w: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beneficially owned</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to purchase</w:t>
            </w:r>
          </w:p>
        </w:tc>
        <w:tc>
          <w:tcPr>
            <w:tcW w:w="12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option to purchase</w:t>
            </w:r>
          </w:p>
        </w:tc>
        <w:tc>
          <w:tcPr>
            <w:tcW w:w="0" w:type="dxa"/>
            <w:vAlign w:val="bottom"/>
          </w:tcPr>
          <w:p>
            <w:pPr>
              <w:spacing w:after="0"/>
              <w:rPr>
                <w:sz w:val="1"/>
                <w:szCs w:val="1"/>
                <w:color w:val="auto"/>
              </w:rPr>
            </w:pPr>
          </w:p>
        </w:tc>
      </w:tr>
      <w:tr>
        <w:trPr>
          <w:trHeight w:val="160"/>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w w:val="91"/>
              </w:rPr>
              <w:t>Name and address of</w:t>
            </w:r>
          </w:p>
        </w:tc>
        <w:tc>
          <w:tcPr>
            <w:tcW w:w="40" w:type="dxa"/>
            <w:vAlign w:val="bottom"/>
          </w:tcPr>
          <w:p>
            <w:pPr>
              <w:spacing w:after="0"/>
              <w:rPr>
                <w:sz w:val="13"/>
                <w:szCs w:val="13"/>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this offering</w:t>
            </w:r>
          </w:p>
        </w:tc>
        <w:tc>
          <w:tcPr>
            <w:tcW w:w="16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additional shares)</w:t>
            </w:r>
          </w:p>
        </w:tc>
        <w:tc>
          <w:tcPr>
            <w:tcW w:w="16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1"/>
              </w:rPr>
              <w:t>additional shares)</w:t>
            </w:r>
          </w:p>
        </w:tc>
        <w:tc>
          <w:tcPr>
            <w:tcW w:w="16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before this offering</w:t>
            </w:r>
          </w:p>
        </w:tc>
        <w:tc>
          <w:tcPr>
            <w:tcW w:w="16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additional shares</w:t>
            </w: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rPr>
              <w:t>additional shares)</w:t>
            </w:r>
          </w:p>
        </w:tc>
        <w:tc>
          <w:tcPr>
            <w:tcW w:w="0" w:type="dxa"/>
            <w:vAlign w:val="bottom"/>
          </w:tcPr>
          <w:p>
            <w:pPr>
              <w:spacing w:after="0"/>
              <w:rPr>
                <w:sz w:val="1"/>
                <w:szCs w:val="1"/>
                <w:color w:val="auto"/>
              </w:rPr>
            </w:pPr>
          </w:p>
        </w:tc>
      </w:tr>
      <w:tr>
        <w:trPr>
          <w:trHeight w:val="107"/>
        </w:trPr>
        <w:tc>
          <w:tcPr>
            <w:tcW w:w="1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ind w:left="15"/>
              <w:spacing w:after="0" w:line="107" w:lineRule="exact"/>
              <w:rPr>
                <w:sz w:val="20"/>
                <w:szCs w:val="20"/>
                <w:color w:val="auto"/>
              </w:rPr>
            </w:pPr>
            <w:r>
              <w:rPr>
                <w:rFonts w:ascii="Arial" w:cs="Arial" w:eastAsia="Arial" w:hAnsi="Arial"/>
                <w:sz w:val="12"/>
                <w:szCs w:val="12"/>
                <w:b w:val="1"/>
                <w:bCs w:val="1"/>
                <w:color w:val="auto"/>
                <w:w w:val="98"/>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00" w:type="dxa"/>
            <w:vAlign w:val="bottom"/>
          </w:tcPr>
          <w:p>
            <w:pPr>
              <w:spacing w:after="0"/>
              <w:rPr>
                <w:sz w:val="9"/>
                <w:szCs w:val="9"/>
                <w:color w:val="auto"/>
              </w:rPr>
            </w:pPr>
          </w:p>
        </w:tc>
        <w:tc>
          <w:tcPr>
            <w:tcW w:w="7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8"/>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8"/>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52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52"/>
        </w:trPr>
        <w:tc>
          <w:tcPr>
            <w:tcW w:w="1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beneficial owner</w:t>
            </w:r>
          </w:p>
        </w:tc>
        <w:tc>
          <w:tcPr>
            <w:tcW w:w="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of shares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of shares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shares</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of shares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of shares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shares</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of shares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of shar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9107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10705" cy="1289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b w:val="1"/>
          <w:bCs w:val="1"/>
          <w:u w:val="single" w:color="auto"/>
          <w:color w:val="auto"/>
        </w:rPr>
        <w:t>5% stock-holders:</w:t>
      </w:r>
    </w:p>
    <w:p>
      <w:pPr>
        <w:sectPr>
          <w:pgSz w:w="11900" w:h="16838" w:orient="portrait"/>
          <w:cols w:equalWidth="0" w:num="1">
            <w:col w:w="11340"/>
          </w:cols>
          <w:pgMar w:left="320" w:top="440" w:right="239" w:bottom="1440" w:gutter="0" w:footer="0" w:header="0"/>
        </w:sectPr>
      </w:pP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w w:val="96"/>
              </w:rPr>
              <w:t>Funds managed by</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Advent</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International</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Corporation (1)</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w w:val="93"/>
              </w:rPr>
              <w:t>64,596,549</w:t>
            </w:r>
          </w:p>
        </w:tc>
        <w:tc>
          <w:tcPr>
            <w:tcW w:w="680" w:type="dxa"/>
            <w:vAlign w:val="bottom"/>
          </w:tcPr>
          <w:p>
            <w:pPr>
              <w:jc w:val="right"/>
              <w:spacing w:after="0"/>
              <w:rPr>
                <w:sz w:val="20"/>
                <w:szCs w:val="20"/>
                <w:color w:val="auto"/>
              </w:rPr>
            </w:pPr>
            <w:r>
              <w:rPr>
                <w:rFonts w:ascii="Arial" w:cs="Arial" w:eastAsia="Arial" w:hAnsi="Arial"/>
                <w:sz w:val="15"/>
                <w:szCs w:val="15"/>
                <w:color w:val="auto"/>
              </w:rPr>
              <w:t>73.2%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62,493,676</w:t>
            </w:r>
          </w:p>
        </w:tc>
        <w:tc>
          <w:tcPr>
            <w:tcW w:w="680" w:type="dxa"/>
            <w:vAlign w:val="bottom"/>
          </w:tcPr>
          <w:p>
            <w:pPr>
              <w:jc w:val="right"/>
              <w:spacing w:after="0"/>
              <w:rPr>
                <w:sz w:val="20"/>
                <w:szCs w:val="20"/>
                <w:color w:val="auto"/>
              </w:rPr>
            </w:pPr>
            <w:r>
              <w:rPr>
                <w:rFonts w:ascii="Arial" w:cs="Arial" w:eastAsia="Arial" w:hAnsi="Arial"/>
                <w:sz w:val="15"/>
                <w:szCs w:val="15"/>
                <w:color w:val="auto"/>
              </w:rPr>
              <w:t>64.4%</w:t>
            </w:r>
          </w:p>
        </w:tc>
        <w:tc>
          <w:tcPr>
            <w:tcW w:w="740" w:type="dxa"/>
            <w:vAlign w:val="bottom"/>
          </w:tcPr>
          <w:p>
            <w:pPr>
              <w:jc w:val="right"/>
              <w:spacing w:after="0"/>
              <w:rPr>
                <w:sz w:val="20"/>
                <w:szCs w:val="20"/>
                <w:color w:val="auto"/>
              </w:rPr>
            </w:pPr>
            <w:r>
              <w:rPr>
                <w:rFonts w:ascii="Arial" w:cs="Arial" w:eastAsia="Arial" w:hAnsi="Arial"/>
                <w:sz w:val="15"/>
                <w:szCs w:val="15"/>
                <w:color w:val="auto"/>
                <w:w w:val="95"/>
              </w:rPr>
              <w:t>61,626,240</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Affiliates of</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w w:val="99"/>
              </w:rPr>
              <w:t>Spectrum Equity</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720" w:type="dxa"/>
            <w:vAlign w:val="bottom"/>
            <w:gridSpan w:val="2"/>
          </w:tcPr>
          <w:p>
            <w:pPr>
              <w:ind w:left="140"/>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2,885,876</w:t>
            </w:r>
          </w:p>
        </w:tc>
        <w:tc>
          <w:tcPr>
            <w:tcW w:w="680" w:type="dxa"/>
            <w:vAlign w:val="bottom"/>
          </w:tcPr>
          <w:p>
            <w:pPr>
              <w:jc w:val="right"/>
              <w:spacing w:after="0"/>
              <w:rPr>
                <w:sz w:val="20"/>
                <w:szCs w:val="20"/>
                <w:color w:val="auto"/>
              </w:rPr>
            </w:pPr>
            <w:r>
              <w:rPr>
                <w:rFonts w:ascii="Arial" w:cs="Arial" w:eastAsia="Arial" w:hAnsi="Arial"/>
                <w:sz w:val="15"/>
                <w:szCs w:val="15"/>
                <w:color w:val="auto"/>
              </w:rPr>
              <w:t>3.3%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2,791,929</w:t>
            </w:r>
          </w:p>
        </w:tc>
        <w:tc>
          <w:tcPr>
            <w:tcW w:w="680" w:type="dxa"/>
            <w:vAlign w:val="bottom"/>
          </w:tcPr>
          <w:p>
            <w:pPr>
              <w:jc w:val="right"/>
              <w:spacing w:after="0"/>
              <w:rPr>
                <w:sz w:val="20"/>
                <w:szCs w:val="20"/>
                <w:color w:val="auto"/>
              </w:rPr>
            </w:pPr>
            <w:r>
              <w:rPr>
                <w:rFonts w:ascii="Arial" w:cs="Arial" w:eastAsia="Arial" w:hAnsi="Arial"/>
                <w:sz w:val="15"/>
                <w:szCs w:val="15"/>
                <w:color w:val="auto"/>
              </w:rPr>
              <w:t>2.9%</w:t>
            </w:r>
          </w:p>
        </w:tc>
        <w:tc>
          <w:tcPr>
            <w:tcW w:w="740" w:type="dxa"/>
            <w:vAlign w:val="bottom"/>
          </w:tcPr>
          <w:p>
            <w:pPr>
              <w:jc w:val="right"/>
              <w:spacing w:after="0"/>
              <w:rPr>
                <w:sz w:val="20"/>
                <w:szCs w:val="20"/>
                <w:color w:val="auto"/>
              </w:rPr>
            </w:pPr>
            <w:r>
              <w:rPr>
                <w:rFonts w:ascii="Arial" w:cs="Arial" w:eastAsia="Arial" w:hAnsi="Arial"/>
                <w:sz w:val="15"/>
                <w:szCs w:val="15"/>
                <w:color w:val="auto"/>
              </w:rPr>
              <w:t>2,753,176</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w w:val="97"/>
              </w:rPr>
              <w:t>AIDH Management</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Holdings, LLC</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2,353,564</w:t>
            </w:r>
          </w:p>
        </w:tc>
        <w:tc>
          <w:tcPr>
            <w:tcW w:w="680" w:type="dxa"/>
            <w:vAlign w:val="bottom"/>
          </w:tcPr>
          <w:p>
            <w:pPr>
              <w:jc w:val="right"/>
              <w:spacing w:after="0"/>
              <w:rPr>
                <w:sz w:val="20"/>
                <w:szCs w:val="20"/>
                <w:color w:val="auto"/>
              </w:rPr>
            </w:pPr>
            <w:r>
              <w:rPr>
                <w:rFonts w:ascii="Arial" w:cs="Arial" w:eastAsia="Arial" w:hAnsi="Arial"/>
                <w:sz w:val="15"/>
                <w:szCs w:val="15"/>
                <w:color w:val="auto"/>
              </w:rPr>
              <w:t>2.7%</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2,334,675</w:t>
            </w:r>
          </w:p>
        </w:tc>
        <w:tc>
          <w:tcPr>
            <w:tcW w:w="680" w:type="dxa"/>
            <w:vAlign w:val="bottom"/>
          </w:tcPr>
          <w:p>
            <w:pPr>
              <w:jc w:val="right"/>
              <w:spacing w:after="0"/>
              <w:rPr>
                <w:sz w:val="20"/>
                <w:szCs w:val="20"/>
                <w:color w:val="auto"/>
              </w:rPr>
            </w:pPr>
            <w:r>
              <w:rPr>
                <w:rFonts w:ascii="Arial" w:cs="Arial" w:eastAsia="Arial" w:hAnsi="Arial"/>
                <w:sz w:val="15"/>
                <w:szCs w:val="15"/>
                <w:color w:val="auto"/>
              </w:rPr>
              <w:t>2.4%</w:t>
            </w:r>
          </w:p>
        </w:tc>
        <w:tc>
          <w:tcPr>
            <w:tcW w:w="740" w:type="dxa"/>
            <w:vAlign w:val="bottom"/>
          </w:tcPr>
          <w:p>
            <w:pPr>
              <w:jc w:val="right"/>
              <w:spacing w:after="0"/>
              <w:rPr>
                <w:sz w:val="20"/>
                <w:szCs w:val="20"/>
                <w:color w:val="auto"/>
              </w:rPr>
            </w:pPr>
            <w:r>
              <w:rPr>
                <w:rFonts w:ascii="Arial" w:cs="Arial" w:eastAsia="Arial" w:hAnsi="Arial"/>
                <w:sz w:val="15"/>
                <w:szCs w:val="15"/>
                <w:color w:val="auto"/>
              </w:rPr>
              <w:t>2,326,883</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Affiliates of 22C</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Capital (4)</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538,456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520,927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513,696</w:t>
            </w:r>
          </w:p>
        </w:tc>
      </w:tr>
      <w:tr>
        <w:trPr>
          <w:trHeight w:val="260"/>
        </w:trPr>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Named executive</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70"/>
        </w:trPr>
        <w:tc>
          <w:tcPr>
            <w:tcW w:w="140" w:type="dxa"/>
            <w:vAlign w:val="bottom"/>
          </w:tcPr>
          <w:p>
            <w:pPr>
              <w:spacing w:after="0"/>
              <w:rPr>
                <w:sz w:val="14"/>
                <w:szCs w:val="14"/>
                <w:color w:val="auto"/>
              </w:rPr>
            </w:pPr>
          </w:p>
        </w:tc>
        <w:tc>
          <w:tcPr>
            <w:tcW w:w="78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5"/>
                <w:szCs w:val="15"/>
                <w:b w:val="1"/>
                <w:bCs w:val="1"/>
                <w:color w:val="auto"/>
                <w:w w:val="89"/>
              </w:rPr>
              <w:t>officers and</w:t>
            </w:r>
          </w:p>
        </w:tc>
        <w:tc>
          <w:tcPr>
            <w:tcW w:w="3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140" w:type="dxa"/>
            <w:vAlign w:val="bottom"/>
          </w:tcPr>
          <w:p>
            <w:pPr>
              <w:spacing w:after="0"/>
              <w:rPr>
                <w:sz w:val="14"/>
                <w:szCs w:val="14"/>
                <w:color w:val="auto"/>
              </w:rPr>
            </w:pPr>
          </w:p>
        </w:tc>
        <w:tc>
          <w:tcPr>
            <w:tcW w:w="1120" w:type="dxa"/>
            <w:vAlign w:val="bottom"/>
            <w:gridSpan w:val="4"/>
          </w:tcPr>
          <w:p>
            <w:pPr>
              <w:spacing w:after="0" w:line="170" w:lineRule="exact"/>
              <w:rPr>
                <w:sz w:val="20"/>
                <w:szCs w:val="20"/>
                <w:color w:val="auto"/>
              </w:rPr>
            </w:pPr>
            <w:r>
              <w:rPr>
                <w:rFonts w:ascii="Arial" w:cs="Arial" w:eastAsia="Arial" w:hAnsi="Arial"/>
                <w:sz w:val="15"/>
                <w:szCs w:val="15"/>
                <w:b w:val="1"/>
                <w:bCs w:val="1"/>
                <w:color w:val="auto"/>
              </w:rPr>
              <w:t>directors</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0"/>
        </w:trPr>
        <w:tc>
          <w:tcPr>
            <w:tcW w:w="126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Richard Booth</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David Samuels</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Joseph Mirisola</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Kate Shamsuddin</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Chris Mitchell (2)</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720" w:type="dxa"/>
            <w:vAlign w:val="bottom"/>
            <w:gridSpan w:val="2"/>
          </w:tcPr>
          <w:p>
            <w:pPr>
              <w:ind w:left="140"/>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Jeff Haywood</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Lauren Young (6)</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Chris Egan (6)</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Randall Winn (7)</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538,456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520,927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513,696</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w w:val="95"/>
              </w:rPr>
              <w:t>Samuel A. Hamood</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Jill Larsen</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Robert</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Musslewhite (8)</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Kathleen A.</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Winters (9)</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86"/>
        </w:trPr>
        <w:tc>
          <w:tcPr>
            <w:tcW w:w="1260" w:type="dxa"/>
            <w:vAlign w:val="bottom"/>
            <w:gridSpan w:val="5"/>
          </w:tcPr>
          <w:p>
            <w:pPr>
              <w:spacing w:after="0"/>
              <w:rPr>
                <w:sz w:val="20"/>
                <w:szCs w:val="20"/>
                <w:color w:val="auto"/>
              </w:rPr>
            </w:pPr>
            <w:r>
              <w:rPr>
                <w:rFonts w:ascii="Arial" w:cs="Arial" w:eastAsia="Arial" w:hAnsi="Arial"/>
                <w:sz w:val="15"/>
                <w:szCs w:val="15"/>
                <w:b w:val="1"/>
                <w:bCs w:val="1"/>
                <w:color w:val="auto"/>
              </w:rPr>
              <w:t>All directors and</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b w:val="1"/>
                <w:bCs w:val="1"/>
                <w:color w:val="auto"/>
              </w:rPr>
              <w:t>executive</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b w:val="1"/>
                <w:bCs w:val="1"/>
                <w:color w:val="auto"/>
              </w:rPr>
              <w:t>officers as a</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b w:val="1"/>
                <w:bCs w:val="1"/>
                <w:color w:val="auto"/>
              </w:rPr>
              <w:t>group (14</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b w:val="1"/>
                <w:bCs w:val="1"/>
                <w:color w:val="auto"/>
              </w:rPr>
              <w:t>persons)</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538,456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520,927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513,696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-4104640</wp:posOffset>
            </wp:positionV>
            <wp:extent cx="6910705" cy="3619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10705" cy="3619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-3622040</wp:posOffset>
            </wp:positionV>
            <wp:extent cx="6910705" cy="2413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10705" cy="24130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-3075305</wp:posOffset>
            </wp:positionV>
            <wp:extent cx="6910705" cy="3619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10705" cy="3619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-2592705</wp:posOffset>
            </wp:positionV>
            <wp:extent cx="6910705" cy="1206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-2351405</wp:posOffset>
            </wp:positionV>
            <wp:extent cx="6910705" cy="1206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-2110105</wp:posOffset>
            </wp:positionV>
            <wp:extent cx="6910705" cy="2413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10705" cy="24130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-1748155</wp:posOffset>
            </wp:positionV>
            <wp:extent cx="6910705" cy="1206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-1506855</wp:posOffset>
            </wp:positionV>
            <wp:extent cx="6910705" cy="1206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-1265555</wp:posOffset>
            </wp:positionV>
            <wp:extent cx="6910705" cy="1206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-903605</wp:posOffset>
            </wp:positionV>
            <wp:extent cx="6910705" cy="2413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10705" cy="24130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84455</wp:posOffset>
            </wp:positionV>
            <wp:extent cx="7239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Pr>
          <w:p>
            <w:pPr>
              <w:jc w:val="right"/>
              <w:ind w:right="4"/>
              <w:spacing w:after="0"/>
              <w:rPr>
                <w:sz w:val="20"/>
                <w:szCs w:val="20"/>
                <w:color w:val="auto"/>
              </w:rPr>
            </w:pPr>
            <w:r>
              <w:rPr>
                <w:rFonts w:ascii="Arial" w:cs="Arial" w:eastAsia="Arial" w:hAnsi="Arial"/>
                <w:sz w:val="15"/>
                <w:szCs w:val="15"/>
                <w:color w:val="auto"/>
                <w:w w:val="84"/>
              </w:rPr>
              <w:t>63.0%</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568"/>
        </w:trPr>
        <w:tc>
          <w:tcPr>
            <w:tcW w:w="460" w:type="dxa"/>
            <w:vAlign w:val="bottom"/>
          </w:tcPr>
          <w:p>
            <w:pPr>
              <w:jc w:val="right"/>
              <w:ind w:right="4"/>
              <w:spacing w:after="0"/>
              <w:rPr>
                <w:sz w:val="20"/>
                <w:szCs w:val="20"/>
                <w:color w:val="auto"/>
              </w:rPr>
            </w:pPr>
            <w:r>
              <w:rPr>
                <w:rFonts w:ascii="Arial" w:cs="Arial" w:eastAsia="Arial" w:hAnsi="Arial"/>
                <w:sz w:val="15"/>
                <w:szCs w:val="15"/>
                <w:color w:val="auto"/>
              </w:rPr>
              <w:t>2.8%</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27,710,989</w:t>
            </w:r>
          </w:p>
        </w:tc>
        <w:tc>
          <w:tcPr>
            <w:tcW w:w="680" w:type="dxa"/>
            <w:vAlign w:val="bottom"/>
          </w:tcPr>
          <w:p>
            <w:pPr>
              <w:jc w:val="right"/>
              <w:spacing w:after="0"/>
              <w:rPr>
                <w:sz w:val="20"/>
                <w:szCs w:val="20"/>
                <w:color w:val="auto"/>
              </w:rPr>
            </w:pPr>
            <w:r>
              <w:rPr>
                <w:rFonts w:ascii="Arial" w:cs="Arial" w:eastAsia="Arial" w:hAnsi="Arial"/>
                <w:sz w:val="15"/>
                <w:szCs w:val="15"/>
                <w:color w:val="auto"/>
              </w:rPr>
              <w:t>46.1%</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w w:val="98"/>
              </w:rPr>
              <w:t>26,808,886</w:t>
            </w:r>
          </w:p>
        </w:tc>
        <w:tc>
          <w:tcPr>
            <w:tcW w:w="700" w:type="dxa"/>
            <w:vAlign w:val="bottom"/>
          </w:tcPr>
          <w:p>
            <w:pPr>
              <w:jc w:val="right"/>
              <w:spacing w:after="0"/>
              <w:rPr>
                <w:sz w:val="20"/>
                <w:szCs w:val="20"/>
                <w:color w:val="auto"/>
              </w:rPr>
            </w:pPr>
            <w:r>
              <w:rPr>
                <w:rFonts w:ascii="Arial" w:cs="Arial" w:eastAsia="Arial" w:hAnsi="Arial"/>
                <w:sz w:val="15"/>
                <w:szCs w:val="15"/>
                <w:color w:val="auto"/>
              </w:rPr>
              <w:t>46.0%</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26,436,769</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1"/>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21,994,281</w:t>
            </w:r>
          </w:p>
        </w:tc>
        <w:tc>
          <w:tcPr>
            <w:tcW w:w="680" w:type="dxa"/>
            <w:vAlign w:val="bottom"/>
          </w:tcPr>
          <w:p>
            <w:pPr>
              <w:jc w:val="right"/>
              <w:spacing w:after="0"/>
              <w:rPr>
                <w:sz w:val="20"/>
                <w:szCs w:val="20"/>
                <w:color w:val="auto"/>
              </w:rPr>
            </w:pPr>
            <w:r>
              <w:rPr>
                <w:rFonts w:ascii="Arial" w:cs="Arial" w:eastAsia="Arial" w:hAnsi="Arial"/>
                <w:sz w:val="15"/>
                <w:szCs w:val="15"/>
                <w:color w:val="auto"/>
              </w:rPr>
              <w:t>36.6%</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w w:val="98"/>
              </w:rPr>
              <w:t>21,299,157</w:t>
            </w:r>
          </w:p>
        </w:tc>
        <w:tc>
          <w:tcPr>
            <w:tcW w:w="700" w:type="dxa"/>
            <w:vAlign w:val="bottom"/>
          </w:tcPr>
          <w:p>
            <w:pPr>
              <w:jc w:val="right"/>
              <w:spacing w:after="0"/>
              <w:rPr>
                <w:sz w:val="20"/>
                <w:szCs w:val="20"/>
                <w:color w:val="auto"/>
              </w:rPr>
            </w:pPr>
            <w:r>
              <w:rPr>
                <w:rFonts w:ascii="Arial" w:cs="Arial" w:eastAsia="Arial" w:hAnsi="Arial"/>
                <w:sz w:val="15"/>
                <w:szCs w:val="15"/>
                <w:color w:val="auto"/>
              </w:rPr>
              <w:t>36.5%</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21,012,418</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80"/>
        </w:trPr>
        <w:tc>
          <w:tcPr>
            <w:tcW w:w="460" w:type="dxa"/>
            <w:vAlign w:val="bottom"/>
          </w:tcPr>
          <w:p>
            <w:pPr>
              <w:jc w:val="right"/>
              <w:ind w:right="4"/>
              <w:spacing w:after="0"/>
              <w:rPr>
                <w:sz w:val="20"/>
                <w:szCs w:val="20"/>
                <w:color w:val="auto"/>
              </w:rPr>
            </w:pPr>
            <w:r>
              <w:rPr>
                <w:rFonts w:ascii="Arial" w:cs="Arial" w:eastAsia="Arial" w:hAnsi="Arial"/>
                <w:sz w:val="15"/>
                <w:szCs w:val="15"/>
                <w:color w:val="auto"/>
              </w:rPr>
              <w:t>2.4%</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6,096,202</w:t>
            </w:r>
          </w:p>
        </w:tc>
        <w:tc>
          <w:tcPr>
            <w:tcW w:w="680" w:type="dxa"/>
            <w:vAlign w:val="bottom"/>
          </w:tcPr>
          <w:p>
            <w:pPr>
              <w:jc w:val="right"/>
              <w:spacing w:after="0"/>
              <w:rPr>
                <w:sz w:val="20"/>
                <w:szCs w:val="20"/>
                <w:color w:val="auto"/>
              </w:rPr>
            </w:pPr>
            <w:r>
              <w:rPr>
                <w:rFonts w:ascii="Arial" w:cs="Arial" w:eastAsia="Arial" w:hAnsi="Arial"/>
                <w:sz w:val="15"/>
                <w:szCs w:val="15"/>
                <w:color w:val="auto"/>
              </w:rPr>
              <w:t>10.1%</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5,985,078</w:t>
            </w:r>
          </w:p>
        </w:tc>
        <w:tc>
          <w:tcPr>
            <w:tcW w:w="700" w:type="dxa"/>
            <w:vAlign w:val="bottom"/>
          </w:tcPr>
          <w:p>
            <w:pPr>
              <w:jc w:val="right"/>
              <w:spacing w:after="0"/>
              <w:rPr>
                <w:sz w:val="20"/>
                <w:szCs w:val="20"/>
                <w:color w:val="auto"/>
              </w:rPr>
            </w:pPr>
            <w:r>
              <w:rPr>
                <w:rFonts w:ascii="Arial" w:cs="Arial" w:eastAsia="Arial" w:hAnsi="Arial"/>
                <w:sz w:val="15"/>
                <w:szCs w:val="15"/>
                <w:color w:val="auto"/>
              </w:rPr>
              <w:t>10.4%</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5,972,770</w:t>
            </w: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38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4,291,202</w:t>
            </w:r>
          </w:p>
        </w:tc>
        <w:tc>
          <w:tcPr>
            <w:tcW w:w="680" w:type="dxa"/>
            <w:vAlign w:val="bottom"/>
          </w:tcPr>
          <w:p>
            <w:pPr>
              <w:jc w:val="right"/>
              <w:spacing w:after="0"/>
              <w:rPr>
                <w:sz w:val="20"/>
                <w:szCs w:val="20"/>
                <w:color w:val="auto"/>
              </w:rPr>
            </w:pPr>
            <w:r>
              <w:rPr>
                <w:rFonts w:ascii="Arial" w:cs="Arial" w:eastAsia="Arial" w:hAnsi="Arial"/>
                <w:sz w:val="15"/>
                <w:szCs w:val="15"/>
                <w:color w:val="auto"/>
              </w:rPr>
              <w:t>7.1%</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4,151,506</w:t>
            </w:r>
          </w:p>
        </w:tc>
        <w:tc>
          <w:tcPr>
            <w:tcW w:w="700" w:type="dxa"/>
            <w:vAlign w:val="bottom"/>
          </w:tcPr>
          <w:p>
            <w:pPr>
              <w:jc w:val="right"/>
              <w:spacing w:after="0"/>
              <w:rPr>
                <w:sz w:val="20"/>
                <w:szCs w:val="20"/>
                <w:color w:val="auto"/>
              </w:rPr>
            </w:pPr>
            <w:r>
              <w:rPr>
                <w:rFonts w:ascii="Arial" w:cs="Arial" w:eastAsia="Arial" w:hAnsi="Arial"/>
                <w:sz w:val="15"/>
                <w:szCs w:val="15"/>
                <w:color w:val="auto"/>
              </w:rPr>
              <w:t>7.1%</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4,093,882</w:t>
            </w:r>
          </w:p>
        </w:tc>
        <w:tc>
          <w:tcPr>
            <w:tcW w:w="300" w:type="dxa"/>
            <w:vAlign w:val="bottom"/>
          </w:tcPr>
          <w:p>
            <w:pPr>
              <w:spacing w:after="0"/>
              <w:rPr>
                <w:sz w:val="24"/>
                <w:szCs w:val="24"/>
                <w:color w:val="auto"/>
              </w:rPr>
            </w:pPr>
          </w:p>
        </w:tc>
      </w:tr>
      <w:tr>
        <w:trPr>
          <w:trHeight w:val="86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21,994,281</w:t>
            </w:r>
          </w:p>
        </w:tc>
        <w:tc>
          <w:tcPr>
            <w:tcW w:w="680" w:type="dxa"/>
            <w:vAlign w:val="bottom"/>
          </w:tcPr>
          <w:p>
            <w:pPr>
              <w:jc w:val="right"/>
              <w:spacing w:after="0"/>
              <w:rPr>
                <w:sz w:val="20"/>
                <w:szCs w:val="20"/>
                <w:color w:val="auto"/>
              </w:rPr>
            </w:pPr>
            <w:r>
              <w:rPr>
                <w:rFonts w:ascii="Arial" w:cs="Arial" w:eastAsia="Arial" w:hAnsi="Arial"/>
                <w:sz w:val="15"/>
                <w:szCs w:val="15"/>
                <w:color w:val="auto"/>
              </w:rPr>
              <w:t>36.6%</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w w:val="98"/>
              </w:rPr>
              <w:t>21,299,157</w:t>
            </w:r>
          </w:p>
        </w:tc>
        <w:tc>
          <w:tcPr>
            <w:tcW w:w="700" w:type="dxa"/>
            <w:vAlign w:val="bottom"/>
          </w:tcPr>
          <w:p>
            <w:pPr>
              <w:jc w:val="right"/>
              <w:spacing w:after="0"/>
              <w:rPr>
                <w:sz w:val="20"/>
                <w:szCs w:val="20"/>
                <w:color w:val="auto"/>
              </w:rPr>
            </w:pPr>
            <w:r>
              <w:rPr>
                <w:rFonts w:ascii="Arial" w:cs="Arial" w:eastAsia="Arial" w:hAnsi="Arial"/>
                <w:sz w:val="15"/>
                <w:szCs w:val="15"/>
                <w:color w:val="auto"/>
              </w:rPr>
              <w:t>36.5%</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21,012,418</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486,827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486,827</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486,827</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228,200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228,200</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228,200</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467,503</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456,981</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452,641</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438,510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438,510</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438,510</w:t>
            </w:r>
          </w:p>
        </w:tc>
        <w:tc>
          <w:tcPr>
            <w:tcW w:w="300" w:type="dxa"/>
            <w:vAlign w:val="bottom"/>
          </w:tcPr>
          <w:p>
            <w:pPr>
              <w:spacing w:after="0"/>
              <w:rPr>
                <w:sz w:val="16"/>
                <w:szCs w:val="16"/>
                <w:color w:val="auto"/>
              </w:rPr>
            </w:pPr>
          </w:p>
        </w:tc>
      </w:tr>
      <w:tr>
        <w:trPr>
          <w:trHeight w:val="378"/>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4,291,202</w:t>
            </w:r>
          </w:p>
        </w:tc>
        <w:tc>
          <w:tcPr>
            <w:tcW w:w="680" w:type="dxa"/>
            <w:vAlign w:val="bottom"/>
          </w:tcPr>
          <w:p>
            <w:pPr>
              <w:jc w:val="right"/>
              <w:spacing w:after="0"/>
              <w:rPr>
                <w:sz w:val="20"/>
                <w:szCs w:val="20"/>
                <w:color w:val="auto"/>
              </w:rPr>
            </w:pPr>
            <w:r>
              <w:rPr>
                <w:rFonts w:ascii="Arial" w:cs="Arial" w:eastAsia="Arial" w:hAnsi="Arial"/>
                <w:sz w:val="15"/>
                <w:szCs w:val="15"/>
                <w:color w:val="auto"/>
              </w:rPr>
              <w:t>7.1%</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4,151,506</w:t>
            </w:r>
          </w:p>
        </w:tc>
        <w:tc>
          <w:tcPr>
            <w:tcW w:w="700" w:type="dxa"/>
            <w:vAlign w:val="bottom"/>
          </w:tcPr>
          <w:p>
            <w:pPr>
              <w:jc w:val="right"/>
              <w:spacing w:after="0"/>
              <w:rPr>
                <w:sz w:val="20"/>
                <w:szCs w:val="20"/>
                <w:color w:val="auto"/>
              </w:rPr>
            </w:pPr>
            <w:r>
              <w:rPr>
                <w:rFonts w:ascii="Arial" w:cs="Arial" w:eastAsia="Arial" w:hAnsi="Arial"/>
                <w:sz w:val="15"/>
                <w:szCs w:val="15"/>
                <w:color w:val="auto"/>
              </w:rPr>
              <w:t>7.1%</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4,093,882</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310,078</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310,078</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310,078</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44,463</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44,463</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44,463</w:t>
            </w:r>
          </w:p>
        </w:tc>
        <w:tc>
          <w:tcPr>
            <w:tcW w:w="300" w:type="dxa"/>
            <w:vAlign w:val="bottom"/>
          </w:tcPr>
          <w:p>
            <w:pPr>
              <w:spacing w:after="0"/>
              <w:rPr>
                <w:sz w:val="16"/>
                <w:szCs w:val="16"/>
                <w:color w:val="auto"/>
              </w:rPr>
            </w:pPr>
          </w:p>
        </w:tc>
      </w:tr>
      <w:tr>
        <w:trPr>
          <w:trHeight w:val="38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478,156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478,156</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478,156</w:t>
            </w:r>
          </w:p>
        </w:tc>
        <w:tc>
          <w:tcPr>
            <w:tcW w:w="300" w:type="dxa"/>
            <w:vAlign w:val="bottom"/>
          </w:tcPr>
          <w:p>
            <w:pPr>
              <w:spacing w:after="0"/>
              <w:rPr>
                <w:sz w:val="24"/>
                <w:szCs w:val="24"/>
                <w:color w:val="auto"/>
              </w:rPr>
            </w:pPr>
          </w:p>
        </w:tc>
      </w:tr>
      <w:tr>
        <w:trPr>
          <w:trHeight w:val="38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r>
      <w:tr>
        <w:trPr>
          <w:trHeight w:val="1051"/>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28,739,220</w:t>
            </w:r>
          </w:p>
        </w:tc>
        <w:tc>
          <w:tcPr>
            <w:tcW w:w="680" w:type="dxa"/>
            <w:vAlign w:val="bottom"/>
          </w:tcPr>
          <w:p>
            <w:pPr>
              <w:jc w:val="right"/>
              <w:spacing w:after="0"/>
              <w:rPr>
                <w:sz w:val="20"/>
                <w:szCs w:val="20"/>
                <w:color w:val="auto"/>
              </w:rPr>
            </w:pPr>
            <w:r>
              <w:rPr>
                <w:rFonts w:ascii="Arial" w:cs="Arial" w:eastAsia="Arial" w:hAnsi="Arial"/>
                <w:sz w:val="15"/>
                <w:szCs w:val="15"/>
                <w:color w:val="auto"/>
              </w:rPr>
              <w:t>47.8%</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w w:val="98"/>
              </w:rPr>
              <w:t>27,893,878</w:t>
            </w:r>
          </w:p>
        </w:tc>
        <w:tc>
          <w:tcPr>
            <w:tcW w:w="700" w:type="dxa"/>
            <w:vAlign w:val="bottom"/>
          </w:tcPr>
          <w:p>
            <w:pPr>
              <w:jc w:val="right"/>
              <w:spacing w:after="0"/>
              <w:rPr>
                <w:sz w:val="20"/>
                <w:szCs w:val="20"/>
                <w:color w:val="auto"/>
              </w:rPr>
            </w:pPr>
            <w:r>
              <w:rPr>
                <w:rFonts w:ascii="Arial" w:cs="Arial" w:eastAsia="Arial" w:hAnsi="Arial"/>
                <w:sz w:val="15"/>
                <w:szCs w:val="15"/>
                <w:color w:val="auto"/>
              </w:rPr>
              <w:t>47.9%</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27,545,175</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bl>
    <w:p>
      <w:pPr>
        <w:spacing w:after="0" w:line="166" w:lineRule="exact"/>
        <w:rPr>
          <w:sz w:val="20"/>
          <w:szCs w:val="20"/>
          <w:color w:val="auto"/>
        </w:rPr>
      </w:pPr>
    </w:p>
    <w:p>
      <w:pPr>
        <w:sectPr>
          <w:pgSz w:w="11900" w:h="16838" w:orient="portrait"/>
          <w:cols w:equalWidth="0" w:num="2">
            <w:col w:w="5780" w:space="480"/>
            <w:col w:w="5080"/>
          </w:cols>
          <w:pgMar w:left="320" w:top="440" w:right="239" w:bottom="1440" w:gutter="0" w:footer="0" w:header="0"/>
          <w:type w:val="continuous"/>
        </w:sectPr>
      </w:pPr>
    </w:p>
    <w:p>
      <w:pPr>
        <w:ind w:left="860" w:hanging="403"/>
        <w:spacing w:after="0"/>
        <w:tabs>
          <w:tab w:leader="none" w:pos="8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104" w:lineRule="exact"/>
        <w:rPr>
          <w:sz w:val="20"/>
          <w:szCs w:val="20"/>
          <w:color w:val="auto"/>
        </w:rPr>
      </w:pPr>
    </w:p>
    <w:p>
      <w:pPr>
        <w:ind w:left="860" w:right="760" w:hanging="403"/>
        <w:spacing w:after="0" w:line="241" w:lineRule="auto"/>
        <w:tabs>
          <w:tab w:leader="none" w:pos="86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Amount beneficially owned after this offering includes: (i) 16,955,510 shares of Class A common stock (or 16,720,160 assuming full exercise of the underwriters’ option) held by Advent International GPE IX Limited Partnership (“GPE-IX LP”); (ii) 3,359,809 shares of Class A common stock (or 3,313,174 assuming full exercise of the underwriters’ option) held by Advent</w:t>
      </w:r>
    </w:p>
    <w:p>
      <w:pPr>
        <w:spacing w:after="0" w:line="11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340"/>
          </w:cols>
          <w:pgMar w:left="320" w:top="440" w:right="239" w:bottom="1440" w:gutter="0" w:footer="0" w:header="0"/>
          <w:type w:val="continuous"/>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860"/>
        <w:spacing w:after="0" w:line="244" w:lineRule="auto"/>
        <w:rPr>
          <w:sz w:val="20"/>
          <w:szCs w:val="20"/>
          <w:color w:val="auto"/>
        </w:rPr>
      </w:pPr>
      <w:r>
        <w:rPr>
          <w:rFonts w:ascii="Arial" w:cs="Arial" w:eastAsia="Arial" w:hAnsi="Arial"/>
          <w:sz w:val="12"/>
          <w:szCs w:val="12"/>
          <w:color w:val="auto"/>
        </w:rPr>
        <w:t>International GPE IX-B Limited Partnership (“GPE IX-B LP”); (iii) 1,394,766 shares of Class A common stock (or 1,375,406 assuming full exercise of the underwriters’ option) held by Advent International GPE IX-C Limited Partnership (“GPE IX-C LP”); (iv) 1,463,380 shares of Class A common stock (or 1,443,068 assuming full exercise of the underwriters’ option) held by Advent International GPE IX-F Limited Partnership (“GPE IX-F LP”); (v) 4,815,226 shares of Class A common stock (or 4,748,389 assuming full exercise of the underwriters’ option) held by Advent International GPE IX-G Limited Partnership (“GPE IX-G LP”); (vi) 5,428,915 shares of Class A common stock (or 5,353,560 assuming full exercise of the underwriters’ option) held by Advent International GPE IX-H Limited Partnership (“GPE IX-H LP”); (vii) 3,075,053 shares of Class A common stock (or 3,032,370 assuming full exercise of the underwriters’ option) held by Advent International GPE IX-I Limited Partnership (“GPE IX-I LP”); (viii) 4,985,850 shares of Class A common stock (or 4,916,645 assuming full exercise of the underwriters’ option) held by Advent International GPE IX-A SCSP (“GPE IX-A SCSP”); (ix) 1,061,241 shares of Class A common stock (or 1,046,511 assuming full exercise of the underwriters’ option) held by Advent International GPE IX-D SCSP (“GPE IX-D SCSP”); (x) 2,156,723 shares of Class A common stock (or 2,126,787 assuming full exercise of the underwriters’ option) held by Advent International GPE IX-E SCSP (“GPE IX-E SCSP”); (xi) 97,427 shares of Class A common stock (or 96,075 assuming full exercise of the underwriters’ option) held by Advent Partners GPE IX Strategic Investors SCSP (“GPE IX Strategic Investors SCSP”); (xii) 55,642 shares of Class A common stock (or 54,870 assuming full exercise of the underwriters’ option) held by Advent Partners GPE IX Limited Partnership (“AP GPE IX LP”); (xiii) 128,669 shares of Class A common stock (or 126,883 assuming full exercise of the underwriters’ option) held by Advent Partners GPE IX-A Limited Partnership (“AP GPE IX-A LP”); (xiv) 321,070 shares of Class A common stock (or 316,613 assuming full exercise of the underwriters’ option) held by Advent Partners GPE IX Cayman Limited Partnership (“AP GPE IX Cayman LP”); (xv) 54,121 shares of Class A common stock (or 53,370 assuming full exercise of the underwriters’ option) held by Advent Partners GPE IX Cayman Limited Partnership (“AP GPE IX-A Cayman LP”); (xvi) 898,507 shares of Class A common stock (or 886,035 assuming full exercise of the underwriters’ option) held by Advent Partners GPE IX-B Cayman Limited Partnership (“AP GPE IX-B Cayman LP”); (xvii) 3,818,770 shares of Class A common stock (or 3,765,764 assuming full exercise of the underwriters’ option) held by Advent Global Technology Limited Partnership (“Global Technology LP”); (xviii) 2,971,879 shares of Class A common stock (or 2,930,628 assuming full exercise of the underwriters’ option) held by Advent Global Technology-B Limited Partnership (“Global Technology-B LP”); (xix) 1,609,070 shares of Class A common stock (or 1,586,735 assuming full exercise of the underwriters’ option) held by Advent Global Technology-C Limited Partnership (“Global Technology-C LP”); (xx) 1,926,387 shares of Class A common stock (or 1,899,648 assuming full exercise of the underwriters’ option) held by Advent Global Technology-D Limited Partnership (“Global Technology-D LP”); (xxi) 1,885,069 shares of Class A common stock (or 1,858,904 assuming full exercise of the underwriters’ option) held by Advent Global Technology-A SCSP (“Global Technology-A SCSP”); (xxii) 5,990 shares of Class A common stock (or 5,907 assuming full exercise of the underwriters’ option) held by Advent Partners AGT Limited Partnership (“AGT LP”); (xxiii) 27,373 shares of Class A common stock (or 26,993 assuming full exercise of the underwriters’ option) held by Advent Partners AGT-A Limited Partnership (“AGT-A LP”); (xxiv) 342,900 shares of Class A common stock (or 338,140 assuming full exercise of the underwriters’ option) held by Advent Partners AGT Cayman Limited Partnership (“AGT Cayman LP”); (xxv) 30,542 shares of Class A common stock (or 30,118 assuming full exercise of the underwriters’ option) held by Advent Global Technology Strategic Investors Limited Partnership (“AGT Strategic Investors LP”); and (xxvi) 3,623,787 shares of Class A common stock (or 3,573,487 assuming full exercise of the underwriters’ option) held by Sunley House Capital Master Limited Partnership (“Sunley House Master Fund”).</w:t>
      </w:r>
    </w:p>
    <w:p>
      <w:pPr>
        <w:spacing w:after="0" w:line="228" w:lineRule="exact"/>
        <w:rPr>
          <w:sz w:val="20"/>
          <w:szCs w:val="20"/>
          <w:color w:val="auto"/>
        </w:rPr>
      </w:pPr>
    </w:p>
    <w:p>
      <w:pPr>
        <w:ind w:left="860"/>
        <w:spacing w:after="0" w:line="246" w:lineRule="auto"/>
        <w:rPr>
          <w:sz w:val="20"/>
          <w:szCs w:val="20"/>
          <w:color w:val="auto"/>
        </w:rPr>
      </w:pPr>
      <w:r>
        <w:rPr>
          <w:rFonts w:ascii="Arial" w:cs="Arial" w:eastAsia="Arial" w:hAnsi="Arial"/>
          <w:sz w:val="12"/>
          <w:szCs w:val="12"/>
          <w:color w:val="auto"/>
        </w:rPr>
        <w:t>GPE IX GP Limited Partnership is the general partner of GPE-IX LP, GPE IX-B LP, GPE IX-C LP, GPE IX-F LP, GPE IX-G LP, GPE IX-H LP and GPE IX-I LP. AP GPE IX GP Limited Partnership is the general partner of AP GPE IX LP, AP GPE IX-A LP, AP GPE IX Cayman LP, AP GPE IX-A Cayman LP and AP GPE IX-B Cayman LP. GPE IX GP S.a’r.l. is the general partner of GPE IX-A SCSP, GPE IX-D SCSP, GPE IX-E SCSP and GPE IX Strategic Investors SCSP. Advent Global Technology GP Limited Partnership is the general partner of Global Technology LP, Global Technology-B LP, Global Technology-C LP and Global Technology-D LP. Advent Global Technology GP S.a’r.l.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S.a’r.l. Advent Global Technology LLC is the general partner of Advent Global Technology GP Limited Partnership, Advent Global Technology GP S.a’r.l.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International Corporation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 Voting and investment decisions by Advent International Corporation are made by a number of individuals currently comprised of John L. Maldonado, David M. McKenna and David M. Mussafer. The address of each of the entities and individuals named in this footnote is c/o Advent International Corporation, Prudential Tower, 800 Boylston St., Suite 3300, Boston, MA 02199.</w:t>
      </w:r>
    </w:p>
    <w:p>
      <w:pPr>
        <w:spacing w:after="0" w:line="80" w:lineRule="exact"/>
        <w:rPr>
          <w:sz w:val="20"/>
          <w:szCs w:val="20"/>
          <w:color w:val="auto"/>
        </w:rPr>
      </w:pPr>
    </w:p>
    <w:p>
      <w:pPr>
        <w:ind w:left="860" w:right="40" w:hanging="403"/>
        <w:spacing w:after="0" w:line="250" w:lineRule="auto"/>
        <w:tabs>
          <w:tab w:leader="none" w:pos="86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(i) 26,747,318 shares of Class B common stock (or 26,376,055 assuming full exercise of the underwriters’ option) held directly by SE VII DHC AIV, L.P.; (ii) 2,791,929 shares of Class A common stock (or 2,753,176 assuming full exercise of the underwriters’ option) held directly by SE VII DHC AIV Feeder, L.P.; (iii) 38,865 shares of Class B common stock (or 38,326 assuming full exercise of the underwriters’ option) held directly by Spectrum VII Investment Managers’ Fund, L.P.; and (iv) 22,703 shares of Class B common stock (or 22,388 assuming full exercise of the underwriters’ option) held directly by Spectrum VII Co-Investment Fund, L.P. collectively the “Spectrum Funds”. SEA VII Management, LLC is the general partner of Spectrum Equity Associates VII, L.P., which in turn is the general partner of the Spectrum Funds. Chris Mitchell, a member of our board of directors, is one of nine managing directors of SEA VII, Management, LLC. Mr. Mitchell and the other managing directors may be deemed to share voting and dispositive over the shares held by the Spectrum Funds. Mr. Mitchell and these other individuals disclaims beneficial ownership of any of the shares held by the Spectrum Funds, except to the extent of their pecuniary interest. The address for each of these entities is 140 New Montgomery Street, 20th Floor, San Francisco, CA 94105.</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780"/>
          </w:cols>
          <w:pgMar w:left="320" w:top="440" w:right="79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860" w:right="40" w:hanging="403"/>
        <w:spacing w:after="0" w:line="260" w:lineRule="auto"/>
        <w:tabs>
          <w:tab w:leader="none" w:pos="8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Amount beneficially owned following this offering includes 756,479 shares of Class B common stock owned by Jason Krantz and 21,134,491 shares of Class B common stock owned in trust by DH Holdings, of which Jason Krantz is the beneficiary.</w:t>
      </w:r>
    </w:p>
    <w:p>
      <w:pPr>
        <w:spacing w:after="0" w:line="68" w:lineRule="exact"/>
        <w:rPr>
          <w:rFonts w:ascii="Arial" w:cs="Arial" w:eastAsia="Arial" w:hAnsi="Arial"/>
          <w:sz w:val="13"/>
          <w:szCs w:val="13"/>
          <w:color w:val="auto"/>
        </w:rPr>
      </w:pPr>
    </w:p>
    <w:p>
      <w:pPr>
        <w:ind w:left="860" w:right="20" w:hanging="403"/>
        <w:spacing w:after="0" w:line="231" w:lineRule="auto"/>
        <w:tabs>
          <w:tab w:leader="none" w:pos="8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Amount beneficially owned following this offering includes: (i) 4,139,267 shares of Class B common stock (or 4,081,813 assuming full exercise of the underwriters’ option) held directly by 22C Capital I, L.P.; (ii) 520,927 shares of Class A common stock (or 513,696 assuming full exercise of the underwriters’ option) held directly by 22C Capital I-A, L.P.; and (iii) 12,239 shares of Class B common stock (or 12,069 assuming full exercise of the underwriters’ option) held directly by 22C AIDH AIV LLC. 22C Capital GP I, L.L.C. is the general partner of each of 22C Capital I, L.P. and 22C Capital I-A, L.P., and is the sole member of 22C AIDH AIV LLC. 22C Capital GP I MM LLC is the managing member of 22C Capital GP I, L.L.C. Eric Edell and D. Randall Winn are co-members of 22C Capital GP I MM LLC and, in such capacities, exercise voting or investment power over the shares of Class A common stock and Class B common stock held directly by 22C Capital I, L.P., 22C Capital IA, L.P. and 22C AIDH AIV LLC. The address of all entities referred to above is c/o 22C Capital LLC, 7900 Glades Road, Suite 540, Boca Raton, FL 33434.</w:t>
      </w:r>
    </w:p>
    <w:p>
      <w:pPr>
        <w:spacing w:after="0" w:line="81" w:lineRule="exact"/>
        <w:rPr>
          <w:rFonts w:ascii="Arial" w:cs="Arial" w:eastAsia="Arial" w:hAnsi="Arial"/>
          <w:sz w:val="13"/>
          <w:szCs w:val="13"/>
          <w:color w:val="auto"/>
        </w:rPr>
      </w:pPr>
    </w:p>
    <w:p>
      <w:pPr>
        <w:ind w:left="860" w:right="60" w:hanging="403"/>
        <w:spacing w:after="0" w:line="260" w:lineRule="auto"/>
        <w:tabs>
          <w:tab w:leader="none" w:pos="8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Excludes shares of Class A common stock and Class B common Stock held by the Spectrum Funds, as disclosed in footnote (2) above. Mr. Mitchell disclaims beneficial ownership of the shares of Class A common stock and Class B common stock held by the Spectrum Funds except to the extent of his pecuniary interest therein.</w:t>
      </w:r>
    </w:p>
    <w:p>
      <w:pPr>
        <w:spacing w:after="0" w:line="68" w:lineRule="exact"/>
        <w:rPr>
          <w:rFonts w:ascii="Arial" w:cs="Arial" w:eastAsia="Arial" w:hAnsi="Arial"/>
          <w:sz w:val="13"/>
          <w:szCs w:val="13"/>
          <w:color w:val="auto"/>
        </w:rPr>
      </w:pPr>
    </w:p>
    <w:p>
      <w:pPr>
        <w:ind w:left="860" w:right="20" w:hanging="403"/>
        <w:spacing w:after="0" w:line="260" w:lineRule="auto"/>
        <w:tabs>
          <w:tab w:leader="none" w:pos="8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Excludes shares of Class A common stock held by Advent. Each of Mr. Egan and Ms. Young disclaim beneficial ownership of the shares of Class A common stock held by the Advent Funds except to the extent of their respective pecuniary interest therein.</w:t>
      </w:r>
    </w:p>
    <w:p>
      <w:pPr>
        <w:spacing w:after="0" w:line="68" w:lineRule="exact"/>
        <w:rPr>
          <w:rFonts w:ascii="Arial" w:cs="Arial" w:eastAsia="Arial" w:hAnsi="Arial"/>
          <w:sz w:val="13"/>
          <w:szCs w:val="13"/>
          <w:color w:val="auto"/>
        </w:rPr>
      </w:pPr>
    </w:p>
    <w:p>
      <w:pPr>
        <w:ind w:left="860" w:right="100" w:hanging="403"/>
        <w:spacing w:after="0" w:line="241" w:lineRule="auto"/>
        <w:tabs>
          <w:tab w:leader="none" w:pos="8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Amount beneficially owned following this offering includes the 520,927 shares of Class A common stock and 4,151,506 shares of Class B common stock beneficially owned by 22C Capital, as disclosed in footnote 4 above. Mr. Winn may be deemed to exercise voting and investment power over the shares of Class A common stock and Class B common stock beneficially owned by 22C Capital.</w:t>
      </w:r>
    </w:p>
    <w:p>
      <w:pPr>
        <w:spacing w:after="0" w:line="81" w:lineRule="exact"/>
        <w:rPr>
          <w:rFonts w:ascii="Arial" w:cs="Arial" w:eastAsia="Arial" w:hAnsi="Arial"/>
          <w:sz w:val="13"/>
          <w:szCs w:val="13"/>
          <w:color w:val="auto"/>
        </w:rPr>
      </w:pPr>
    </w:p>
    <w:p>
      <w:pPr>
        <w:ind w:left="860" w:hanging="403"/>
        <w:spacing w:after="0" w:line="236" w:lineRule="auto"/>
        <w:tabs>
          <w:tab w:leader="none" w:pos="8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Represents shares owned by Robert Musslewhite 2014 Family Trust. Excludes 433,550 shares of Class A common stock in the form of restricted stock units which will vest 25% on the one year anniversary of the grant, followed by quarterly vesting of 6.25% until fully vested over the subsequent three years and 216,450 shares of Class A common stock in the form of restricted stock units, 33% of which will vest on the one-year anniversary of the grant followed by quarterly vesting of 8.33% per quarter until fully vested over the subsequent two years.</w:t>
      </w:r>
    </w:p>
    <w:p>
      <w:pPr>
        <w:spacing w:after="0" w:line="83" w:lineRule="exact"/>
        <w:rPr>
          <w:rFonts w:ascii="Arial" w:cs="Arial" w:eastAsia="Arial" w:hAnsi="Arial"/>
          <w:sz w:val="13"/>
          <w:szCs w:val="13"/>
          <w:color w:val="auto"/>
        </w:rPr>
      </w:pPr>
    </w:p>
    <w:p>
      <w:pPr>
        <w:ind w:left="860" w:right="20" w:hanging="403"/>
        <w:spacing w:after="0" w:line="241" w:lineRule="auto"/>
        <w:tabs>
          <w:tab w:leader="none" w:pos="8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Excludes (i) 6,737 shares of Class A common stock in the form of restricted stock units of which 33% will vest on each anniversary of Ms. Winters’ service as a member of the Board, starting on the first anniversary and (ii) an annual equity award of $175,000 ($122,776 for the initial annual grant) in shares of Class A common stock in the form of restricted stock units.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760"/>
          </w:cols>
          <w:pgMar w:left="320" w:top="440" w:right="81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4"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360" w:hanging="498"/>
        <w:spacing w:after="0"/>
        <w:tabs>
          <w:tab w:leader="none" w:pos="13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21" w:lineRule="exact"/>
        <w:rPr>
          <w:rFonts w:ascii="Arial" w:cs="Arial" w:eastAsia="Arial" w:hAnsi="Arial"/>
          <w:sz w:val="17"/>
          <w:szCs w:val="17"/>
          <w:color w:val="auto"/>
        </w:rPr>
      </w:pPr>
    </w:p>
    <w:p>
      <w:pPr>
        <w:ind w:left="1360" w:right="160" w:hanging="498"/>
        <w:spacing w:after="0" w:line="272" w:lineRule="auto"/>
        <w:tabs>
          <w:tab w:leader="none" w:pos="13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holders of more than 5% of any class of our capital stock had or will have a direct or indirect material interest.</w:t>
      </w:r>
    </w:p>
    <w:p>
      <w:pPr>
        <w:spacing w:after="0" w:line="165"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Reorganization Agreement</w:t>
      </w:r>
    </w:p>
    <w:p>
      <w:pPr>
        <w:spacing w:after="0" w:line="112"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In connection with the Reorganization Transactions, we entered into a reorganization agreement and related agreements with Definitive OpCo and certain Unitholders, in order to effect the Reorganization Transactions.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reimbursed $1.05 million in aggregate expenses incurred by our Sponsors in connection with the Reorganization Transactions.</w:t>
      </w:r>
    </w:p>
    <w:p>
      <w:pPr>
        <w:spacing w:after="0" w:line="210" w:lineRule="exact"/>
        <w:rPr>
          <w:sz w:val="20"/>
          <w:szCs w:val="20"/>
          <w:color w:val="auto"/>
        </w:rPr>
      </w:pPr>
    </w:p>
    <w:p>
      <w:pPr>
        <w:ind w:left="460" w:right="3040" w:firstLine="413"/>
        <w:spacing w:after="0" w:line="272" w:lineRule="auto"/>
        <w:rPr>
          <w:sz w:val="20"/>
          <w:szCs w:val="20"/>
          <w:color w:val="auto"/>
        </w:rPr>
      </w:pPr>
      <w:r>
        <w:rPr>
          <w:rFonts w:ascii="Arial" w:cs="Arial" w:eastAsia="Arial" w:hAnsi="Arial"/>
          <w:sz w:val="17"/>
          <w:szCs w:val="17"/>
          <w:color w:val="auto"/>
        </w:rPr>
        <w:t>The table below sets forth the consideration in LLC Units and Class B common stock received by our directors, officers and 5% equity holders in the Reorganization Transactions:</w:t>
      </w:r>
    </w:p>
    <w:p>
      <w:pPr>
        <w:spacing w:after="0" w:line="172"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960" w:type="dxa"/>
            <w:vAlign w:val="bottom"/>
            <w:gridSpan w:val="3"/>
          </w:tcPr>
          <w:p>
            <w:pPr>
              <w:jc w:val="center"/>
              <w:ind w:left="1419"/>
              <w:spacing w:after="0"/>
              <w:rPr>
                <w:sz w:val="20"/>
                <w:szCs w:val="20"/>
                <w:color w:val="auto"/>
              </w:rPr>
            </w:pPr>
            <w:r>
              <w:rPr>
                <w:rFonts w:ascii="Arial" w:cs="Arial" w:eastAsia="Arial" w:hAnsi="Arial"/>
                <w:sz w:val="13"/>
                <w:szCs w:val="13"/>
                <w:b w:val="1"/>
                <w:bCs w:val="1"/>
                <w:color w:val="auto"/>
                <w:w w:val="91"/>
              </w:rPr>
              <w:t>Class B Common Stock</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4"/>
              </w:rPr>
              <w:t>and LLC Units Issued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3"/>
              </w:rPr>
              <w:t>in the Reorganization</w:t>
            </w:r>
          </w:p>
        </w:tc>
        <w:tc>
          <w:tcPr>
            <w:tcW w:w="0" w:type="dxa"/>
            <w:vAlign w:val="bottom"/>
          </w:tcPr>
          <w:p>
            <w:pPr>
              <w:spacing w:after="0"/>
              <w:rPr>
                <w:sz w:val="1"/>
                <w:szCs w:val="1"/>
                <w:color w:val="auto"/>
              </w:rPr>
            </w:pPr>
          </w:p>
        </w:tc>
      </w:tr>
      <w:tr>
        <w:trPr>
          <w:trHeight w:val="160"/>
        </w:trPr>
        <w:tc>
          <w:tcPr>
            <w:tcW w:w="5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156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19"/>
        </w:trPr>
        <w:tc>
          <w:tcPr>
            <w:tcW w:w="572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Number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70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Affiliates of Advent and certain other minority equity holders</w:t>
            </w:r>
          </w:p>
        </w:tc>
        <w:tc>
          <w:tcPr>
            <w:tcW w:w="15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Affiliates of Spectrum Equity</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28,352,972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Jason Krantz</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21,994,281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AIDH Management Holdings, LLC</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6,098,909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Affiliates of 22C Capital</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4,390,661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Amended Definitive OpCo Agreement</w:t>
      </w:r>
    </w:p>
    <w:p>
      <w:pPr>
        <w:spacing w:after="0" w:line="112" w:lineRule="exact"/>
        <w:rPr>
          <w:sz w:val="20"/>
          <w:szCs w:val="20"/>
          <w:color w:val="auto"/>
        </w:rPr>
      </w:pPr>
    </w:p>
    <w:p>
      <w:pPr>
        <w:ind w:left="460" w:right="200" w:firstLine="413"/>
        <w:spacing w:after="0" w:line="253" w:lineRule="auto"/>
        <w:rPr>
          <w:sz w:val="20"/>
          <w:szCs w:val="20"/>
          <w:color w:val="auto"/>
        </w:rPr>
      </w:pPr>
      <w:r>
        <w:rPr>
          <w:rFonts w:ascii="Arial" w:cs="Arial" w:eastAsia="Arial" w:hAnsi="Arial"/>
          <w:sz w:val="17"/>
          <w:szCs w:val="17"/>
          <w:color w:val="auto"/>
        </w:rPr>
        <w:t>In accordance with the terms of the Amended LLC Agreement, we operate our business through Definitive OpCo. Pursuant to the terms of the Amended LLC Agreement we entered into in connection with our IPO, so long as the Unitholders continue to own any LLC Units or securities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182" w:lineRule="exact"/>
        <w:rPr>
          <w:sz w:val="20"/>
          <w:szCs w:val="20"/>
          <w:color w:val="auto"/>
        </w:rPr>
      </w:pPr>
    </w:p>
    <w:p>
      <w:pPr>
        <w:ind w:left="460" w:right="260" w:firstLine="413"/>
        <w:spacing w:after="0" w:line="277" w:lineRule="auto"/>
        <w:rPr>
          <w:sz w:val="20"/>
          <w:szCs w:val="20"/>
          <w:color w:val="auto"/>
        </w:rPr>
      </w:pPr>
      <w:r>
        <w:rPr>
          <w:rFonts w:ascii="Arial" w:cs="Arial" w:eastAsia="Arial" w:hAnsi="Arial"/>
          <w:sz w:val="16"/>
          <w:szCs w:val="16"/>
          <w:color w:val="auto"/>
        </w:rPr>
        <w:t>As the sole managing member of Definitive OpCo, we have control over all of the affairs and decision making of Definitive OpCo. As such, through our officers and directors, we are responsible for all operational and administrative decisions of Definitive OpCo and the day-to-day management of Definitive OpCo’s business. We will fund any dividends to our stockholders by causing Definitive OpCo to make distributions to the Unitholders and us, subject to the limitations imposed by our debt agreements. See “Dividend Policy.”</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780"/>
          </w:cols>
          <w:pgMar w:left="320" w:top="440" w:right="79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The holders of LLC Units generally incur U.S. federal, state and local income taxes on their proportionate share of any taxable income of Definitive OpCo. Net profits and net losses of Definitive OpCo are generally allocated to its members pro rata in accordance with the percentages of their respective ownership of LLC Units, except as otherwise required by law. The Amended LLC Agreement provides for pro rata cash distributions to the holders of LLC Units for purposes of funding their tax obligations in respect of the taxable income of Definitive OpCo that is allocated to them. Generally, these tax distributions are computed based on our estimate of the taxable income of Definitive OpCo allocable to the holder of LLC Units that receives the greatest proportionate allocation of income multiplied by an assumed tax rate equal to the highest effective marginal combined U.S. federal, state and local income tax rate prescribed for an individual or corporate resident of New York, NY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w:t>
      </w:r>
    </w:p>
    <w:p>
      <w:pPr>
        <w:spacing w:after="0" w:line="171" w:lineRule="exact"/>
        <w:rPr>
          <w:sz w:val="20"/>
          <w:szCs w:val="20"/>
          <w:color w:val="auto"/>
        </w:rPr>
      </w:pPr>
    </w:p>
    <w:p>
      <w:pPr>
        <w:ind w:left="460" w:right="140" w:firstLine="413"/>
        <w:spacing w:after="0" w:line="267" w:lineRule="auto"/>
        <w:rPr>
          <w:sz w:val="20"/>
          <w:szCs w:val="20"/>
          <w:color w:val="auto"/>
        </w:rPr>
      </w:pPr>
      <w:r>
        <w:rPr>
          <w:rFonts w:ascii="Arial" w:cs="Arial" w:eastAsia="Arial" w:hAnsi="Arial"/>
          <w:sz w:val="16"/>
          <w:szCs w:val="16"/>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Unitholders or any other person, we will issue an equal number of shares of our Class B common stock to such Unitholders or any other person.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74" w:lineRule="exact"/>
        <w:rPr>
          <w:sz w:val="20"/>
          <w:szCs w:val="20"/>
          <w:color w:val="auto"/>
        </w:rPr>
      </w:pPr>
    </w:p>
    <w:p>
      <w:pPr>
        <w:ind w:left="460" w:right="20" w:firstLine="413"/>
        <w:spacing w:after="0" w:line="267" w:lineRule="auto"/>
        <w:rPr>
          <w:sz w:val="20"/>
          <w:szCs w:val="20"/>
          <w:color w:val="auto"/>
        </w:rPr>
      </w:pPr>
      <w:r>
        <w:rPr>
          <w:rFonts w:ascii="Arial" w:cs="Arial" w:eastAsia="Arial" w:hAnsi="Arial"/>
          <w:sz w:val="16"/>
          <w:szCs w:val="16"/>
          <w:color w:val="auto"/>
        </w:rPr>
        <w:t>Under our Amended LLC Agreement, the holders of LLC Units (other than us) have the right to require Definitive OpCo to redeem or exchange all or a portion of their LLC Units for newly-issued shares of Class A common stock, which may consist of unregistered shares, on a one-for-one basis (subject to customary adjustments, including for stock splits, stock dividends and reclassifications).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holders of LLC Units. Definitive OpCo will then distribute the shares of our Class A common stock to such holder of an LLC Unit to complete the exchange. In the event of an exchange request by a holder of an LLC Unit, we may at our option effect a direct exchange of Class A common stock for LLC Units in lieu of such exchange.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an exchange request of a holder of an LLC Unit, exchange LLC Units of such holder pursuant to the terms of the Amended LLC Agreement. The holders of vested equity in AIDH Management Holdings, LLC will have the right, pursuant to the terms of the amended and restated limited liability company agreement of AIDH Management Holdings, LLC, to cause Definitive OpCo to redeem or exchange their vested equity for newly</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800"/>
          </w:cols>
          <w:pgMar w:left="320" w:top="440" w:right="77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issued shares of Class A common stock on a one-for-one basis pursuant to the terms of the Amended LLC Agreement.</w:t>
      </w:r>
    </w:p>
    <w:p>
      <w:pPr>
        <w:spacing w:after="0" w:line="210" w:lineRule="exact"/>
        <w:rPr>
          <w:sz w:val="20"/>
          <w:szCs w:val="20"/>
          <w:color w:val="auto"/>
        </w:rPr>
      </w:pPr>
    </w:p>
    <w:p>
      <w:pPr>
        <w:ind w:left="460" w:right="100" w:firstLine="413"/>
        <w:spacing w:after="0" w:line="291" w:lineRule="auto"/>
        <w:rPr>
          <w:sz w:val="20"/>
          <w:szCs w:val="20"/>
          <w:color w:val="auto"/>
        </w:rPr>
      </w:pPr>
      <w:r>
        <w:rPr>
          <w:rFonts w:ascii="Arial" w:cs="Arial" w:eastAsia="Arial" w:hAnsi="Arial"/>
          <w:sz w:val="15"/>
          <w:szCs w:val="15"/>
          <w:color w:val="auto"/>
        </w:rPr>
        <w:t>The Amended LLC Agreement provides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exchange LLC Units.</w:t>
      </w:r>
    </w:p>
    <w:p>
      <w:pPr>
        <w:spacing w:after="0" w:line="157"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The Amended LLC Agreement provides that, except for transfers to us as provided above or to certain permitted transferees, the LLC Units and shares of Class B common stock may not be sold, transferred or otherwise disposed of.</w:t>
      </w:r>
    </w:p>
    <w:p>
      <w:pPr>
        <w:spacing w:after="0" w:line="165" w:lineRule="exact"/>
        <w:rPr>
          <w:sz w:val="20"/>
          <w:szCs w:val="20"/>
          <w:color w:val="auto"/>
        </w:rPr>
      </w:pPr>
    </w:p>
    <w:p>
      <w:pPr>
        <w:ind w:left="460" w:right="200" w:firstLine="413"/>
        <w:spacing w:after="0" w:line="284" w:lineRule="auto"/>
        <w:rPr>
          <w:sz w:val="20"/>
          <w:szCs w:val="20"/>
          <w:color w:val="auto"/>
        </w:rPr>
      </w:pPr>
      <w:r>
        <w:rPr>
          <w:rFonts w:ascii="Arial" w:cs="Arial" w:eastAsia="Arial" w:hAnsi="Arial"/>
          <w:sz w:val="16"/>
          <w:szCs w:val="16"/>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57"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6"/>
          <w:szCs w:val="16"/>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Tax Receivable Agreement</w:t>
      </w:r>
    </w:p>
    <w:p>
      <w:pPr>
        <w:spacing w:after="0" w:line="112" w:lineRule="exact"/>
        <w:rPr>
          <w:sz w:val="20"/>
          <w:szCs w:val="20"/>
          <w:color w:val="auto"/>
        </w:rPr>
      </w:pPr>
    </w:p>
    <w:p>
      <w:pPr>
        <w:ind w:left="460" w:right="80" w:firstLine="413"/>
        <w:spacing w:after="0" w:line="253" w:lineRule="auto"/>
        <w:rPr>
          <w:sz w:val="20"/>
          <w:szCs w:val="20"/>
          <w:color w:val="auto"/>
        </w:rPr>
      </w:pPr>
      <w:r>
        <w:rPr>
          <w:rFonts w:ascii="Arial" w:cs="Arial" w:eastAsia="Arial" w:hAnsi="Arial"/>
          <w:sz w:val="17"/>
          <w:szCs w:val="17"/>
          <w:color w:val="auto"/>
        </w:rPr>
        <w:t>As described under “Prospectus Summary—Organizational Structure,” we acquired certain favorable tax attributes from the Blocker Companies in the Reorganization Transactions and certain tax basis adjustments resulting from the acquisition of LLC Units from Unitholders in connection with the IPO. In addition, the acquisition of LLC Units from Unitholders in connection with this offering and future exchanges by Unitholders of LLC Units for shares of our Class A common stock or other consideration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82"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connection with the IPO, we entered into a Tax Receivable Agreement with the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 Definitive OpCo intends to have in effect an election under Section 754 of the Code effective for each taxable year in which an exchange (including deemed exchange) of LLC Units for Class A common stock occurs. The payment obligations under the Tax Receivable Agreement are our obligations and not the obligations of Definitive OpCo.</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780"/>
          </w:cols>
          <w:pgMar w:left="320" w:top="440" w:right="79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We expect that the payments we will be required to make under the Tax Receivable Agreement will be substantial. Assuming no material changes in relevant tax law and that we earn sufficient taxable income to realize all tax benefits that are subject to the Tax Receivable Agreement, the tax savings associated with all tax attributes described above would aggregate to approximately $1,023.0 million over 15 years from the date of the completion of this offering, based on a public offering price, net of underwriters discounts, of $34.74 per share of Class A common stock, and assuming (i) all future exchanges and the exchanges in this offering would occur at such price on the date of this offering, and (ii) based on relevant fair market value and facts for any historical exchanges. Under this scenario, we would be required to pay the TRA Parties approximately 85% of such amount, or $869.6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after this offering.</w:t>
      </w:r>
    </w:p>
    <w:p>
      <w:pPr>
        <w:spacing w:after="0" w:line="176" w:lineRule="exact"/>
        <w:rPr>
          <w:sz w:val="20"/>
          <w:szCs w:val="20"/>
          <w:color w:val="auto"/>
        </w:rPr>
      </w:pPr>
    </w:p>
    <w:p>
      <w:pPr>
        <w:ind w:left="460" w:right="40" w:firstLine="413"/>
        <w:spacing w:after="0" w:line="285" w:lineRule="auto"/>
        <w:rPr>
          <w:sz w:val="20"/>
          <w:szCs w:val="20"/>
          <w:color w:val="auto"/>
        </w:rPr>
      </w:pPr>
      <w:r>
        <w:rPr>
          <w:rFonts w:ascii="Arial" w:cs="Arial" w:eastAsia="Arial" w:hAnsi="Arial"/>
          <w:sz w:val="15"/>
          <w:szCs w:val="15"/>
          <w:color w:val="auto"/>
        </w:rPr>
        <w:t>Payments under the Tax Receivable Agreement will be based on the tax reporting positions we determine, and the IRS or another taxing authority may challenge all or a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benefits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stockholders.</w:t>
      </w:r>
    </w:p>
    <w:p>
      <w:pPr>
        <w:spacing w:after="0" w:line="163" w:lineRule="exact"/>
        <w:rPr>
          <w:sz w:val="20"/>
          <w:szCs w:val="20"/>
          <w:color w:val="auto"/>
        </w:rPr>
      </w:pPr>
    </w:p>
    <w:p>
      <w:pPr>
        <w:ind w:left="460" w:right="20" w:firstLine="413"/>
        <w:spacing w:after="0" w:line="296" w:lineRule="auto"/>
        <w:rPr>
          <w:sz w:val="20"/>
          <w:szCs w:val="20"/>
          <w:color w:val="auto"/>
        </w:rPr>
      </w:pPr>
      <w:r>
        <w:rPr>
          <w:rFonts w:ascii="Arial" w:cs="Arial" w:eastAsia="Arial" w:hAnsi="Arial"/>
          <w:sz w:val="15"/>
          <w:szCs w:val="15"/>
          <w:color w:val="auto"/>
        </w:rPr>
        <w:t>Finally, because we are a holding company with no operations of our own, our ability to make payments under the Tax Receivable Agreement depends on the ability of Definitive OpCo to make distributions to us. To the extent that we are unable to make payments under the Tax Receivable Agreement for any reason, such payments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8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760"/>
          </w:cols>
          <w:pgMar w:left="320" w:top="440" w:right="8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Nominating Agreement</w:t>
      </w:r>
      <w:r>
        <w:rPr>
          <w:rFonts w:ascii="Arial" w:cs="Arial" w:eastAsia="Arial" w:hAnsi="Arial"/>
          <w:sz w:val="17"/>
          <w:szCs w:val="17"/>
          <w:color w:val="auto"/>
        </w:rPr>
        <w:t>s</w:t>
      </w:r>
    </w:p>
    <w:p>
      <w:pPr>
        <w:spacing w:after="0" w:line="112"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We entered into nominating agreements, pursuant to which (a) Advent and its affiliates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Registration Rights Agreement</w:t>
      </w:r>
    </w:p>
    <w:p>
      <w:pPr>
        <w:spacing w:after="0" w:line="112"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In connection with the IPO, we entered into a registration rights agreement with certain of the Unitholders and affiliates of Advent, affiliates of Spectrum Equity, Jason Krantz, AIDH Management Holdings, LLC and affiliates of 22C Capital.</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Samuel Allen Hamood Trust U/A 8/27/2010</w:t>
      </w:r>
    </w:p>
    <w:p>
      <w:pPr>
        <w:spacing w:after="0" w:line="112" w:lineRule="exact"/>
        <w:rPr>
          <w:sz w:val="20"/>
          <w:szCs w:val="20"/>
          <w:color w:val="auto"/>
        </w:rPr>
      </w:pPr>
    </w:p>
    <w:p>
      <w:pPr>
        <w:ind w:left="460" w:right="40" w:firstLine="413"/>
        <w:spacing w:after="0" w:line="340" w:lineRule="auto"/>
        <w:rPr>
          <w:sz w:val="20"/>
          <w:szCs w:val="20"/>
          <w:color w:val="auto"/>
        </w:rPr>
      </w:pPr>
      <w:r>
        <w:rPr>
          <w:rFonts w:ascii="Arial" w:cs="Arial" w:eastAsia="Arial" w:hAnsi="Arial"/>
          <w:sz w:val="15"/>
          <w:szCs w:val="15"/>
          <w:color w:val="auto"/>
        </w:rPr>
        <w:t>On October 12, 2020, the Samuel Allen Hamood Trust U/A 8/27/2010 purchased 294,117 Class A Common Units of OpCo through the subscription for and purchase of 294,117 Class A Common Units of AIDH Management Holdings, LLC, for an aggregate purchase price of $3,000,000.</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Mr. Musslewhite</w:t>
      </w:r>
    </w:p>
    <w:p>
      <w:pPr>
        <w:spacing w:after="0" w:line="112" w:lineRule="exact"/>
        <w:rPr>
          <w:sz w:val="20"/>
          <w:szCs w:val="20"/>
          <w:color w:val="auto"/>
        </w:rPr>
      </w:pPr>
    </w:p>
    <w:p>
      <w:pPr>
        <w:ind w:left="460" w:right="240" w:firstLine="413"/>
        <w:spacing w:after="0" w:line="303" w:lineRule="auto"/>
        <w:rPr>
          <w:sz w:val="20"/>
          <w:szCs w:val="20"/>
          <w:color w:val="auto"/>
        </w:rPr>
      </w:pPr>
      <w:r>
        <w:rPr>
          <w:rFonts w:ascii="Arial" w:cs="Arial" w:eastAsia="Arial" w:hAnsi="Arial"/>
          <w:sz w:val="16"/>
          <w:szCs w:val="16"/>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Ms. Larsen</w:t>
      </w:r>
    </w:p>
    <w:p>
      <w:pPr>
        <w:spacing w:after="0" w:line="112"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On May 20, 2021 Ms. Larsen purchased 33,047 Class A Common Units of OpCo through her subscription for and purchase of 33,047 Class A Common Units of AIDH Management Holdings, LLC for an aggregate purchase price of $500,000.</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Related Party Transactions Policies and Procedures</w:t>
      </w:r>
    </w:p>
    <w:p>
      <w:pPr>
        <w:spacing w:after="0" w:line="112"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We have a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75"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 A “related person transaction” does not include, for example, any employment relationship or transaction involving an executive officer and any related compensation resulting solely from that employment relationship that has been reviewed and approved by our board of directors.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760"/>
          </w:cols>
          <w:pgMar w:left="320" w:top="440" w:right="81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The Policy requires that notice of a proposed transaction or arrangement that could be a related person transaction be provided to our legal department, the chair of the Board or the chair of the Audit Committee prior to entry into such transaction. If our legal department determines that such transaction could be a related person transaction, the proposed transaction will be submitted to our Audit Committee for consideration at its next meeting or sooner if determined to be necessary.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modify the related person transaction and whether to make changes to our controls and procedures in connection with the transaction.</w:t>
      </w:r>
    </w:p>
    <w:p>
      <w:pPr>
        <w:spacing w:after="0" w:line="182" w:lineRule="exact"/>
        <w:rPr>
          <w:sz w:val="20"/>
          <w:szCs w:val="20"/>
          <w:color w:val="auto"/>
        </w:rPr>
      </w:pPr>
    </w:p>
    <w:p>
      <w:pPr>
        <w:ind w:left="460" w:right="100" w:firstLine="413"/>
        <w:spacing w:after="0" w:line="256" w:lineRule="auto"/>
        <w:rPr>
          <w:sz w:val="20"/>
          <w:szCs w:val="20"/>
          <w:color w:val="auto"/>
        </w:rPr>
      </w:pPr>
      <w:r>
        <w:rPr>
          <w:rFonts w:ascii="Arial" w:cs="Arial" w:eastAsia="Arial" w:hAnsi="Arial"/>
          <w:sz w:val="17"/>
          <w:szCs w:val="17"/>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700"/>
          </w:cols>
          <w:pgMar w:left="320" w:top="440" w:right="87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DESCRIPTION OF MATERIAL INDEBTEDNESS</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Senior Credit Facilities</w:t>
      </w:r>
    </w:p>
    <w:p>
      <w:pPr>
        <w:spacing w:after="0" w:line="112"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On September 17, 2021 (the “Closing Date”), DH Holdings (as the “Borrower”) entered into the Credit Agreement with the administrative agent, the issuing banks and the lenders from time to time party thereto (the “Lenders”), pursuant to which the Lenders agreed to provide the Senior Credit Facilities, consisting of (i) the Term Facility in an original principal amount equal to $275.0 million (the Term Facility and the loans thereunder, the “Initial Term Loans”), (ii) the Revolving Credit Facility in an original principal amount equal to $75.0 million (the Revolving Credit Facility and the loans thereunder, the “Initial Revolving Loans”), the proceeds of which were used to repay the remaining portion of the indebtedness outstanding under the 2019 Credit Agreement and to pay related fees and expenses. See “Prospectus Summary—Debt Refinancing.”</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08"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Borrowings under the Senior Credit Facilities bear interest, at the Borrower’s option, at a rate per annum equal to either (a) LIBO Rate (as defined in the Credit Agreement) plus the applicable LIBO Rate spread or (b) ABR plus the applicable ABR spread.</w:t>
      </w:r>
    </w:p>
    <w:p>
      <w:pPr>
        <w:spacing w:after="0" w:line="165"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applicable LIBO Rate and ABR spreads are calculated based upon the total leverage ratio of the Borrower and its restricted subsidiaries on a consolidated basis, as set forth below (until the first Adjustment Date (as defined in the Credit Agreement) following the completion of at least three full fiscal quarters after the Closing Date, the applicable rates for any Initial Term Loans and/or any Initial Revolving Loans are as set forth in Category 1 below).</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5"/>
              </w:rPr>
              <w:t>ABR Spread for</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6"/>
              </w:rPr>
              <w:t>Initial revolving</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2"/>
            <w:vMerge w:val="restart"/>
          </w:tcPr>
          <w:p>
            <w:pPr>
              <w:jc w:val="center"/>
              <w:ind w:right="700"/>
              <w:spacing w:after="0"/>
              <w:rPr>
                <w:sz w:val="20"/>
                <w:szCs w:val="20"/>
                <w:color w:val="auto"/>
              </w:rPr>
            </w:pPr>
            <w:r>
              <w:rPr>
                <w:rFonts w:ascii="Arial" w:cs="Arial" w:eastAsia="Arial" w:hAnsi="Arial"/>
                <w:sz w:val="13"/>
                <w:szCs w:val="13"/>
                <w:b w:val="1"/>
                <w:bCs w:val="1"/>
                <w:color w:val="auto"/>
                <w:w w:val="94"/>
              </w:rPr>
              <w:t>ABR Spread</w:t>
            </w:r>
          </w:p>
        </w:tc>
        <w:tc>
          <w:tcPr>
            <w:tcW w:w="1760" w:type="dxa"/>
            <w:vAlign w:val="bottom"/>
            <w:gridSpan w:val="2"/>
            <w:vMerge w:val="restart"/>
          </w:tcPr>
          <w:p>
            <w:pPr>
              <w:jc w:val="center"/>
              <w:ind w:right="680"/>
              <w:spacing w:after="0"/>
              <w:rPr>
                <w:sz w:val="20"/>
                <w:szCs w:val="20"/>
                <w:color w:val="auto"/>
              </w:rPr>
            </w:pPr>
            <w:r>
              <w:rPr>
                <w:rFonts w:ascii="Arial" w:cs="Arial" w:eastAsia="Arial" w:hAnsi="Arial"/>
                <w:sz w:val="13"/>
                <w:szCs w:val="13"/>
                <w:b w:val="1"/>
                <w:bCs w:val="1"/>
                <w:color w:val="auto"/>
                <w:w w:val="97"/>
              </w:rPr>
              <w:t>LIBO Rate Spread</w:t>
            </w:r>
          </w:p>
        </w:tc>
        <w:tc>
          <w:tcPr>
            <w:tcW w:w="184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2"/>
              </w:rPr>
              <w:t>Loans (including</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LIBO Rate</w:t>
            </w: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4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2"/>
              </w:rPr>
              <w:t>Swingline Loans (as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4"/>
              </w:rPr>
              <w:t>Total Net Leverage Ratio</w:t>
            </w:r>
          </w:p>
        </w:tc>
        <w:tc>
          <w:tcPr>
            <w:tcW w:w="1660" w:type="dxa"/>
            <w:vAlign w:val="bottom"/>
            <w:vMerge w:val="restart"/>
          </w:tcPr>
          <w:p>
            <w:pPr>
              <w:spacing w:after="0"/>
              <w:rPr>
                <w:sz w:val="12"/>
                <w:szCs w:val="12"/>
                <w:color w:val="auto"/>
              </w:rPr>
            </w:pPr>
          </w:p>
        </w:tc>
        <w:tc>
          <w:tcPr>
            <w:tcW w:w="1580" w:type="dxa"/>
            <w:vAlign w:val="bottom"/>
            <w:gridSpan w:val="2"/>
          </w:tcPr>
          <w:p>
            <w:pPr>
              <w:jc w:val="center"/>
              <w:ind w:right="700"/>
              <w:spacing w:after="0" w:line="139" w:lineRule="exact"/>
              <w:rPr>
                <w:sz w:val="20"/>
                <w:szCs w:val="20"/>
                <w:color w:val="auto"/>
              </w:rPr>
            </w:pPr>
            <w:r>
              <w:rPr>
                <w:rFonts w:ascii="Arial" w:cs="Arial" w:eastAsia="Arial" w:hAnsi="Arial"/>
                <w:sz w:val="13"/>
                <w:szCs w:val="13"/>
                <w:b w:val="1"/>
                <w:bCs w:val="1"/>
                <w:color w:val="auto"/>
                <w:w w:val="97"/>
              </w:rPr>
              <w:t>for Initial Term</w:t>
            </w:r>
          </w:p>
        </w:tc>
        <w:tc>
          <w:tcPr>
            <w:tcW w:w="1760" w:type="dxa"/>
            <w:vAlign w:val="bottom"/>
            <w:gridSpan w:val="2"/>
          </w:tcPr>
          <w:p>
            <w:pPr>
              <w:jc w:val="center"/>
              <w:ind w:right="700"/>
              <w:spacing w:after="0" w:line="139" w:lineRule="exact"/>
              <w:rPr>
                <w:sz w:val="20"/>
                <w:szCs w:val="20"/>
                <w:color w:val="auto"/>
              </w:rPr>
            </w:pPr>
            <w:r>
              <w:rPr>
                <w:rFonts w:ascii="Arial" w:cs="Arial" w:eastAsia="Arial" w:hAnsi="Arial"/>
                <w:sz w:val="13"/>
                <w:szCs w:val="13"/>
                <w:b w:val="1"/>
                <w:bCs w:val="1"/>
                <w:color w:val="auto"/>
                <w:w w:val="99"/>
              </w:rPr>
              <w:t>for Initial Term</w:t>
            </w:r>
          </w:p>
        </w:tc>
        <w:tc>
          <w:tcPr>
            <w:tcW w:w="184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4"/>
              </w:rPr>
              <w:t>defined in the</w:t>
            </w:r>
          </w:p>
        </w:tc>
        <w:tc>
          <w:tcPr>
            <w:tcW w:w="12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7"/>
              </w:rPr>
              <w:t>Spread for Initial</w:t>
            </w:r>
          </w:p>
        </w:tc>
        <w:tc>
          <w:tcPr>
            <w:tcW w:w="0" w:type="dxa"/>
            <w:vAlign w:val="bottom"/>
          </w:tcPr>
          <w:p>
            <w:pPr>
              <w:spacing w:after="0"/>
              <w:rPr>
                <w:sz w:val="1"/>
                <w:szCs w:val="1"/>
                <w:color w:val="auto"/>
              </w:rPr>
            </w:pPr>
          </w:p>
        </w:tc>
      </w:tr>
      <w:tr>
        <w:trPr>
          <w:trHeight w:val="167"/>
        </w:trPr>
        <w:tc>
          <w:tcPr>
            <w:tcW w:w="1460" w:type="dxa"/>
            <w:vAlign w:val="bottom"/>
            <w:tcBorders>
              <w:bottom w:val="single" w:sz="8" w:color="auto"/>
            </w:tcBorders>
            <w:gridSpan w:val="2"/>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580" w:type="dxa"/>
            <w:vAlign w:val="bottom"/>
            <w:gridSpan w:val="2"/>
          </w:tcPr>
          <w:p>
            <w:pPr>
              <w:jc w:val="center"/>
              <w:ind w:right="700"/>
              <w:spacing w:after="0" w:line="147" w:lineRule="exact"/>
              <w:rPr>
                <w:sz w:val="20"/>
                <w:szCs w:val="20"/>
                <w:color w:val="auto"/>
              </w:rPr>
            </w:pPr>
            <w:r>
              <w:rPr>
                <w:rFonts w:ascii="Arial" w:cs="Arial" w:eastAsia="Arial" w:hAnsi="Arial"/>
                <w:sz w:val="13"/>
                <w:szCs w:val="13"/>
                <w:b w:val="1"/>
                <w:bCs w:val="1"/>
                <w:color w:val="auto"/>
                <w:w w:val="93"/>
              </w:rPr>
              <w:t>Loans</w:t>
            </w:r>
          </w:p>
        </w:tc>
        <w:tc>
          <w:tcPr>
            <w:tcW w:w="1760" w:type="dxa"/>
            <w:vAlign w:val="bottom"/>
            <w:gridSpan w:val="2"/>
          </w:tcPr>
          <w:p>
            <w:pPr>
              <w:jc w:val="center"/>
              <w:ind w:right="680"/>
              <w:spacing w:after="0" w:line="147" w:lineRule="exact"/>
              <w:rPr>
                <w:sz w:val="20"/>
                <w:szCs w:val="20"/>
                <w:color w:val="auto"/>
              </w:rPr>
            </w:pPr>
            <w:r>
              <w:rPr>
                <w:rFonts w:ascii="Arial" w:cs="Arial" w:eastAsia="Arial" w:hAnsi="Arial"/>
                <w:sz w:val="13"/>
                <w:szCs w:val="13"/>
                <w:b w:val="1"/>
                <w:bCs w:val="1"/>
                <w:color w:val="auto"/>
                <w:w w:val="93"/>
              </w:rPr>
              <w:t>Loans</w:t>
            </w:r>
          </w:p>
        </w:tc>
        <w:tc>
          <w:tcPr>
            <w:tcW w:w="1840" w:type="dxa"/>
            <w:vAlign w:val="bottom"/>
            <w:gridSpan w:val="2"/>
          </w:tcPr>
          <w:p>
            <w:pPr>
              <w:jc w:val="center"/>
              <w:ind w:right="680"/>
              <w:spacing w:after="0" w:line="147" w:lineRule="exact"/>
              <w:rPr>
                <w:sz w:val="20"/>
                <w:szCs w:val="20"/>
                <w:color w:val="auto"/>
              </w:rPr>
            </w:pPr>
            <w:r>
              <w:rPr>
                <w:rFonts w:ascii="Arial" w:cs="Arial" w:eastAsia="Arial" w:hAnsi="Arial"/>
                <w:sz w:val="13"/>
                <w:szCs w:val="13"/>
                <w:b w:val="1"/>
                <w:bCs w:val="1"/>
                <w:color w:val="auto"/>
                <w:w w:val="95"/>
              </w:rPr>
              <w:t>Credit Agreement))</w:t>
            </w:r>
          </w:p>
        </w:tc>
        <w:tc>
          <w:tcPr>
            <w:tcW w:w="1200" w:type="dxa"/>
            <w:vAlign w:val="bottom"/>
            <w:gridSpan w:val="2"/>
          </w:tcPr>
          <w:p>
            <w:pPr>
              <w:jc w:val="center"/>
              <w:ind w:right="200"/>
              <w:spacing w:after="0" w:line="147" w:lineRule="exact"/>
              <w:rPr>
                <w:sz w:val="20"/>
                <w:szCs w:val="20"/>
                <w:color w:val="auto"/>
              </w:rPr>
            </w:pPr>
            <w:r>
              <w:rPr>
                <w:rFonts w:ascii="Arial" w:cs="Arial" w:eastAsia="Arial" w:hAnsi="Arial"/>
                <w:sz w:val="13"/>
                <w:szCs w:val="13"/>
                <w:b w:val="1"/>
                <w:bCs w:val="1"/>
                <w:color w:val="auto"/>
                <w:w w:val="92"/>
              </w:rPr>
              <w:t>Revolving Loans</w:t>
            </w:r>
          </w:p>
        </w:tc>
        <w:tc>
          <w:tcPr>
            <w:tcW w:w="0" w:type="dxa"/>
            <w:vAlign w:val="bottom"/>
          </w:tcPr>
          <w:p>
            <w:pPr>
              <w:spacing w:after="0"/>
              <w:rPr>
                <w:sz w:val="1"/>
                <w:szCs w:val="1"/>
                <w:color w:val="auto"/>
              </w:rPr>
            </w:pPr>
          </w:p>
        </w:tc>
      </w:tr>
      <w:tr>
        <w:trPr>
          <w:trHeight w:val="137"/>
        </w:trPr>
        <w:tc>
          <w:tcPr>
            <w:tcW w:w="3120" w:type="dxa"/>
            <w:vAlign w:val="bottom"/>
            <w:tcBorders>
              <w:top w:val="single" w:sz="8" w:color="CCEEFF"/>
            </w:tcBorders>
            <w:gridSpan w:val="3"/>
            <w:shd w:val="clear" w:color="auto" w:fill="CCEEFF"/>
          </w:tcPr>
          <w:p>
            <w:pPr>
              <w:spacing w:after="0" w:line="138" w:lineRule="exact"/>
              <w:rPr>
                <w:sz w:val="20"/>
                <w:szCs w:val="20"/>
                <w:color w:val="auto"/>
              </w:rPr>
            </w:pPr>
            <w:r>
              <w:rPr>
                <w:rFonts w:ascii="Arial" w:cs="Arial" w:eastAsia="Arial" w:hAnsi="Arial"/>
                <w:sz w:val="15"/>
                <w:szCs w:val="15"/>
                <w:color w:val="auto"/>
              </w:rPr>
              <w:t>Category 1</w:t>
            </w:r>
          </w:p>
        </w:tc>
        <w:tc>
          <w:tcPr>
            <w:tcW w:w="8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3"/>
          </w:tcPr>
          <w:p>
            <w:pPr>
              <w:spacing w:after="0"/>
              <w:rPr>
                <w:sz w:val="20"/>
                <w:szCs w:val="20"/>
                <w:color w:val="auto"/>
              </w:rPr>
            </w:pPr>
            <w:r>
              <w:rPr>
                <w:rFonts w:ascii="Arial" w:cs="Arial" w:eastAsia="Arial" w:hAnsi="Arial"/>
                <w:sz w:val="17"/>
                <w:szCs w:val="17"/>
                <w:color w:val="auto"/>
              </w:rPr>
              <w:t>Greater than 2.75 to 1.00</w:t>
            </w: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1.25%</w:t>
            </w:r>
          </w:p>
        </w:tc>
        <w:tc>
          <w:tcPr>
            <w:tcW w:w="1760" w:type="dxa"/>
            <w:vAlign w:val="bottom"/>
            <w:gridSpan w:val="2"/>
          </w:tcPr>
          <w:p>
            <w:pPr>
              <w:jc w:val="right"/>
              <w:ind w:right="540"/>
              <w:spacing w:after="0"/>
              <w:rPr>
                <w:sz w:val="20"/>
                <w:szCs w:val="20"/>
                <w:color w:val="auto"/>
              </w:rPr>
            </w:pPr>
            <w:r>
              <w:rPr>
                <w:rFonts w:ascii="Arial" w:cs="Arial" w:eastAsia="Arial" w:hAnsi="Arial"/>
                <w:sz w:val="17"/>
                <w:szCs w:val="17"/>
                <w:color w:val="auto"/>
              </w:rPr>
              <w:t>2.25%</w:t>
            </w:r>
          </w:p>
        </w:tc>
        <w:tc>
          <w:tcPr>
            <w:tcW w:w="1840" w:type="dxa"/>
            <w:vAlign w:val="bottom"/>
            <w:gridSpan w:val="2"/>
          </w:tcPr>
          <w:p>
            <w:pPr>
              <w:jc w:val="right"/>
              <w:ind w:right="540"/>
              <w:spacing w:after="0"/>
              <w:rPr>
                <w:sz w:val="20"/>
                <w:szCs w:val="20"/>
                <w:color w:val="auto"/>
              </w:rPr>
            </w:pPr>
            <w:r>
              <w:rPr>
                <w:rFonts w:ascii="Arial" w:cs="Arial" w:eastAsia="Arial" w:hAnsi="Arial"/>
                <w:sz w:val="17"/>
                <w:szCs w:val="17"/>
                <w:color w:val="auto"/>
              </w:rPr>
              <w:t>1.25%</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65"/>
        </w:trPr>
        <w:tc>
          <w:tcPr>
            <w:tcW w:w="3120" w:type="dxa"/>
            <w:vAlign w:val="bottom"/>
            <w:gridSpan w:val="3"/>
            <w:shd w:val="clear" w:color="auto" w:fill="CCEEFF"/>
          </w:tcPr>
          <w:p>
            <w:pPr>
              <w:spacing w:after="0" w:line="165" w:lineRule="exact"/>
              <w:rPr>
                <w:sz w:val="20"/>
                <w:szCs w:val="20"/>
                <w:color w:val="auto"/>
              </w:rPr>
            </w:pPr>
            <w:r>
              <w:rPr>
                <w:rFonts w:ascii="Arial" w:cs="Arial" w:eastAsia="Arial" w:hAnsi="Arial"/>
                <w:sz w:val="17"/>
                <w:szCs w:val="17"/>
                <w:color w:val="auto"/>
              </w:rPr>
              <w:t>Category 2</w:t>
            </w: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3120" w:type="dxa"/>
            <w:vAlign w:val="bottom"/>
            <w:gridSpan w:val="3"/>
          </w:tcPr>
          <w:p>
            <w:pPr>
              <w:spacing w:after="0" w:line="190" w:lineRule="exact"/>
              <w:rPr>
                <w:sz w:val="20"/>
                <w:szCs w:val="20"/>
                <w:color w:val="auto"/>
              </w:rPr>
            </w:pPr>
            <w:r>
              <w:rPr>
                <w:rFonts w:ascii="Arial" w:cs="Arial" w:eastAsia="Arial" w:hAnsi="Arial"/>
                <w:sz w:val="17"/>
                <w:szCs w:val="17"/>
                <w:color w:val="auto"/>
              </w:rPr>
              <w:t>Greater than 2.25 top 1.00 but less</w:t>
            </w: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20" w:type="dxa"/>
            <w:vAlign w:val="bottom"/>
            <w:gridSpan w:val="3"/>
          </w:tcPr>
          <w:p>
            <w:pPr>
              <w:ind w:left="160"/>
              <w:spacing w:after="0"/>
              <w:rPr>
                <w:sz w:val="20"/>
                <w:szCs w:val="20"/>
                <w:color w:val="auto"/>
              </w:rPr>
            </w:pPr>
            <w:r>
              <w:rPr>
                <w:rFonts w:ascii="Arial" w:cs="Arial" w:eastAsia="Arial" w:hAnsi="Arial"/>
                <w:sz w:val="17"/>
                <w:szCs w:val="17"/>
                <w:color w:val="auto"/>
              </w:rPr>
              <w:t>than or equal to 2.75 to 1.00</w:t>
            </w: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1.00%</w:t>
            </w:r>
          </w:p>
        </w:tc>
        <w:tc>
          <w:tcPr>
            <w:tcW w:w="1760" w:type="dxa"/>
            <w:vAlign w:val="bottom"/>
            <w:gridSpan w:val="2"/>
          </w:tcPr>
          <w:p>
            <w:pPr>
              <w:jc w:val="right"/>
              <w:ind w:right="540"/>
              <w:spacing w:after="0"/>
              <w:rPr>
                <w:sz w:val="20"/>
                <w:szCs w:val="20"/>
                <w:color w:val="auto"/>
              </w:rPr>
            </w:pPr>
            <w:r>
              <w:rPr>
                <w:rFonts w:ascii="Arial" w:cs="Arial" w:eastAsia="Arial" w:hAnsi="Arial"/>
                <w:sz w:val="17"/>
                <w:szCs w:val="17"/>
                <w:color w:val="auto"/>
              </w:rPr>
              <w:t>2.00%</w:t>
            </w:r>
          </w:p>
        </w:tc>
        <w:tc>
          <w:tcPr>
            <w:tcW w:w="1840" w:type="dxa"/>
            <w:vAlign w:val="bottom"/>
            <w:gridSpan w:val="2"/>
          </w:tcPr>
          <w:p>
            <w:pPr>
              <w:jc w:val="right"/>
              <w:ind w:right="540"/>
              <w:spacing w:after="0"/>
              <w:rPr>
                <w:sz w:val="20"/>
                <w:szCs w:val="20"/>
                <w:color w:val="auto"/>
              </w:rPr>
            </w:pPr>
            <w:r>
              <w:rPr>
                <w:rFonts w:ascii="Arial" w:cs="Arial" w:eastAsia="Arial" w:hAnsi="Arial"/>
                <w:sz w:val="17"/>
                <w:szCs w:val="17"/>
                <w:color w:val="auto"/>
              </w:rPr>
              <w:t>1.00%</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65"/>
        </w:trPr>
        <w:tc>
          <w:tcPr>
            <w:tcW w:w="3120" w:type="dxa"/>
            <w:vAlign w:val="bottom"/>
            <w:gridSpan w:val="3"/>
            <w:shd w:val="clear" w:color="auto" w:fill="CCEEFF"/>
          </w:tcPr>
          <w:p>
            <w:pPr>
              <w:spacing w:after="0" w:line="165" w:lineRule="exact"/>
              <w:rPr>
                <w:sz w:val="20"/>
                <w:szCs w:val="20"/>
                <w:color w:val="auto"/>
              </w:rPr>
            </w:pPr>
            <w:r>
              <w:rPr>
                <w:rFonts w:ascii="Arial" w:cs="Arial" w:eastAsia="Arial" w:hAnsi="Arial"/>
                <w:sz w:val="17"/>
                <w:szCs w:val="17"/>
                <w:color w:val="auto"/>
              </w:rPr>
              <w:t>Category 3</w:t>
            </w: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120" w:type="dxa"/>
            <w:vAlign w:val="bottom"/>
            <w:gridSpan w:val="3"/>
          </w:tcPr>
          <w:p>
            <w:pPr>
              <w:spacing w:after="0"/>
              <w:rPr>
                <w:sz w:val="20"/>
                <w:szCs w:val="20"/>
                <w:color w:val="auto"/>
              </w:rPr>
            </w:pPr>
            <w:r>
              <w:rPr>
                <w:rFonts w:ascii="Arial" w:cs="Arial" w:eastAsia="Arial" w:hAnsi="Arial"/>
                <w:sz w:val="17"/>
                <w:szCs w:val="17"/>
                <w:color w:val="auto"/>
              </w:rPr>
              <w:t>Less than or equal to 2.25 to 1.00</w:t>
            </w: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0.75%</w:t>
            </w:r>
          </w:p>
        </w:tc>
        <w:tc>
          <w:tcPr>
            <w:tcW w:w="1760" w:type="dxa"/>
            <w:vAlign w:val="bottom"/>
            <w:gridSpan w:val="2"/>
          </w:tcPr>
          <w:p>
            <w:pPr>
              <w:jc w:val="right"/>
              <w:ind w:right="540"/>
              <w:spacing w:after="0"/>
              <w:rPr>
                <w:sz w:val="20"/>
                <w:szCs w:val="20"/>
                <w:color w:val="auto"/>
              </w:rPr>
            </w:pPr>
            <w:r>
              <w:rPr>
                <w:rFonts w:ascii="Arial" w:cs="Arial" w:eastAsia="Arial" w:hAnsi="Arial"/>
                <w:sz w:val="17"/>
                <w:szCs w:val="17"/>
                <w:color w:val="auto"/>
              </w:rPr>
              <w:t>1.75%</w:t>
            </w:r>
          </w:p>
        </w:tc>
        <w:tc>
          <w:tcPr>
            <w:tcW w:w="1840" w:type="dxa"/>
            <w:vAlign w:val="bottom"/>
            <w:gridSpan w:val="2"/>
          </w:tcPr>
          <w:p>
            <w:pPr>
              <w:jc w:val="right"/>
              <w:ind w:right="540"/>
              <w:spacing w:after="0"/>
              <w:rPr>
                <w:sz w:val="20"/>
                <w:szCs w:val="20"/>
                <w:color w:val="auto"/>
              </w:rPr>
            </w:pPr>
            <w:r>
              <w:rPr>
                <w:rFonts w:ascii="Arial" w:cs="Arial" w:eastAsia="Arial" w:hAnsi="Arial"/>
                <w:sz w:val="17"/>
                <w:szCs w:val="17"/>
                <w:color w:val="auto"/>
              </w:rPr>
              <w:t>0.75%</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fees are required to be paid under the Senior Credit Facilities:</w:t>
      </w:r>
    </w:p>
    <w:p>
      <w:pPr>
        <w:spacing w:after="0" w:line="121" w:lineRule="exact"/>
        <w:rPr>
          <w:sz w:val="20"/>
          <w:szCs w:val="20"/>
          <w:color w:val="auto"/>
        </w:rPr>
      </w:pPr>
    </w:p>
    <w:p>
      <w:pPr>
        <w:ind w:left="1360" w:right="40" w:hanging="498"/>
        <w:spacing w:after="0" w:line="256" w:lineRule="auto"/>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a commitment fee to each revolving lender payable quarterly in arrears at a rate calculated based upon the total net leverage ratio of the Borrower and its restricted subsidiaries on a consolidated basis, as set forth below (until the first Adjustment Date (as defined in the Credit Agreement) following the completion of at least three full fiscal quarters after the Closing Date, the commitment fee rate is as set forth in </w:t>
      </w:r>
      <w:r>
        <w:rPr>
          <w:rFonts w:ascii="Arial" w:cs="Arial" w:eastAsia="Arial" w:hAnsi="Arial"/>
          <w:sz w:val="17"/>
          <w:szCs w:val="17"/>
          <w:u w:val="single" w:color="auto"/>
          <w:color w:val="auto"/>
        </w:rPr>
        <w:t>Category 1</w:t>
      </w:r>
      <w:r>
        <w:rPr>
          <w:rFonts w:ascii="Arial" w:cs="Arial" w:eastAsia="Arial" w:hAnsi="Arial"/>
          <w:sz w:val="17"/>
          <w:szCs w:val="17"/>
          <w:color w:val="auto"/>
        </w:rPr>
        <w:t xml:space="preserve"> below):</w:t>
      </w:r>
    </w:p>
    <w:p>
      <w:pPr>
        <w:spacing w:after="0" w:line="197" w:lineRule="exact"/>
        <w:rPr>
          <w:sz w:val="20"/>
          <w:szCs w:val="20"/>
          <w:color w:val="auto"/>
        </w:rPr>
      </w:pPr>
    </w:p>
    <w:tbl>
      <w:tblPr>
        <w:tblLayout w:type="fixed"/>
        <w:tblInd w:w="2120" w:type="dxa"/>
        <w:tblCellMar>
          <w:top w:w="0" w:type="dxa"/>
          <w:left w:w="0" w:type="dxa"/>
          <w:bottom w:w="0" w:type="dxa"/>
          <w:right w:w="0" w:type="dxa"/>
        </w:tblCellMar>
      </w:tblPr>
      <w:tr>
        <w:trPr>
          <w:trHeight w:val="180"/>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Total Net Leverage Ratio</w:t>
            </w:r>
          </w:p>
        </w:tc>
        <w:tc>
          <w:tcPr>
            <w:tcW w:w="406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Commitment Fee Rate</w:t>
            </w:r>
          </w:p>
        </w:tc>
      </w:tr>
      <w:tr>
        <w:trPr>
          <w:trHeight w:val="137"/>
        </w:trPr>
        <w:tc>
          <w:tcPr>
            <w:tcW w:w="5520" w:type="dxa"/>
            <w:vAlign w:val="bottom"/>
            <w:tcBorders>
              <w:top w:val="single" w:sz="8" w:color="CCEEFF"/>
            </w:tcBorders>
            <w:gridSpan w:val="3"/>
            <w:shd w:val="clear" w:color="auto" w:fill="CCEEFF"/>
          </w:tcPr>
          <w:p>
            <w:pPr>
              <w:spacing w:after="0" w:line="138" w:lineRule="exact"/>
              <w:rPr>
                <w:sz w:val="20"/>
                <w:szCs w:val="20"/>
                <w:color w:val="auto"/>
              </w:rPr>
            </w:pPr>
            <w:r>
              <w:rPr>
                <w:rFonts w:ascii="Arial" w:cs="Arial" w:eastAsia="Arial" w:hAnsi="Arial"/>
                <w:sz w:val="15"/>
                <w:szCs w:val="15"/>
                <w:color w:val="auto"/>
              </w:rPr>
              <w:t>Category 1</w:t>
            </w:r>
          </w:p>
        </w:tc>
        <w:tc>
          <w:tcPr>
            <w:tcW w:w="1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203"/>
        </w:trPr>
        <w:tc>
          <w:tcPr>
            <w:tcW w:w="5520" w:type="dxa"/>
            <w:vAlign w:val="bottom"/>
            <w:gridSpan w:val="3"/>
          </w:tcPr>
          <w:p>
            <w:pPr>
              <w:spacing w:after="0"/>
              <w:rPr>
                <w:sz w:val="20"/>
                <w:szCs w:val="20"/>
                <w:color w:val="auto"/>
              </w:rPr>
            </w:pPr>
            <w:r>
              <w:rPr>
                <w:rFonts w:ascii="Arial" w:cs="Arial" w:eastAsia="Arial" w:hAnsi="Arial"/>
                <w:sz w:val="17"/>
                <w:szCs w:val="17"/>
                <w:color w:val="auto"/>
              </w:rPr>
              <w:t>Greater than 2.75 to 1.00</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0.30%</w:t>
            </w:r>
          </w:p>
        </w:tc>
      </w:tr>
      <w:tr>
        <w:trPr>
          <w:trHeight w:val="165"/>
        </w:trPr>
        <w:tc>
          <w:tcPr>
            <w:tcW w:w="5520" w:type="dxa"/>
            <w:vAlign w:val="bottom"/>
            <w:gridSpan w:val="3"/>
            <w:shd w:val="clear" w:color="auto" w:fill="CCEEFF"/>
          </w:tcPr>
          <w:p>
            <w:pPr>
              <w:spacing w:after="0" w:line="165" w:lineRule="exact"/>
              <w:rPr>
                <w:sz w:val="20"/>
                <w:szCs w:val="20"/>
                <w:color w:val="auto"/>
              </w:rPr>
            </w:pPr>
            <w:r>
              <w:rPr>
                <w:rFonts w:ascii="Arial" w:cs="Arial" w:eastAsia="Arial" w:hAnsi="Arial"/>
                <w:sz w:val="17"/>
                <w:szCs w:val="17"/>
                <w:color w:val="auto"/>
              </w:rPr>
              <w:t>Category 2</w:t>
            </w: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214"/>
        </w:trPr>
        <w:tc>
          <w:tcPr>
            <w:tcW w:w="5520" w:type="dxa"/>
            <w:vAlign w:val="bottom"/>
            <w:gridSpan w:val="3"/>
          </w:tcPr>
          <w:p>
            <w:pPr>
              <w:spacing w:after="0"/>
              <w:rPr>
                <w:sz w:val="20"/>
                <w:szCs w:val="20"/>
                <w:color w:val="auto"/>
              </w:rPr>
            </w:pPr>
            <w:r>
              <w:rPr>
                <w:rFonts w:ascii="Arial" w:cs="Arial" w:eastAsia="Arial" w:hAnsi="Arial"/>
                <w:sz w:val="17"/>
                <w:szCs w:val="17"/>
                <w:color w:val="auto"/>
              </w:rPr>
              <w:t>Equal to or less than 2.75 to 1.00</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0.25%</w:t>
            </w:r>
          </w:p>
        </w:tc>
      </w:tr>
    </w:tbl>
    <w:p>
      <w:pPr>
        <w:spacing w:after="0" w:line="90" w:lineRule="exact"/>
        <w:rPr>
          <w:sz w:val="20"/>
          <w:szCs w:val="20"/>
          <w:color w:val="auto"/>
        </w:rPr>
      </w:pPr>
    </w:p>
    <w:p>
      <w:pPr>
        <w:ind w:left="5500" w:right="4420" w:hanging="4638"/>
        <w:spacing w:after="0" w:line="443" w:lineRule="auto"/>
        <w:tabs>
          <w:tab w:leader="none" w:pos="137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 annual administrative agency fee payable to the Administrative Agent; 168</w:t>
      </w:r>
    </w:p>
    <w:p>
      <w:pPr>
        <w:sectPr>
          <w:pgSz w:w="11900" w:h="16838" w:orient="portrait"/>
          <w:cols w:equalWidth="0" w:num="1">
            <w:col w:w="10760"/>
          </w:cols>
          <w:pgMar w:left="320" w:top="440" w:right="81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480" w:hanging="498"/>
        <w:spacing w:after="0" w:line="272" w:lineRule="auto"/>
        <w:tabs>
          <w:tab w:leader="none" w:pos="13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76" w:lineRule="exact"/>
        <w:rPr>
          <w:rFonts w:ascii="Arial" w:cs="Arial" w:eastAsia="Arial" w:hAnsi="Arial"/>
          <w:sz w:val="17"/>
          <w:szCs w:val="17"/>
          <w:color w:val="auto"/>
        </w:rPr>
      </w:pPr>
    </w:p>
    <w:p>
      <w:pPr>
        <w:jc w:val="both"/>
        <w:ind w:left="1360" w:right="80" w:hanging="498"/>
        <w:spacing w:after="0" w:line="311" w:lineRule="auto"/>
        <w:tabs>
          <w:tab w:leader="none" w:pos="13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08"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Subject to certain notice requirements, the Borrower may voluntarily prepay outstanding loans under the Credit Agreement in whole or in part without premium or penalty other than customary “breakage” costs with respect to LIBO Rate loans.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Amortization; Mandatory Prepayments; Final Maturity</w:t>
      </w:r>
    </w:p>
    <w:p>
      <w:pPr>
        <w:spacing w:after="0" w:line="108" w:lineRule="exact"/>
        <w:rPr>
          <w:sz w:val="20"/>
          <w:szCs w:val="20"/>
          <w:color w:val="auto"/>
        </w:rPr>
      </w:pPr>
    </w:p>
    <w:p>
      <w:pPr>
        <w:ind w:left="460" w:right="60" w:firstLine="413"/>
        <w:spacing w:after="0" w:line="287" w:lineRule="auto"/>
        <w:rPr>
          <w:sz w:val="20"/>
          <w:szCs w:val="20"/>
          <w:color w:val="auto"/>
        </w:rPr>
      </w:pPr>
      <w:r>
        <w:rPr>
          <w:rFonts w:ascii="Arial" w:cs="Arial" w:eastAsia="Arial" w:hAnsi="Arial"/>
          <w:sz w:val="15"/>
          <w:szCs w:val="15"/>
          <w:color w:val="auto"/>
        </w:rPr>
        <w:t>The Term Facility is subject to amortization of principal, payable in quarterly installments on the last day of each fiscal quarter, commencing on December 31, 2021 (the “Initial Amortization Date”), equal to approximately 2.5% per annum of the principal amount of the term loans in the first year after the Initial Amortization Date, 2.5% per annum of the principal amount of the term loans in the second year after the Initial Amortization Date,</w:t>
      </w:r>
    </w:p>
    <w:p>
      <w:pPr>
        <w:spacing w:after="0" w:line="1" w:lineRule="exact"/>
        <w:rPr>
          <w:sz w:val="20"/>
          <w:szCs w:val="20"/>
          <w:color w:val="auto"/>
        </w:rPr>
      </w:pPr>
    </w:p>
    <w:p>
      <w:pPr>
        <w:ind w:left="460" w:right="100"/>
        <w:spacing w:after="0" w:line="302" w:lineRule="auto"/>
        <w:rPr>
          <w:sz w:val="20"/>
          <w:szCs w:val="20"/>
          <w:color w:val="auto"/>
        </w:rPr>
      </w:pPr>
      <w:r>
        <w:rPr>
          <w:rFonts w:ascii="Arial" w:cs="Arial" w:eastAsia="Arial" w:hAnsi="Arial"/>
          <w:sz w:val="15"/>
          <w:szCs w:val="15"/>
          <w:color w:val="auto"/>
        </w:rPr>
        <w:t>5.0% per annum of the principal amount of the term loans in the third year after the Initial Amortization Date, 5.0% per annum of the principal amount of the term loans in the fourth year after the Initial Amortization Date and 5.0% per annum of the principal amount of the term loans in the fifth year after the Initial Amortization Date. The remaining initial aggregate advances under the Term Facility are payable at the maturity of the Term Facility.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addition, the Credit Agreement requires mandatory prepayments of the Term Loans with:</w:t>
      </w:r>
    </w:p>
    <w:p>
      <w:pPr>
        <w:spacing w:after="0" w:line="121" w:lineRule="exact"/>
        <w:rPr>
          <w:sz w:val="20"/>
          <w:szCs w:val="20"/>
          <w:color w:val="auto"/>
        </w:rPr>
      </w:pPr>
    </w:p>
    <w:p>
      <w:pPr>
        <w:ind w:left="1360" w:right="760" w:hanging="498"/>
        <w:spacing w:after="0" w:line="272" w:lineRule="auto"/>
        <w:tabs>
          <w:tab w:leader="none" w:pos="13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100% of the net cash proceeds of certain asset sales and/or insurance/condemnation events above a threshold amount, subject to reinvestment rights and other exceptions set forth in the Credit Agreement; and</w:t>
      </w:r>
    </w:p>
    <w:p>
      <w:pPr>
        <w:spacing w:after="0" w:line="76" w:lineRule="exact"/>
        <w:rPr>
          <w:rFonts w:ascii="Arial" w:cs="Arial" w:eastAsia="Arial" w:hAnsi="Arial"/>
          <w:sz w:val="17"/>
          <w:szCs w:val="17"/>
          <w:color w:val="auto"/>
        </w:rPr>
      </w:pPr>
    </w:p>
    <w:p>
      <w:pPr>
        <w:ind w:left="1360" w:right="460" w:hanging="498"/>
        <w:spacing w:after="0" w:line="272" w:lineRule="auto"/>
        <w:tabs>
          <w:tab w:leader="none" w:pos="13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100% of the net cash proceeds of any issuance or incurrence of debt that is not permitted by the Credit Agreement, subject to certain exceptions set forth in the Credit Agreement.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Term Facility and the Revolving Credit Facility mature on September 17, 2026.</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Guarantors</w:t>
      </w:r>
    </w:p>
    <w:p>
      <w:pPr>
        <w:spacing w:after="0" w:line="108"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7"/>
          <w:szCs w:val="17"/>
          <w:color w:val="auto"/>
        </w:rPr>
        <w:t>The obligations of the Borrower under the Credit Agreement are guaranteed by Holdings and each existing and future wholly-owned domestic restricted subsidiary of the Borrower, in each case, subject to certain exceptions.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Security</w:t>
      </w:r>
    </w:p>
    <w:p>
      <w:pPr>
        <w:spacing w:after="0" w:line="108" w:lineRule="exact"/>
        <w:rPr>
          <w:sz w:val="20"/>
          <w:szCs w:val="20"/>
          <w:color w:val="auto"/>
        </w:rPr>
      </w:pPr>
    </w:p>
    <w:p>
      <w:pPr>
        <w:ind w:left="460" w:firstLine="413"/>
        <w:spacing w:after="0" w:line="303" w:lineRule="auto"/>
        <w:rPr>
          <w:sz w:val="20"/>
          <w:szCs w:val="20"/>
          <w:color w:val="auto"/>
        </w:rPr>
      </w:pPr>
      <w:r>
        <w:rPr>
          <w:rFonts w:ascii="Arial" w:cs="Arial" w:eastAsia="Arial" w:hAnsi="Arial"/>
          <w:sz w:val="16"/>
          <w:szCs w:val="16"/>
          <w:color w:val="auto"/>
        </w:rPr>
        <w:t>The obligations of the Borrower under the Credit Agreement are secured by first-priority lien on substantially all of the assets of the Borrower and the guarantors, including a pledge of the equity of the Borrower by Holdings, in each case, subject to customary exceptions.</w:t>
      </w:r>
    </w:p>
    <w:p>
      <w:pPr>
        <w:spacing w:after="0" w:line="8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760"/>
          </w:cols>
          <w:pgMar w:left="320" w:top="440" w:right="81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Certain Covenants; Representations and Warranties</w:t>
      </w:r>
    </w:p>
    <w:p>
      <w:pPr>
        <w:spacing w:after="0" w:line="108" w:lineRule="exact"/>
        <w:rPr>
          <w:sz w:val="20"/>
          <w:szCs w:val="20"/>
          <w:color w:val="auto"/>
        </w:rPr>
      </w:pPr>
    </w:p>
    <w:p>
      <w:pPr>
        <w:ind w:left="460" w:right="300" w:firstLine="413"/>
        <w:spacing w:after="0" w:line="260" w:lineRule="auto"/>
        <w:rPr>
          <w:sz w:val="20"/>
          <w:szCs w:val="20"/>
          <w:color w:val="auto"/>
        </w:rPr>
      </w:pPr>
      <w:r>
        <w:rPr>
          <w:rFonts w:ascii="Arial" w:cs="Arial" w:eastAsia="Arial" w:hAnsi="Arial"/>
          <w:sz w:val="17"/>
          <w:szCs w:val="17"/>
          <w:color w:val="auto"/>
        </w:rPr>
        <w:t>The Credit Agreement contains customary affirmative covenants (including reporting obligations) and negative covenants and requires the Borrower to make customary representations and warranties. The negative covenants, among other things and subject to certain exceptions, limit the ability of the Borrower and its restricted subsidiaries (and in certain limited circumstances, Holdings) to:</w:t>
      </w:r>
    </w:p>
    <w:p>
      <w:pPr>
        <w:spacing w:after="0" w:line="87" w:lineRule="exact"/>
        <w:rPr>
          <w:sz w:val="20"/>
          <w:szCs w:val="20"/>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incur or guarantee additional indebtedness;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pay dividends or make other distributions in respect of equity;</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make payments in respect of certain debt;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enter into burdensome agreements;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make investments, including acquisitions, loans and advances;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consolidate, merge, liquidate, wind up or dissolve;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sell, transfer or otherwise dispose of assets;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engage in transactions with affiliates;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materially alter the business conducted by the Borrower and certain of its subsidiaries; and</w:t>
      </w:r>
    </w:p>
    <w:p>
      <w:pPr>
        <w:spacing w:after="0" w:line="121" w:lineRule="exact"/>
        <w:rPr>
          <w:rFonts w:ascii="Arial" w:cs="Arial" w:eastAsia="Arial" w:hAnsi="Arial"/>
          <w:sz w:val="17"/>
          <w:szCs w:val="17"/>
          <w:color w:val="auto"/>
        </w:rPr>
      </w:pPr>
    </w:p>
    <w:p>
      <w:pPr>
        <w:ind w:left="1360" w:right="200" w:hanging="498"/>
        <w:spacing w:after="0" w:line="272" w:lineRule="auto"/>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amend or otherwise modify the subordination terms of the documentation governing certain restricted debt in a manner that is materially adverse to the Lenders.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Financial Covenant</w:t>
      </w:r>
    </w:p>
    <w:p>
      <w:pPr>
        <w:spacing w:after="0" w:line="108" w:lineRule="exact"/>
        <w:rPr>
          <w:sz w:val="20"/>
          <w:szCs w:val="20"/>
          <w:color w:val="auto"/>
        </w:rPr>
      </w:pPr>
    </w:p>
    <w:p>
      <w:pPr>
        <w:ind w:left="460" w:right="20" w:firstLine="413"/>
        <w:spacing w:after="0" w:line="251" w:lineRule="auto"/>
        <w:rPr>
          <w:sz w:val="20"/>
          <w:szCs w:val="20"/>
          <w:color w:val="auto"/>
        </w:rPr>
      </w:pPr>
      <w:r>
        <w:rPr>
          <w:rFonts w:ascii="Arial" w:cs="Arial" w:eastAsia="Arial" w:hAnsi="Arial"/>
          <w:sz w:val="17"/>
          <w:szCs w:val="17"/>
          <w:color w:val="auto"/>
        </w:rPr>
        <w:t>The Credit Agreement contains a financial covenant, which requires the Borrower to, commencing the last day of the fiscal quarter ending December 31, 2021, maintain a total net leverage ratio of Consolidated Total Debt (as defined in the Credit Agreement) to Consolidated Adjusted EBITDA (as defined in the Credit Agreement) no greater than 5.25:1.00 (or 4.50:1.00 commencing on the last day of the fiscal quarter ending December 31, 2022) and subject to temporary increase by 0.50:1.00 upon a consummation of a Material Acquisition (as defined in the Credit Agreement) pursuant to the terms set forth therein. The financial covenant is subject to customary “equity cure” rights: upon the occurrence of an event of default as a result of the Borrower’s failure to comply with the financial covenant, the Borrower has the right to, at any time no later than the date that is fifteen business days after such occurrence of such event of default, issue qualified capital stock or other equity for cash or otherwise receive cash contributions for its qualified capital stock, which amount will increase Consolidated Adjusted EBITDA on a pro forma basis solely for the purpose of determining the Borrower’s compliance with the financial covenant. The Borrower may not exercise its equity cure right for more than two fiscal quarters in each four consecutive fiscal quarters. During the term of the Credit Agreement, the Borrower may exercise its equity cure right up to five times.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Events of Default</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780"/>
          </w:cols>
          <w:pgMar w:left="320" w:top="440" w:right="79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unreimbursed letter of credit disbursement, the rate of interest otherwise applicable to the relevant loan or letter of credit disbursement or, in the case of any other amount, the rate applicable to Initial Revolving Loans that bear interest by reference to the ABR.</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680"/>
          </w:cols>
          <w:pgMar w:left="320" w:top="440" w:right="89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DESCRIPTION OF CAPITAL STOCK</w:t>
      </w:r>
    </w:p>
    <w:p>
      <w:pPr>
        <w:spacing w:after="0" w:line="214"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The following is a description of the material terms of, and is qualified in its entirety by, our amended and restated certificate of incorporation and amended and restated bylaws, the forms of which are filed as exhibits to the registration statement of which this prospectus forms a part. Under “Description of Capital Stock,” “we,” “us,” “our” and “our company” refer to Definitive Healthcare Corp.</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General</w:t>
      </w:r>
    </w:p>
    <w:p>
      <w:pPr>
        <w:spacing w:after="0" w:line="112" w:lineRule="exact"/>
        <w:rPr>
          <w:sz w:val="20"/>
          <w:szCs w:val="20"/>
          <w:color w:val="auto"/>
        </w:rPr>
      </w:pPr>
    </w:p>
    <w:p>
      <w:pPr>
        <w:jc w:val="both"/>
        <w:ind w:left="460" w:right="280" w:firstLine="413"/>
        <w:spacing w:after="0" w:line="260" w:lineRule="auto"/>
        <w:rPr>
          <w:sz w:val="20"/>
          <w:szCs w:val="20"/>
          <w:color w:val="auto"/>
        </w:rPr>
      </w:pPr>
      <w:r>
        <w:rPr>
          <w:rFonts w:ascii="Arial" w:cs="Arial" w:eastAsia="Arial" w:hAnsi="Arial"/>
          <w:sz w:val="17"/>
          <w:szCs w:val="17"/>
          <w:color w:val="auto"/>
        </w:rPr>
        <w:t>Our authorized capital stock consists of 600 million shares of Class A common stock, par value $0.001 per share, 65 million shares of Class B common stock, no par value per share, and 10 million shares of preferred stock, par value $0.001 per share. Unless our board of directors determines otherwise, we will issue all shares of our capital stock in uncertificated form.</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Common stock</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108"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75" w:lineRule="exact"/>
        <w:rPr>
          <w:sz w:val="20"/>
          <w:szCs w:val="20"/>
          <w:color w:val="auto"/>
        </w:rPr>
      </w:pPr>
    </w:p>
    <w:p>
      <w:pPr>
        <w:jc w:val="both"/>
        <w:ind w:left="460" w:right="460" w:firstLine="413"/>
        <w:spacing w:after="0" w:line="260" w:lineRule="auto"/>
        <w:rPr>
          <w:sz w:val="20"/>
          <w:szCs w:val="20"/>
          <w:color w:val="auto"/>
        </w:rPr>
      </w:pPr>
      <w:r>
        <w:rPr>
          <w:rFonts w:ascii="Arial" w:cs="Arial" w:eastAsia="Arial" w:hAnsi="Arial"/>
          <w:sz w:val="17"/>
          <w:szCs w:val="17"/>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5" w:lineRule="exact"/>
        <w:rPr>
          <w:sz w:val="20"/>
          <w:szCs w:val="20"/>
          <w:color w:val="auto"/>
        </w:rPr>
      </w:pPr>
    </w:p>
    <w:p>
      <w:pPr>
        <w:ind w:left="460" w:right="420" w:firstLine="413"/>
        <w:spacing w:after="0" w:line="260"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75"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Each share of Class B common stock entitles its holder to one vote per share on all matters submitted to a vote of our stockholders, including the election or removal of directors. The holders of our Class B common stock do not have cumulative voting rights in the election of directors. If at any time the ratio at which LLC Units are exchangeable for shares of our Class A common stock changes from one-for-one as described under “Certain Relationships and Related Party Transactions—Amended Definitive OpCo Agreement,” the number of votes to which Class B common stockholders are entitled will be adjusted accordingly.</w:t>
      </w:r>
    </w:p>
    <w:p>
      <w:pPr>
        <w:spacing w:after="0" w:line="181" w:lineRule="exact"/>
        <w:rPr>
          <w:sz w:val="20"/>
          <w:szCs w:val="20"/>
          <w:color w:val="auto"/>
        </w:rPr>
      </w:pPr>
    </w:p>
    <w:p>
      <w:pPr>
        <w:ind w:left="460" w:firstLine="413"/>
        <w:spacing w:after="0" w:line="311" w:lineRule="auto"/>
        <w:rPr>
          <w:sz w:val="20"/>
          <w:szCs w:val="20"/>
          <w:color w:val="auto"/>
        </w:rPr>
      </w:pPr>
      <w:r>
        <w:rPr>
          <w:rFonts w:ascii="Arial" w:cs="Arial" w:eastAsia="Arial" w:hAnsi="Arial"/>
          <w:sz w:val="15"/>
          <w:szCs w:val="15"/>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140"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The Class B common stock is not entitled to economic interests in Definitive Healthcare Corp. Holders of our Class B common stock do not have any right to receive dividends or to receive a distribution upon a</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780"/>
          </w:cols>
          <w:pgMar w:left="320" w:top="440" w:right="79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60" w:lineRule="auto"/>
        <w:rPr>
          <w:sz w:val="20"/>
          <w:szCs w:val="20"/>
          <w:color w:val="auto"/>
        </w:rPr>
      </w:pPr>
      <w:r>
        <w:rPr>
          <w:rFonts w:ascii="Arial" w:cs="Arial" w:eastAsia="Arial" w:hAnsi="Arial"/>
          <w:sz w:val="17"/>
          <w:szCs w:val="17"/>
          <w:color w:val="auto"/>
        </w:rPr>
        <w:t>liquidation or winding up of Definitive Healthcare Corp. However, if Definitive OpCo makes distributions to Definitive Healthcare Corp., the other holders of LLC Units, including the Unitholders, will be entitled to receive distributions pro rata in accordance with the percentages of their respective LLC Units. The Class B common stock will not be subject to further calls or assessment by us.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 Rights</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Directors are elected by a plurality of the votes cast by the holders of shares present in person or represented by proxy at the meeting and entitled to vote thereon. We have also adopted a majority voting policy in our corporate governance guidelines that requires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resignation. Vacancies created by resignations or otherwise may be filled by vote of the remaining directors. Our stockholders will not have cumulative voting rights.</w:t>
      </w:r>
    </w:p>
    <w:p>
      <w:pPr>
        <w:spacing w:after="0" w:line="182"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Except as otherwise provided in our amended and restated certificate of incorporation or as required by law, all matters to be voted on by our stockholders other than matters relating to the election and removal of directors must be approved by the affirmative vote of the holders of a majority in voting power of the shares of stock of the Company which are present in person or by proxy and entitled to vote thereon or, for so long as Advent and its affiliates collectively own 30% or more of the voting power of our then-outstanding common stock, by a written resolution of the stockholders representing the number of affirmative votes required for such matter at a meeting.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Preferred Stock</w:t>
      </w:r>
    </w:p>
    <w:p>
      <w:pPr>
        <w:spacing w:after="0" w:line="112"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color w:val="auto"/>
        </w:rPr>
        <w:t>No shares of preferred stock will be issued or outstanding immediately after the offering contemplated by this prospectus. Our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63" w:lineRule="exact"/>
        <w:rPr>
          <w:sz w:val="20"/>
          <w:szCs w:val="20"/>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21" w:lineRule="exact"/>
        <w:rPr>
          <w:rFonts w:ascii="Arial" w:cs="Arial" w:eastAsia="Arial" w:hAnsi="Arial"/>
          <w:sz w:val="17"/>
          <w:szCs w:val="17"/>
          <w:color w:val="auto"/>
        </w:rPr>
      </w:pPr>
    </w:p>
    <w:p>
      <w:pPr>
        <w:ind w:left="1360" w:right="160" w:hanging="498"/>
        <w:spacing w:after="0" w:line="260" w:lineRule="auto"/>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86"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exchange rights and price or prices, if any, for shares of the series;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exchange of shares of the series;</w:t>
      </w:r>
    </w:p>
    <w:p>
      <w:pPr>
        <w:spacing w:after="0" w:line="121" w:lineRule="exact"/>
        <w:rPr>
          <w:rFonts w:ascii="Arial" w:cs="Arial" w:eastAsia="Arial" w:hAnsi="Arial"/>
          <w:sz w:val="17"/>
          <w:szCs w:val="17"/>
          <w:color w:val="auto"/>
        </w:rPr>
      </w:pPr>
    </w:p>
    <w:p>
      <w:pPr>
        <w:ind w:left="1360" w:right="20" w:hanging="498"/>
        <w:spacing w:after="0" w:line="272" w:lineRule="auto"/>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 up of the affairs of our company;</w:t>
      </w:r>
    </w:p>
    <w:p>
      <w:pPr>
        <w:spacing w:after="0" w:line="76" w:lineRule="exact"/>
        <w:rPr>
          <w:rFonts w:ascii="Arial" w:cs="Arial" w:eastAsia="Arial" w:hAnsi="Arial"/>
          <w:sz w:val="17"/>
          <w:szCs w:val="17"/>
          <w:color w:val="auto"/>
        </w:rPr>
      </w:pPr>
    </w:p>
    <w:p>
      <w:pPr>
        <w:ind w:left="1360" w:right="40" w:hanging="498"/>
        <w:spacing w:after="0" w:line="256" w:lineRule="auto"/>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780"/>
          </w:cols>
          <w:pgMar w:left="320" w:top="440" w:right="79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hanging="498"/>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210" w:lineRule="exact"/>
        <w:rPr>
          <w:sz w:val="20"/>
          <w:szCs w:val="20"/>
          <w:color w:val="auto"/>
        </w:rPr>
      </w:pPr>
    </w:p>
    <w:p>
      <w:pPr>
        <w:ind w:left="460" w:right="220" w:firstLine="413"/>
        <w:spacing w:after="0" w:line="25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Authorized but Unissued Capital Stock</w:t>
      </w:r>
    </w:p>
    <w:p>
      <w:pPr>
        <w:spacing w:after="0" w:line="112"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67"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Dividends</w:t>
      </w:r>
    </w:p>
    <w:p>
      <w:pPr>
        <w:spacing w:after="0" w:line="112"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Transferability Exchange</w:t>
      </w:r>
    </w:p>
    <w:p>
      <w:pPr>
        <w:spacing w:after="0" w:line="112" w:lineRule="exact"/>
        <w:rPr>
          <w:sz w:val="20"/>
          <w:szCs w:val="20"/>
          <w:color w:val="auto"/>
        </w:rPr>
      </w:pPr>
    </w:p>
    <w:p>
      <w:pPr>
        <w:ind w:left="460" w:right="120" w:firstLine="413"/>
        <w:spacing w:after="0" w:line="293" w:lineRule="auto"/>
        <w:rPr>
          <w:sz w:val="20"/>
          <w:szCs w:val="20"/>
          <w:color w:val="auto"/>
        </w:rPr>
      </w:pPr>
      <w:r>
        <w:rPr>
          <w:rFonts w:ascii="Arial" w:cs="Arial" w:eastAsia="Arial" w:hAnsi="Arial"/>
          <w:sz w:val="15"/>
          <w:szCs w:val="15"/>
          <w:color w:val="auto"/>
        </w:rPr>
        <w:t>Under the Amended LLC Agreement, the holders of LLC Units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canceled on a one-for-one basis if we, following an exchange request of a holder of LLC Units, exchange LLC Units of such holder of LLC Units pursuant to the terms of the Amended LLC Agreement. See “Certain Relationships and Related Party Transactions—Amended Definitive OpCo Agreement.”</w:t>
      </w:r>
    </w:p>
    <w:p>
      <w:pPr>
        <w:spacing w:after="0" w:line="9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760"/>
          </w:cols>
          <w:pgMar w:left="320" w:top="440" w:right="81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Except for transfers to us pursuant to the Amended LLC Agreement or to certain permitted transferees, the LLC Units and corresponding shares of Class B common stock may not be sold, transferred or otherwise disposed of.</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Provisions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Neither the Class A common stock nor the Class B common stock has any preemptive or other subscription rights.</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are no redemption, conversion or sinking fund provisions applicable to the Class A common stock or Class B common stock.</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At such time when no LLC Units remain exchangeable for shares of our Class A common stock, our Class B common stock will be canceled.</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Anti-takeover Provisions</w:t>
      </w:r>
    </w:p>
    <w:p>
      <w:pPr>
        <w:spacing w:after="0" w:line="112"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are designed to encourage persons seeking to acquire control of us to first negotiate with our Board, which we believe may result in an improvement of the terms of any such acquisition in favor of our stockholders. However, they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Nominating Agreements</w:t>
      </w:r>
    </w:p>
    <w:p>
      <w:pPr>
        <w:spacing w:after="0" w:line="112"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So long as Advent and its affiliates own at least 21.5% of our outstanding common stock, (a) Advent and its affiliates have the right to nominate two designees to our Board; and (b) so long as each of Spectrum Equity and Jason Krantz together with their affiliates, own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and its affiliates have the right to nominate a designee to our board to fill any vacancy of a director nominated by Advent and its affiliates due to death, resignation or removal. See “Certain Relationships and Related Party Transactions—Nominating Agreement.”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108" w:lineRule="exact"/>
        <w:rPr>
          <w:sz w:val="20"/>
          <w:szCs w:val="20"/>
          <w:color w:val="auto"/>
        </w:rPr>
      </w:pPr>
    </w:p>
    <w:p>
      <w:pPr>
        <w:jc w:val="both"/>
        <w:ind w:left="460" w:right="80" w:firstLine="413"/>
        <w:spacing w:after="0" w:line="277"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special meetings of the stockholders may be called only upon the request of a majority of our Board, our Chair or upon the request of the Chief Executive Officer. Our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Advance Notice of Nominations and Other Business</w:t>
      </w:r>
    </w:p>
    <w:p>
      <w:pPr>
        <w:spacing w:after="0" w:line="108" w:lineRule="exact"/>
        <w:rPr>
          <w:sz w:val="20"/>
          <w:szCs w:val="20"/>
          <w:color w:val="auto"/>
        </w:rPr>
      </w:pPr>
    </w:p>
    <w:p>
      <w:pPr>
        <w:jc w:val="both"/>
        <w:ind w:left="460" w:right="80" w:firstLine="413"/>
        <w:spacing w:after="0" w:line="272"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0780"/>
          </w:cols>
          <w:pgMar w:left="320" w:top="440" w:right="79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spacing w:after="0" w:line="286" w:lineRule="auto"/>
        <w:rPr>
          <w:sz w:val="20"/>
          <w:szCs w:val="20"/>
          <w:color w:val="auto"/>
        </w:rPr>
      </w:pPr>
      <w:r>
        <w:rPr>
          <w:rFonts w:ascii="Arial" w:cs="Arial" w:eastAsia="Arial" w:hAnsi="Arial"/>
          <w:sz w:val="15"/>
          <w:szCs w:val="15"/>
          <w:color w:val="auto"/>
        </w:rPr>
        <w:t>our Board or a committee of our Board. In order for any matter to be “properly brought” before a meeting, a stockholder must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w:t>
      </w:r>
    </w:p>
    <w:p>
      <w:pPr>
        <w:ind w:left="460" w:right="220"/>
        <w:spacing w:after="0" w:line="257" w:lineRule="auto"/>
        <w:rPr>
          <w:sz w:val="20"/>
          <w:szCs w:val="20"/>
          <w:color w:val="auto"/>
        </w:rPr>
      </w:pPr>
      <w:r>
        <w:rPr>
          <w:rFonts w:ascii="Arial" w:cs="Arial" w:eastAsia="Arial" w:hAnsi="Arial"/>
          <w:sz w:val="17"/>
          <w:szCs w:val="17"/>
          <w:color w:val="auto"/>
        </w:rPr>
        <w:t>These provisions may also defer, delay or discourage a potential acquiror from conducting a solicitation of proxies to elect the acquiror’s own slate of directors or otherwise attempting to obtain control of our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Classified Board of Directors and Related Provisions</w:t>
      </w:r>
    </w:p>
    <w:p>
      <w:pPr>
        <w:spacing w:after="0" w:line="108" w:lineRule="exact"/>
        <w:rPr>
          <w:sz w:val="20"/>
          <w:szCs w:val="20"/>
          <w:color w:val="auto"/>
        </w:rPr>
      </w:pPr>
    </w:p>
    <w:p>
      <w:pPr>
        <w:ind w:left="460" w:right="260" w:firstLine="413"/>
        <w:spacing w:after="0" w:line="260" w:lineRule="auto"/>
        <w:rPr>
          <w:sz w:val="20"/>
          <w:szCs w:val="20"/>
          <w:color w:val="auto"/>
        </w:rPr>
      </w:pPr>
      <w:r>
        <w:rPr>
          <w:rFonts w:ascii="Arial" w:cs="Arial" w:eastAsia="Arial" w:hAnsi="Arial"/>
          <w:sz w:val="17"/>
          <w:szCs w:val="17"/>
          <w:color w:val="auto"/>
        </w:rPr>
        <w:t>Our amended and restated certificate of incorporation provides that our Board will be divided into three classes, with one class being elected at each annual meeting of stockholders with termination staggered according to class. The classified board provision will prevent a third-party who acquires control of a majority of our outstanding voting stock from obtaining control of our Board.</w:t>
      </w:r>
    </w:p>
    <w:p>
      <w:pPr>
        <w:spacing w:after="0" w:line="175"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number of directors constituting our Board is determined from time to time by our Board. Our amended and restated certificate of incorporation also provides that, subject to any rights of any preferred stock then outstanding, any director may be removed from office at any time but only for cause so long as the Board is classified and only by the affirmative vote of the holders of at least a majority of the voting power of the outstanding shares entitled to vote in the election of directors, considered for this purpose as one class. In addition, our amended and restated certificate of incorporation provides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08"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Our amended and restated certificate of incorporation provides that, from and after the time that Advent and its affiliates collectively own less than 30% of the voting power of our then-outstanding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Section 203 of the DGCL</w:t>
      </w:r>
    </w:p>
    <w:p>
      <w:pPr>
        <w:spacing w:after="0" w:line="108"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Our amended and restated certificate of incorporation provides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apply even if the business combination could be considered beneficial by some stockholders. Our amended and restated certificate of incorporation contains provisions that have the same effect as Section 203 of the DGCL, but such provisions do not apply to Advent and Spectrum Equity and their affiliates. Although we have elected to opt out of the statute’s provisions, we could elect to be subject to Section 203 in the future.</w:t>
      </w:r>
    </w:p>
    <w:p>
      <w:pPr>
        <w:spacing w:after="0" w:line="9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780"/>
          </w:cols>
          <w:pgMar w:left="320" w:top="440" w:right="79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Amendment to Bylaws and Certificate of Incorporation</w:t>
      </w:r>
    </w:p>
    <w:p>
      <w:pPr>
        <w:spacing w:after="0" w:line="112"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ind w:left="460" w:right="400" w:hanging="3"/>
        <w:spacing w:after="0" w:line="288" w:lineRule="auto"/>
        <w:tabs>
          <w:tab w:leader="none" w:pos="66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affirmative vote of a majority of the directors, subject to any limitations set forth in the bylaws, without further stockholder action or (ii) the affirmative vote of at least a majority of the outstanding shares entitled to vote on the amendment, without further action by our Board.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Exclusive Forum</w:t>
      </w:r>
    </w:p>
    <w:p>
      <w:pPr>
        <w:spacing w:after="0" w:line="112"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67"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Our amended and restated certificate of incorporation also provides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175"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color w:val="auto"/>
        </w:rPr>
        <w:t>Additionally, because the Securities Act provides for concurrent federal and state jurisdiction, our amended and restated certificate of incorporation also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64"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Corporate Opportunities</w:t>
      </w:r>
    </w:p>
    <w:p>
      <w:pPr>
        <w:spacing w:after="0" w:line="112" w:lineRule="exact"/>
        <w:rPr>
          <w:sz w:val="20"/>
          <w:szCs w:val="20"/>
          <w:color w:val="auto"/>
        </w:rPr>
      </w:pPr>
    </w:p>
    <w:p>
      <w:pPr>
        <w:ind w:left="460" w:right="100" w:firstLine="413"/>
        <w:spacing w:after="0" w:line="277" w:lineRule="auto"/>
        <w:rPr>
          <w:sz w:val="20"/>
          <w:szCs w:val="20"/>
          <w:color w:val="auto"/>
        </w:rPr>
      </w:pPr>
      <w:r>
        <w:rPr>
          <w:rFonts w:ascii="Arial" w:cs="Arial" w:eastAsia="Arial" w:hAnsi="Arial"/>
          <w:sz w:val="16"/>
          <w:szCs w:val="16"/>
          <w:color w:val="auto"/>
        </w:rPr>
        <w:t>Our amended and restated certificate of incorporation provides that neither our Sponsors nor a director affiliated with our Sponsors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Listing</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Class A common stock is listed on Nasdaq under the symbol “DH.”</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760"/>
          </w:cols>
          <w:pgMar w:left="320" w:top="440" w:right="81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Transfer Agent and Registrar</w:t>
      </w:r>
    </w:p>
    <w:p>
      <w:pPr>
        <w:spacing w:after="0" w:line="112" w:lineRule="exact"/>
        <w:rPr>
          <w:sz w:val="20"/>
          <w:szCs w:val="20"/>
          <w:color w:val="auto"/>
        </w:rPr>
      </w:pPr>
    </w:p>
    <w:p>
      <w:pPr>
        <w:jc w:val="right"/>
        <w:ind w:right="3839"/>
        <w:spacing w:after="0"/>
        <w:rPr>
          <w:sz w:val="20"/>
          <w:szCs w:val="20"/>
          <w:color w:val="auto"/>
        </w:rPr>
      </w:pPr>
      <w:r>
        <w:rPr>
          <w:rFonts w:ascii="Arial" w:cs="Arial" w:eastAsia="Arial" w:hAnsi="Arial"/>
          <w:sz w:val="17"/>
          <w:szCs w:val="17"/>
          <w:color w:val="auto"/>
        </w:rPr>
        <w:t>The transfer agent and registrar for the Class A common stock is AST Financial.</w:t>
      </w:r>
    </w:p>
    <w:p>
      <w:pPr>
        <w:spacing w:after="0" w:line="14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139"/>
          </w:cols>
          <w:pgMar w:left="320" w:top="440" w:right="1440"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SHARES ELIGIBLE FOR FUTURE SALE</w:t>
      </w:r>
    </w:p>
    <w:p>
      <w:pPr>
        <w:spacing w:after="0" w:line="214" w:lineRule="exact"/>
        <w:rPr>
          <w:sz w:val="20"/>
          <w:szCs w:val="20"/>
          <w:color w:val="auto"/>
        </w:rPr>
      </w:pPr>
    </w:p>
    <w:p>
      <w:pPr>
        <w:ind w:left="460" w:right="100" w:firstLine="413"/>
        <w:spacing w:after="0" w:line="296" w:lineRule="auto"/>
        <w:rPr>
          <w:sz w:val="20"/>
          <w:szCs w:val="20"/>
          <w:color w:val="auto"/>
        </w:rPr>
      </w:pPr>
      <w:r>
        <w:rPr>
          <w:rFonts w:ascii="Arial" w:cs="Arial" w:eastAsia="Arial" w:hAnsi="Arial"/>
          <w:sz w:val="15"/>
          <w:szCs w:val="15"/>
          <w:color w:val="auto"/>
        </w:rPr>
        <w:t>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Sale of Restricted Shares</w:t>
      </w:r>
    </w:p>
    <w:p>
      <w:pPr>
        <w:spacing w:after="0" w:line="112" w:lineRule="exact"/>
        <w:rPr>
          <w:sz w:val="20"/>
          <w:szCs w:val="20"/>
          <w:color w:val="auto"/>
        </w:rPr>
      </w:pPr>
    </w:p>
    <w:p>
      <w:pPr>
        <w:ind w:left="460" w:right="40" w:firstLine="413"/>
        <w:spacing w:after="0" w:line="289" w:lineRule="auto"/>
        <w:rPr>
          <w:sz w:val="20"/>
          <w:szCs w:val="20"/>
          <w:color w:val="auto"/>
        </w:rPr>
      </w:pPr>
      <w:r>
        <w:rPr>
          <w:rFonts w:ascii="Arial" w:cs="Arial" w:eastAsia="Arial" w:hAnsi="Arial"/>
          <w:sz w:val="15"/>
          <w:szCs w:val="15"/>
          <w:color w:val="auto"/>
        </w:rPr>
        <w:t>Upon the consummation of this offering, we will have 97,030,095 shares of Class A common stock (or 97,758,883 shares if the underwriters exercise their option to purchase additional shares of Class A common stock in full) outstanding. Of these shares, 28,888,888 shares, including the 11,000,000 shares sold in this offering, (or 30,538,888 shares if the underwriters exercise their option to purchase additional shares of Class A common stock in full) will be freely tradable, without further restriction or registration under the Securities Act, except any shares held by our “affiliates,” as that term is defined in Rule 144 under the Securities Act.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 this offering, approximately 68,141,207 of our outstanding shares of Class A common stock will be deemed “restricted securities,” as that term is defined under Rule 144, and would also be subject to the “lock-up” period noted below.</w:t>
      </w:r>
    </w:p>
    <w:p>
      <w:pPr>
        <w:spacing w:after="0" w:line="157"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In addition, upon the consummation of the offering, the Unitholders will own all of the 58,244,627 shares of our Class B common stock. The Unitholders, from time to time following the offering may require Definitive OpCo to exchange all or a portion of their LLC Units for newly-issued shares of Class A common stock on a one-for-one basis. Shares of our Class B common stock will be canceled on a one-for-one basis if we, following an exchange request of a Unitholder, exchange LLC Units of such Unitholder pursuant to the terms of the Amended LLC Agreement. Shares of our Class A common stock issuable to the Unitholders upon an exchange of LLC Units would be considered “restricted securities,” as that term is defined under Rule 144 and would also be subject to the “lock-up” period noted below.</w:t>
      </w:r>
    </w:p>
    <w:p>
      <w:pPr>
        <w:spacing w:after="0" w:line="167" w:lineRule="exact"/>
        <w:rPr>
          <w:sz w:val="20"/>
          <w:szCs w:val="20"/>
          <w:color w:val="auto"/>
        </w:rPr>
      </w:pPr>
    </w:p>
    <w:p>
      <w:pPr>
        <w:ind w:left="460" w:right="100" w:firstLine="413"/>
        <w:spacing w:after="0" w:line="293"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the consummation of this offering, the holders of approximately 126,385,834 shares of our Class A common stock (on an assumed as-exchanged basis) will be entitled to dispose of their shares following the expiration of an initial 180-day underwriter “lock-up” period from the IPO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Lock-up Arrangements and Registration Rights</w:t>
      </w:r>
    </w:p>
    <w:p>
      <w:pPr>
        <w:spacing w:after="0" w:line="112" w:lineRule="exact"/>
        <w:rPr>
          <w:sz w:val="20"/>
          <w:szCs w:val="20"/>
          <w:color w:val="auto"/>
        </w:rPr>
      </w:pPr>
    </w:p>
    <w:p>
      <w:pPr>
        <w:ind w:left="460" w:right="420" w:firstLine="413"/>
        <w:spacing w:after="0" w:line="340" w:lineRule="auto"/>
        <w:rPr>
          <w:sz w:val="20"/>
          <w:szCs w:val="20"/>
          <w:color w:val="auto"/>
        </w:rPr>
      </w:pPr>
      <w:r>
        <w:rPr>
          <w:rFonts w:ascii="Arial" w:cs="Arial" w:eastAsia="Arial" w:hAnsi="Arial"/>
          <w:sz w:val="15"/>
          <w:szCs w:val="15"/>
          <w:color w:val="auto"/>
        </w:rPr>
        <w:t>In connection with the IPO, we, each of our directors, executive officers and certain other stockholders, entered into lock-up agreements that restrict the sale of our securities for 180 days after September 14, 2021, subject to certain exceptions or an extension in certain circumstances.</w:t>
      </w:r>
    </w:p>
    <w:p>
      <w:pPr>
        <w:spacing w:after="0" w:line="119"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Goldman Sachs &amp; Co. LLC and J.P. Morgan Securities LLC intend to waive, with respect to the shares of Class A common stock and LLC Units being sold in the “synthetic secondary,” the restrictions under these lock-up agreements applicable to the participants in the “synthetic secondary” in connection with the “synthetic secondary.” The remaining shares and LLC Units held by such participants and not sold in the “synthetic secondary” will continue to be locked up under the IPO lock-up agreements.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780"/>
          </w:cols>
          <w:pgMar w:left="320" w:top="440" w:right="79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firstLine="413"/>
        <w:spacing w:after="0" w:line="256" w:lineRule="auto"/>
        <w:rPr>
          <w:sz w:val="20"/>
          <w:szCs w:val="20"/>
          <w:color w:val="auto"/>
        </w:rPr>
      </w:pPr>
      <w:r>
        <w:rPr>
          <w:rFonts w:ascii="Arial" w:cs="Arial" w:eastAsia="Arial" w:hAnsi="Arial"/>
          <w:sz w:val="17"/>
          <w:szCs w:val="17"/>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Registration Rights Agreement.” If these stockholders exercise this right, our other existing stockholders may require us to register their registrable securities.</w:t>
      </w:r>
    </w:p>
    <w:p>
      <w:pPr>
        <w:spacing w:after="0" w:line="179" w:lineRule="exact"/>
        <w:rPr>
          <w:sz w:val="20"/>
          <w:szCs w:val="20"/>
          <w:color w:val="auto"/>
        </w:rPr>
      </w:pPr>
    </w:p>
    <w:p>
      <w:pPr>
        <w:ind w:left="460" w:right="140" w:firstLine="413"/>
        <w:spacing w:after="0" w:line="303" w:lineRule="auto"/>
        <w:rPr>
          <w:sz w:val="20"/>
          <w:szCs w:val="20"/>
          <w:color w:val="auto"/>
        </w:rPr>
      </w:pPr>
      <w:r>
        <w:rPr>
          <w:rFonts w:ascii="Arial" w:cs="Arial" w:eastAsia="Arial" w:hAnsi="Arial"/>
          <w:sz w:val="16"/>
          <w:szCs w:val="16"/>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Rule 144</w:t>
      </w:r>
    </w:p>
    <w:p>
      <w:pPr>
        <w:spacing w:after="0" w:line="112"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77" w:lineRule="exact"/>
        <w:rPr>
          <w:sz w:val="20"/>
          <w:szCs w:val="20"/>
          <w:color w:val="auto"/>
        </w:rPr>
      </w:pPr>
    </w:p>
    <w:p>
      <w:pPr>
        <w:ind w:left="1360" w:hanging="498"/>
        <w:spacing w:after="0"/>
        <w:tabs>
          <w:tab w:leader="none" w:pos="13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one percent of the total number of shares of our Class A common stock outstanding; or</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average weekly reported trading volume of our Class A common stock for the four calendar weeks prior to the sale.</w:t>
      </w:r>
    </w:p>
    <w:p>
      <w:pPr>
        <w:spacing w:after="0" w:line="210"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Such sales are also subject to specific manner of sale provisions, a six-month holding period requirement, notice requirements and the availability of current public information about us.</w:t>
      </w:r>
    </w:p>
    <w:p>
      <w:pPr>
        <w:spacing w:after="0" w:line="165"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None of our Class A common stock that are not subject to lock-up arrangements described above will be eligible for sale under Rule 144 upon the closing.</w:t>
      </w:r>
    </w:p>
    <w:p>
      <w:pPr>
        <w:spacing w:after="0" w:line="16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Rule 144 also provides that a person who is not deemed to have been an affiliate of ours at any time during the three months preceding a sale, and who has for at least six months beneficially owned shares of our Class A common stock that are restricted securities, will be entitled to freely sell such shares of our Class A common 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Rule 701</w:t>
      </w:r>
    </w:p>
    <w:p>
      <w:pPr>
        <w:spacing w:after="0" w:line="112"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Stock Issued Under Employee Plans</w:t>
      </w:r>
    </w:p>
    <w:p>
      <w:pPr>
        <w:spacing w:after="0" w:line="112" w:lineRule="exact"/>
        <w:rPr>
          <w:sz w:val="20"/>
          <w:szCs w:val="20"/>
          <w:color w:val="auto"/>
        </w:rPr>
      </w:pPr>
    </w:p>
    <w:p>
      <w:pPr>
        <w:ind w:left="460" w:right="200" w:firstLine="413"/>
        <w:spacing w:after="0" w:line="256" w:lineRule="auto"/>
        <w:rPr>
          <w:sz w:val="20"/>
          <w:szCs w:val="20"/>
          <w:color w:val="auto"/>
        </w:rPr>
      </w:pPr>
      <w:r>
        <w:rPr>
          <w:rFonts w:ascii="Arial" w:cs="Arial" w:eastAsia="Arial" w:hAnsi="Arial"/>
          <w:sz w:val="17"/>
          <w:szCs w:val="17"/>
          <w:color w:val="auto"/>
        </w:rPr>
        <w:t>We filed a registration statement on Form S-8 under the Securities Act on September 14, 2021, which became effective upon filing, to register stock issuable pursuant to awards granted under our 2021 Plan. Accordingly, shares of Class A common stock registered under such registration statement are available for sale in the open market following the effective date, unless such shares are subject to vesting restrictions with us, Rule 144 restrictions applicable to our affiliates or the lock-up restrictions described above.</w:t>
      </w:r>
    </w:p>
    <w:p>
      <w:pPr>
        <w:spacing w:after="0" w:line="11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760"/>
          </w:cols>
          <w:pgMar w:left="320" w:top="440" w:right="81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Additional Registration Statements</w:t>
      </w:r>
    </w:p>
    <w:p>
      <w:pPr>
        <w:spacing w:after="0" w:line="112"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We filed a registration statement on Form S-8 under the Securities Act to register 8,989,039 shares of our Class A common stock to be issued or reserved for issuance under our equity incentive plans and 1,498,173 shares of Class A common stock to be issued or reserved for issuance under our employee stock purchase plan. Accordingly, shares registered under such registration statement are available for sale in the open market, unless such shares are subject to vesting restrictions with us or the lock-up restrictions described above.</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600"/>
          </w:cols>
          <w:pgMar w:left="320" w:top="440" w:right="97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214" w:lineRule="exact"/>
        <w:rPr>
          <w:sz w:val="20"/>
          <w:szCs w:val="20"/>
          <w:color w:val="auto"/>
        </w:rPr>
      </w:pPr>
    </w:p>
    <w:p>
      <w:pPr>
        <w:ind w:left="460" w:firstLine="413"/>
        <w:spacing w:after="0" w:line="285" w:lineRule="auto"/>
        <w:rPr>
          <w:sz w:val="20"/>
          <w:szCs w:val="20"/>
          <w:color w:val="auto"/>
        </w:rPr>
      </w:pPr>
      <w:r>
        <w:rPr>
          <w:rFonts w:ascii="Arial" w:cs="Arial" w:eastAsia="Arial" w:hAnsi="Arial"/>
          <w:sz w:val="15"/>
          <w:szCs w:val="15"/>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63" w:lineRule="exact"/>
        <w:rPr>
          <w:sz w:val="20"/>
          <w:szCs w:val="20"/>
          <w:color w:val="auto"/>
        </w:rPr>
      </w:pPr>
    </w:p>
    <w:p>
      <w:pPr>
        <w:ind w:left="460" w:right="160" w:firstLine="413"/>
        <w:spacing w:after="0" w:line="303" w:lineRule="auto"/>
        <w:rPr>
          <w:sz w:val="20"/>
          <w:szCs w:val="20"/>
          <w:color w:val="auto"/>
        </w:rPr>
      </w:pPr>
      <w:r>
        <w:rPr>
          <w:rFonts w:ascii="Arial" w:cs="Arial" w:eastAsia="Arial" w:hAnsi="Arial"/>
          <w:sz w:val="16"/>
          <w:szCs w:val="16"/>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43" w:lineRule="exact"/>
        <w:rPr>
          <w:sz w:val="20"/>
          <w:szCs w:val="20"/>
          <w:color w:val="auto"/>
        </w:rPr>
      </w:pPr>
    </w:p>
    <w:p>
      <w:pPr>
        <w:ind w:left="460" w:right="460" w:firstLine="413"/>
        <w:spacing w:after="0" w:line="303" w:lineRule="auto"/>
        <w:rPr>
          <w:sz w:val="20"/>
          <w:szCs w:val="20"/>
          <w:color w:val="auto"/>
        </w:rPr>
      </w:pPr>
      <w:r>
        <w:rPr>
          <w:rFonts w:ascii="Arial" w:cs="Arial" w:eastAsia="Arial" w:hAnsi="Arial"/>
          <w:sz w:val="16"/>
          <w:szCs w:val="16"/>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5" w:lineRule="exact"/>
        <w:rPr>
          <w:sz w:val="20"/>
          <w:szCs w:val="20"/>
          <w:color w:val="auto"/>
        </w:rPr>
      </w:pPr>
    </w:p>
    <w:p>
      <w:pPr>
        <w:ind w:left="1360" w:hanging="498"/>
        <w:spacing w:after="0"/>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121" w:lineRule="exact"/>
        <w:rPr>
          <w:rFonts w:ascii="Arial" w:cs="Arial" w:eastAsia="Arial" w:hAnsi="Arial"/>
          <w:sz w:val="17"/>
          <w:szCs w:val="17"/>
          <w:color w:val="auto"/>
        </w:rPr>
      </w:pPr>
    </w:p>
    <w:p>
      <w:pPr>
        <w:ind w:left="1360" w:right="320" w:hanging="498"/>
        <w:spacing w:after="0" w:line="272" w:lineRule="auto"/>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that is created or organized in or under the laws of the U.S., any state thereof or the District of Columbia,</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1" w:lineRule="exact"/>
        <w:rPr>
          <w:rFonts w:ascii="Arial" w:cs="Arial" w:eastAsia="Arial" w:hAnsi="Arial"/>
          <w:sz w:val="17"/>
          <w:szCs w:val="17"/>
          <w:color w:val="auto"/>
        </w:rPr>
      </w:pPr>
    </w:p>
    <w:p>
      <w:pPr>
        <w:ind w:left="1360" w:right="120" w:hanging="498"/>
        <w:spacing w:after="0" w:line="256" w:lineRule="auto"/>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79"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 owner of such a pass-through entity, holding shares of our Class A common stock is urged to consult its own tax advisor as to the particular U.S. federal income tax consequences applicable to it.</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760"/>
          </w:cols>
          <w:pgMar w:left="320" w:top="440" w:right="81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120" w:firstLine="413"/>
        <w:spacing w:after="0" w:line="284" w:lineRule="auto"/>
        <w:rPr>
          <w:sz w:val="20"/>
          <w:szCs w:val="20"/>
          <w:color w:val="auto"/>
        </w:rPr>
      </w:pPr>
      <w:r>
        <w:rPr>
          <w:rFonts w:ascii="Arial" w:cs="Arial" w:eastAsia="Arial" w:hAnsi="Arial"/>
          <w:sz w:val="16"/>
          <w:szCs w:val="16"/>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Distributions on Class A Common Stock</w:t>
      </w:r>
    </w:p>
    <w:p>
      <w:pPr>
        <w:spacing w:after="0" w:line="112"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“—Sales or Other Taxable Dispositions of Class A Common Stock.”</w:t>
      </w:r>
    </w:p>
    <w:p>
      <w:pPr>
        <w:spacing w:after="0" w:line="152" w:lineRule="exact"/>
        <w:rPr>
          <w:sz w:val="20"/>
          <w:szCs w:val="20"/>
          <w:color w:val="auto"/>
        </w:rPr>
      </w:pPr>
    </w:p>
    <w:p>
      <w:pPr>
        <w:ind w:left="460" w:right="20" w:firstLine="413"/>
        <w:spacing w:after="0" w:line="287" w:lineRule="auto"/>
        <w:rPr>
          <w:sz w:val="20"/>
          <w:szCs w:val="20"/>
          <w:color w:val="auto"/>
        </w:rPr>
      </w:pPr>
      <w:r>
        <w:rPr>
          <w:rFonts w:ascii="Arial" w:cs="Arial" w:eastAsia="Arial" w:hAnsi="Arial"/>
          <w:sz w:val="15"/>
          <w:szCs w:val="15"/>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59"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Sales or Other Taxable Dispositions of Class A Common Stock</w:t>
      </w:r>
    </w:p>
    <w:p>
      <w:pPr>
        <w:spacing w:after="0" w:line="112" w:lineRule="exact"/>
        <w:rPr>
          <w:sz w:val="20"/>
          <w:szCs w:val="20"/>
          <w:color w:val="auto"/>
        </w:rPr>
      </w:pPr>
    </w:p>
    <w:p>
      <w:pPr>
        <w:ind w:left="460" w:right="400" w:firstLine="413"/>
        <w:spacing w:after="0" w:line="340" w:lineRule="auto"/>
        <w:rPr>
          <w:sz w:val="20"/>
          <w:szCs w:val="20"/>
          <w:color w:val="auto"/>
        </w:rPr>
      </w:pPr>
      <w:r>
        <w:rPr>
          <w:rFonts w:ascii="Arial" w:cs="Arial" w:eastAsia="Arial" w:hAnsi="Arial"/>
          <w:sz w:val="15"/>
          <w:szCs w:val="15"/>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31" w:lineRule="exact"/>
        <w:rPr>
          <w:sz w:val="20"/>
          <w:szCs w:val="20"/>
          <w:color w:val="auto"/>
        </w:rPr>
      </w:pPr>
    </w:p>
    <w:p>
      <w:pPr>
        <w:ind w:left="1360" w:right="20" w:hanging="498"/>
        <w:spacing w:after="0" w:line="272"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U.S. and the non-U.S. holder’s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780"/>
          </w:cols>
          <w:pgMar w:left="320" w:top="440" w:right="79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740"/>
        <w:spacing w:after="0" w:line="303" w:lineRule="auto"/>
        <w:rPr>
          <w:sz w:val="20"/>
          <w:szCs w:val="20"/>
          <w:color w:val="auto"/>
        </w:rPr>
      </w:pPr>
      <w:r>
        <w:rPr>
          <w:rFonts w:ascii="Arial" w:cs="Arial" w:eastAsia="Arial" w:hAnsi="Arial"/>
          <w:sz w:val="16"/>
          <w:szCs w:val="16"/>
          <w:color w:val="auto"/>
        </w:rPr>
        <w:t>country of residence, is attributable to a permanent establishment (or, in certain cases involving individual holders, a fixed base) maintained by the non-U.S. holder in the U.S. (in which case the special rules described below apply),</w:t>
      </w:r>
    </w:p>
    <w:p>
      <w:pPr>
        <w:spacing w:after="0" w:line="55" w:lineRule="exact"/>
        <w:rPr>
          <w:sz w:val="20"/>
          <w:szCs w:val="20"/>
          <w:color w:val="auto"/>
        </w:rPr>
      </w:pPr>
    </w:p>
    <w:p>
      <w:pPr>
        <w:ind w:left="1360" w:right="140" w:hanging="498"/>
        <w:spacing w:after="0" w:line="256"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0" w:lineRule="exact"/>
        <w:rPr>
          <w:rFonts w:ascii="Arial" w:cs="Arial" w:eastAsia="Arial" w:hAnsi="Arial"/>
          <w:sz w:val="17"/>
          <w:szCs w:val="17"/>
          <w:color w:val="auto"/>
        </w:rPr>
      </w:pPr>
    </w:p>
    <w:p>
      <w:pPr>
        <w:ind w:left="1360" w:right="100" w:hanging="498"/>
        <w:spacing w:after="0" w:line="260"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75"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74"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12" w:lineRule="exact"/>
        <w:rPr>
          <w:sz w:val="20"/>
          <w:szCs w:val="20"/>
          <w:color w:val="auto"/>
        </w:rPr>
      </w:pPr>
    </w:p>
    <w:p>
      <w:pPr>
        <w:ind w:left="460" w:right="80" w:firstLine="413"/>
        <w:spacing w:after="0" w:line="291" w:lineRule="auto"/>
        <w:rPr>
          <w:sz w:val="20"/>
          <w:szCs w:val="20"/>
          <w:color w:val="auto"/>
        </w:rPr>
      </w:pPr>
      <w:r>
        <w:rPr>
          <w:rFonts w:ascii="Arial" w:cs="Arial" w:eastAsia="Arial" w:hAnsi="Arial"/>
          <w:sz w:val="15"/>
          <w:szCs w:val="15"/>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w:t>
      </w:r>
    </w:p>
    <w:p>
      <w:pPr>
        <w:spacing w:after="0" w:line="157" w:lineRule="exact"/>
        <w:rPr>
          <w:sz w:val="20"/>
          <w:szCs w:val="20"/>
          <w:color w:val="auto"/>
        </w:rPr>
      </w:pPr>
    </w:p>
    <w:p>
      <w:pPr>
        <w:ind w:left="460" w:right="20" w:firstLine="413"/>
        <w:spacing w:after="0" w:line="303" w:lineRule="auto"/>
        <w:rPr>
          <w:sz w:val="20"/>
          <w:szCs w:val="20"/>
          <w:color w:val="auto"/>
        </w:rPr>
      </w:pPr>
      <w:r>
        <w:rPr>
          <w:rFonts w:ascii="Arial" w:cs="Arial" w:eastAsia="Arial" w:hAnsi="Arial"/>
          <w:sz w:val="16"/>
          <w:szCs w:val="16"/>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8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780"/>
          </w:cols>
          <w:pgMar w:left="320" w:top="440" w:right="79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Withholding Taxes</w:t>
      </w:r>
    </w:p>
    <w:p>
      <w:pPr>
        <w:spacing w:after="0" w:line="112"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67" w:lineRule="exact"/>
        <w:rPr>
          <w:sz w:val="20"/>
          <w:szCs w:val="20"/>
          <w:color w:val="auto"/>
        </w:rPr>
      </w:pPr>
    </w:p>
    <w:p>
      <w:pPr>
        <w:ind w:left="460" w:right="80" w:firstLine="413"/>
        <w:spacing w:after="0" w:line="255"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760"/>
          </w:cols>
          <w:pgMar w:left="320" w:top="440" w:right="81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UNDERWRITING</w:t>
      </w:r>
    </w:p>
    <w:p>
      <w:pPr>
        <w:spacing w:after="0" w:line="214" w:lineRule="exact"/>
        <w:rPr>
          <w:sz w:val="20"/>
          <w:szCs w:val="20"/>
          <w:color w:val="auto"/>
        </w:rPr>
      </w:pPr>
    </w:p>
    <w:p>
      <w:pPr>
        <w:jc w:val="both"/>
        <w:ind w:left="460" w:firstLine="413"/>
        <w:spacing w:after="0" w:line="311" w:lineRule="auto"/>
        <w:rPr>
          <w:sz w:val="20"/>
          <w:szCs w:val="20"/>
          <w:color w:val="auto"/>
        </w:rPr>
      </w:pPr>
      <w:r>
        <w:rPr>
          <w:rFonts w:ascii="Arial" w:cs="Arial" w:eastAsia="Arial" w:hAnsi="Arial"/>
          <w:sz w:val="15"/>
          <w:szCs w:val="15"/>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57" w:lineRule="exact"/>
        <w:rPr>
          <w:sz w:val="20"/>
          <w:szCs w:val="20"/>
          <w:color w:val="auto"/>
        </w:rPr>
      </w:pPr>
    </w:p>
    <w:tbl>
      <w:tblPr>
        <w:tblLayout w:type="fixed"/>
        <w:tblInd w:w="2120" w:type="dxa"/>
        <w:tblCellMar>
          <w:top w:w="0" w:type="dxa"/>
          <w:left w:w="0" w:type="dxa"/>
          <w:bottom w:w="0" w:type="dxa"/>
          <w:right w:w="0" w:type="dxa"/>
        </w:tblCellMar>
      </w:tblPr>
      <w:tr>
        <w:trPr>
          <w:trHeight w:val="180"/>
        </w:trPr>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Underwriters</w:t>
            </w:r>
          </w:p>
        </w:tc>
        <w:tc>
          <w:tcPr>
            <w:tcW w:w="514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w w:val="96"/>
              </w:rPr>
              <w:t>Number of Shares</w:t>
            </w:r>
          </w:p>
        </w:tc>
      </w:tr>
      <w:tr>
        <w:trPr>
          <w:trHeight w:val="188"/>
        </w:trPr>
        <w:tc>
          <w:tcPr>
            <w:tcW w:w="59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Goldman Sachs &amp; Co. LLC</w:t>
            </w:r>
          </w:p>
        </w:tc>
        <w:tc>
          <w:tcPr>
            <w:tcW w:w="10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2,750,000</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J.P. Morgan Securities LLC</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2,750,000</w:t>
            </w:r>
          </w:p>
        </w:tc>
        <w:tc>
          <w:tcPr>
            <w:tcW w:w="4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Stanley &amp; Co. LLC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1,650,000</w:t>
            </w:r>
          </w:p>
        </w:tc>
        <w:tc>
          <w:tcPr>
            <w:tcW w:w="4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Barclays Capital Inc.</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1,100,000</w:t>
            </w:r>
          </w:p>
        </w:tc>
        <w:tc>
          <w:tcPr>
            <w:tcW w:w="4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Suisse Securities (USA) LLC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825,000</w:t>
            </w:r>
          </w:p>
        </w:tc>
        <w:tc>
          <w:tcPr>
            <w:tcW w:w="4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Deutsche Bank Securities Inc.</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825,000</w:t>
            </w:r>
          </w:p>
        </w:tc>
        <w:tc>
          <w:tcPr>
            <w:tcW w:w="4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Canaccord Genuity LLC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330,000</w:t>
            </w:r>
          </w:p>
        </w:tc>
        <w:tc>
          <w:tcPr>
            <w:tcW w:w="4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Raymond James &amp; Associates, Inc.</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330,000</w:t>
            </w:r>
          </w:p>
        </w:tc>
        <w:tc>
          <w:tcPr>
            <w:tcW w:w="4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Stifel, Nicolaus &amp; Company, Incorporated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330,000</w:t>
            </w:r>
          </w:p>
        </w:tc>
        <w:tc>
          <w:tcPr>
            <w:tcW w:w="4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Drexel Hamilton, LLC</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55,000</w:t>
            </w:r>
          </w:p>
        </w:tc>
        <w:tc>
          <w:tcPr>
            <w:tcW w:w="4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Loop Capital Markets LLC</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8"/>
        </w:trPr>
        <w:tc>
          <w:tcPr>
            <w:tcW w:w="592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11,000,000</w:t>
            </w:r>
          </w:p>
        </w:tc>
        <w:tc>
          <w:tcPr>
            <w:tcW w:w="4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65"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The underwriters have an option to buy up to an additional 1,650,000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79" w:lineRule="exact"/>
        <w:rPr>
          <w:sz w:val="20"/>
          <w:szCs w:val="20"/>
          <w:color w:val="auto"/>
        </w:rPr>
      </w:pPr>
    </w:p>
    <w:p>
      <w:pPr>
        <w:ind w:left="460" w:right="20" w:firstLine="413"/>
        <w:spacing w:after="0" w:line="340" w:lineRule="auto"/>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us. Such amounts are shown assuming both no exercise and full exercise of the underwriters’ option to purchase additional shares of our Class A common stock.</w:t>
      </w:r>
    </w:p>
    <w:p>
      <w:pPr>
        <w:spacing w:after="0" w:line="137" w:lineRule="exact"/>
        <w:rPr>
          <w:sz w:val="20"/>
          <w:szCs w:val="20"/>
          <w:color w:val="auto"/>
        </w:rPr>
      </w:pPr>
    </w:p>
    <w:tbl>
      <w:tblPr>
        <w:tblLayout w:type="fixed"/>
        <w:tblInd w:w="1700" w:type="dxa"/>
        <w:tblCellMar>
          <w:top w:w="0" w:type="dxa"/>
          <w:left w:w="0" w:type="dxa"/>
          <w:bottom w:w="0" w:type="dxa"/>
          <w:right w:w="0" w:type="dxa"/>
        </w:tblCellMar>
      </w:tblPr>
      <w:tr>
        <w:trPr>
          <w:trHeight w:val="180"/>
        </w:trPr>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Paid by Us</w:t>
            </w:r>
          </w:p>
        </w:tc>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b w:val="1"/>
                <w:bCs w:val="1"/>
                <w:color w:val="auto"/>
              </w:rPr>
              <w:t>No Exercise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2"/>
              </w:rPr>
              <w:t>Full Exercise</w:t>
            </w:r>
          </w:p>
        </w:tc>
      </w:tr>
      <w:tr>
        <w:trPr>
          <w:trHeight w:val="188"/>
        </w:trPr>
        <w:tc>
          <w:tcPr>
            <w:tcW w:w="6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7"/>
                <w:szCs w:val="17"/>
                <w:color w:val="auto"/>
                <w:w w:val="84"/>
              </w:rPr>
              <w:t>Per share</w:t>
            </w:r>
          </w:p>
        </w:tc>
        <w:tc>
          <w:tcPr>
            <w:tcW w:w="47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1.26</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1.26</w:t>
            </w: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640" w:type="dxa"/>
            <w:vAlign w:val="bottom"/>
          </w:tcPr>
          <w:p>
            <w:pPr>
              <w:spacing w:after="0"/>
              <w:rPr>
                <w:sz w:val="20"/>
                <w:szCs w:val="20"/>
                <w:color w:val="auto"/>
              </w:rPr>
            </w:pPr>
            <w:r>
              <w:rPr>
                <w:rFonts w:ascii="Arial" w:cs="Arial" w:eastAsia="Arial" w:hAnsi="Arial"/>
                <w:sz w:val="17"/>
                <w:szCs w:val="17"/>
                <w:color w:val="auto"/>
              </w:rPr>
              <w:t>Total</w:t>
            </w:r>
          </w:p>
        </w:tc>
        <w:tc>
          <w:tcPr>
            <w:tcW w:w="4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13,860,000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15,939,000</w:t>
            </w:r>
          </w:p>
        </w:tc>
      </w:tr>
    </w:tbl>
    <w:p>
      <w:pPr>
        <w:spacing w:after="0" w:line="17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Shares of our Class A common stock sold by the underwriters to the public will initially be offered at the public offering price set forth on the cover page of this prospectus. Any shares of our Class A common stock sold by the underwriters to securities dealers may be sold at a discount of up to $0.756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1"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We and Definitive OpCo have agreed with the underwriters not to offer, pledge, sell, contract to sell, sell any option or contract to purchase, purchase any option or contract to sell, grant any option, right or warrant to purchase, lend or otherwise transfer or dispose of any shares of, or securities convertible into or exchangeable for shares of, our Class A common stock during the period from the date of this prospectus continuing through the date 90 days after the date of this prospectus, or, if later, March 13, 2021, except with the prior written consent of Goldman Sachs &amp; Co. LLC and J.P. Morgan Securities LLC. These restrictions do not apply to (i) the issuance of shares of, or securities convertible into or exercisable for shares of, our Class A common stock pursuant to the conversion or exchange of convertible or exchangeable securities or the exercise of warrants or options or the</w:t>
      </w:r>
    </w:p>
    <w:p>
      <w:pPr>
        <w:spacing w:after="0" w:line="9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740"/>
          </w:cols>
          <w:pgMar w:left="320" w:top="440" w:right="8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spacing w:after="0" w:line="269" w:lineRule="auto"/>
        <w:rPr>
          <w:sz w:val="20"/>
          <w:szCs w:val="20"/>
          <w:color w:val="auto"/>
        </w:rPr>
      </w:pPr>
      <w:r>
        <w:rPr>
          <w:rFonts w:ascii="Arial" w:cs="Arial" w:eastAsia="Arial" w:hAnsi="Arial"/>
          <w:sz w:val="16"/>
          <w:szCs w:val="16"/>
          <w:color w:val="auto"/>
        </w:rPr>
        <w:t>settlement of RSUs, in each case outstanding on the date of the underwriting agreement; (ii) grants of equity awards and the issuance of shares of, or securities convertible into or exercisable or exchangeable for shares of, our Class A common stock pursuant to an equity compensation plan; (iii) the issuance of up to 10% of the outstanding shares of, or securities convertible into, exercisable for or which are otherwise exchangeable for, shares of our Class A common stock in acquisitions or other similar strategic transactions; (iv) the establishment of a trading plan pursuant to Rule 10b5-1 under the Exchange Act, provided certain conditions are met; or (v) the filing of any registration statement on Form S-8 relating to certain equity incentive plans; provided that we shall cause the recipient of any securities sold or issued pursuant to clauses (iv) and (v) to agree in writing to be bound by the restrictions set forth in the lock-up agreement described below. Nor do the restrictions prohibit non-public submission to the SEC of any registration statements under the Securities Act, provided certain conditions are met. In connection with the IPO, we made a similar agreement with respect to the period ending 180 days after September 14, 2021.</w:t>
      </w:r>
    </w:p>
    <w:p>
      <w:pPr>
        <w:spacing w:after="0" w:line="170"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In connection with our IPO, our directors, executive officers and the holders of substantially all of our Class A common stock, and securities convertible into, exchangeable for or that represent the right to receive Class A common stock, entered into lock-up agreements with the underwriters pursuant to which they have agreed that, for a period ending 180 days after September 14, 2021 (the “Lock-up Period”), and without the prior written consent of Goldman Sachs &amp; Co. LLC and J.P. Morgan Securities LLC, they will not (a) offer, pledge, sell, contract to sell, sell any option or contract to purchase, purchase any option or contract to sell, grant any option, right or warrant to purchase, lend, or otherwise transfer or dispose of, directly or indirectly, any shares of, or any securities convertible into or exercisable or exchangeable for, our common stock (the “Lock-up Securities”), (b) enter into any hedging or other agreement or transaction that transfers any of the economic consequences of ownership of the Lock-Up Securities (whether any such transaction described in clause (a) or (b) is to be settled by delivery of any Lock-Up Securities, in cash or otherwise) or (c) publicly disclose the intention to do any of the foregoing.</w:t>
      </w:r>
    </w:p>
    <w:p>
      <w:pPr>
        <w:spacing w:after="0" w:line="2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restrictions described in the immediately preceding paragraph do not apply to:</w:t>
      </w:r>
    </w:p>
    <w:p>
      <w:pPr>
        <w:spacing w:after="0" w:line="121" w:lineRule="exact"/>
        <w:rPr>
          <w:sz w:val="20"/>
          <w:szCs w:val="20"/>
          <w:color w:val="auto"/>
        </w:rPr>
      </w:pPr>
    </w:p>
    <w:p>
      <w:pPr>
        <w:ind w:left="1360" w:hanging="498"/>
        <w:spacing w:after="0"/>
        <w:tabs>
          <w:tab w:leader="none" w:pos="13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sale of our Class A common stock to the underwriters in our IPO;</w:t>
      </w:r>
    </w:p>
    <w:p>
      <w:pPr>
        <w:spacing w:after="0" w:line="121" w:lineRule="exact"/>
        <w:rPr>
          <w:rFonts w:ascii="Arial" w:cs="Arial" w:eastAsia="Arial" w:hAnsi="Arial"/>
          <w:sz w:val="17"/>
          <w:szCs w:val="17"/>
          <w:color w:val="auto"/>
        </w:rPr>
      </w:pPr>
    </w:p>
    <w:p>
      <w:pPr>
        <w:ind w:left="1360" w:right="100" w:hanging="498"/>
        <w:spacing w:after="0" w:line="296" w:lineRule="auto"/>
        <w:tabs>
          <w:tab w:leader="none" w:pos="13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transfers by will or intestacy; provided that (x) any such transfer shall not involve a disposition for value and each recipient shall agree in writing to be bound by the restrictions set forth in the lock-up agreements and (y)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63" w:lineRule="exact"/>
        <w:rPr>
          <w:rFonts w:ascii="Arial" w:cs="Arial" w:eastAsia="Arial" w:hAnsi="Arial"/>
          <w:sz w:val="15"/>
          <w:szCs w:val="15"/>
          <w:color w:val="auto"/>
        </w:rPr>
      </w:pPr>
    </w:p>
    <w:p>
      <w:pPr>
        <w:ind w:left="1360" w:hanging="498"/>
        <w:spacing w:after="0" w:line="283" w:lineRule="auto"/>
        <w:tabs>
          <w:tab w:leader="none" w:pos="13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transfers (A) as a bona fide gift or gifts, (B) to any trust, partnership, limited liability company or other entity for the benefit of the holder, the immediate family of the holder, or if the holder is a trust, to a trustor or beneficiary of the trust or to the estate of a beneficiary of such trust, or any private foundation or similar charitable organization over which the holder has control, provided that any such transfers to a private foundation or similar charitable organization shall not, in the aggregate and together with any such transfers pursuant to any substantially similar lock-up agreement with the representatives of the underwriters, exceed 1.00% of the outstanding shares of our common stock immediately following the offering, (C) to any partnership, limited liability company or other entity of which the holder and the holder’s immediate family are the legal and beneficial owner of all of the outstanding equity securities or similar interests, (D) to any immediate family member or investment fund or other entity controlled or managed by the holder or (E) if the holder is a business entity,</w:t>
      </w:r>
    </w:p>
    <w:p>
      <w:pPr>
        <w:spacing w:after="0" w:line="5" w:lineRule="exact"/>
        <w:rPr>
          <w:rFonts w:ascii="Arial" w:cs="Arial" w:eastAsia="Arial" w:hAnsi="Arial"/>
          <w:sz w:val="15"/>
          <w:szCs w:val="15"/>
          <w:color w:val="auto"/>
        </w:rPr>
      </w:pPr>
    </w:p>
    <w:p>
      <w:pPr>
        <w:jc w:val="both"/>
        <w:ind w:left="1360"/>
        <w:spacing w:after="0" w:line="281" w:lineRule="auto"/>
        <w:rPr>
          <w:rFonts w:ascii="Arial" w:cs="Arial" w:eastAsia="Arial" w:hAnsi="Arial"/>
          <w:sz w:val="15"/>
          <w:szCs w:val="15"/>
          <w:color w:val="auto"/>
        </w:rPr>
      </w:pPr>
      <w:r>
        <w:rPr>
          <w:rFonts w:ascii="Arial" w:cs="Arial" w:eastAsia="Arial" w:hAnsi="Arial"/>
          <w:sz w:val="15"/>
          <w:szCs w:val="15"/>
          <w:color w:val="auto"/>
        </w:rPr>
        <w:t>(1) to another business entity that is an affiliate of the holder, or to any investment fund or other entity controlling, controlled by, managing or managed by or under common control with the holder or affiliates of the holder or (2) as part of a distribution to limited partners, limited liability company members or shareholders of the holder, or holders of similar equity interests in the holder; provided, in each case, that</w:t>
      </w:r>
    </w:p>
    <w:p>
      <w:pPr>
        <w:spacing w:after="0" w:line="2" w:lineRule="exact"/>
        <w:rPr>
          <w:rFonts w:ascii="Arial" w:cs="Arial" w:eastAsia="Arial" w:hAnsi="Arial"/>
          <w:sz w:val="15"/>
          <w:szCs w:val="15"/>
          <w:color w:val="auto"/>
        </w:rPr>
      </w:pPr>
    </w:p>
    <w:p>
      <w:pPr>
        <w:ind w:left="1360" w:right="240"/>
        <w:spacing w:after="0" w:line="257" w:lineRule="auto"/>
        <w:rPr>
          <w:rFonts w:ascii="Arial" w:cs="Arial" w:eastAsia="Arial" w:hAnsi="Arial"/>
          <w:sz w:val="15"/>
          <w:szCs w:val="15"/>
          <w:color w:val="auto"/>
        </w:rPr>
      </w:pPr>
      <w:r>
        <w:rPr>
          <w:rFonts w:ascii="Arial" w:cs="Arial" w:eastAsia="Arial" w:hAnsi="Arial"/>
          <w:sz w:val="17"/>
          <w:szCs w:val="17"/>
          <w:color w:val="auto"/>
        </w:rPr>
        <w:t>(x) any such transfer shall not involve a disposition for value and each recipient shall agree in writing to be bound by the restrictions set forth in the lock-up agreements and (y) no filing by any party under the Exchange Act</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780"/>
          </w:cols>
          <w:pgMar w:left="320" w:top="440" w:right="79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or other public announcement shall be required or made voluntarily in connection with such transfer;</w:t>
      </w:r>
    </w:p>
    <w:p>
      <w:pPr>
        <w:spacing w:after="0" w:line="121" w:lineRule="exact"/>
        <w:rPr>
          <w:sz w:val="20"/>
          <w:szCs w:val="20"/>
          <w:color w:val="auto"/>
        </w:rPr>
      </w:pPr>
    </w:p>
    <w:p>
      <w:pPr>
        <w:ind w:left="1360" w:right="40" w:hanging="498"/>
        <w:spacing w:after="0" w:line="289" w:lineRule="auto"/>
        <w:tabs>
          <w:tab w:leader="none" w:pos="13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transfers (A) by operation of law, (B) to a nominee or custodian of a person or entity to whom a disposition or transfer would be permissible under certain exceptions to the lock-up agreements, (C) pursuant to an order of certain courts or regulatory agencies; (D) as part of a sale of the holder’s Lock-Up Securities acquired in the offering (subject to certain exceptions) or open market transactions after the closing of the IPO or (E) to us in connection with the vesting, settlement or exercise of rights to purchase shares of our common stock, provided that any such shares received shall be subject to the terms of the lock-up agreements and that any such rights are held pursuant to certain equity incentive plans; provided, in each case, that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68" w:lineRule="exact"/>
        <w:rPr>
          <w:rFonts w:ascii="Arial" w:cs="Arial" w:eastAsia="Arial" w:hAnsi="Arial"/>
          <w:sz w:val="15"/>
          <w:szCs w:val="15"/>
          <w:color w:val="auto"/>
        </w:rPr>
      </w:pPr>
    </w:p>
    <w:p>
      <w:pPr>
        <w:ind w:left="1360" w:right="100" w:hanging="498"/>
        <w:spacing w:after="0" w:line="303" w:lineRule="auto"/>
        <w:tabs>
          <w:tab w:leader="none" w:pos="13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transfers to us from one of our employees upon death, disability or termination of employment or other service relationship with us or the holder’s failure to meet certain conditions set out upon receipt of such securities, in each case, of such employee;</w:t>
      </w:r>
    </w:p>
    <w:p>
      <w:pPr>
        <w:spacing w:after="0" w:line="54" w:lineRule="exact"/>
        <w:rPr>
          <w:rFonts w:ascii="Arial" w:cs="Arial" w:eastAsia="Arial" w:hAnsi="Arial"/>
          <w:sz w:val="16"/>
          <w:szCs w:val="16"/>
          <w:color w:val="auto"/>
        </w:rPr>
      </w:pPr>
    </w:p>
    <w:p>
      <w:pPr>
        <w:ind w:left="1360" w:right="440" w:hanging="498"/>
        <w:spacing w:after="0" w:line="260" w:lineRule="auto"/>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transfers pursuant to a bona fide third-party tender offer, merger, consolidation or other similar transaction made to all holders of our capital stock involving a change of control, provided that in the event that such transaction is not completed, the holder’s Lock-Up Securities shall remain subject to the restrictions set forth in the lock-up agreements;</w:t>
      </w:r>
    </w:p>
    <w:p>
      <w:pPr>
        <w:spacing w:after="0" w:line="86" w:lineRule="exact"/>
        <w:rPr>
          <w:rFonts w:ascii="Arial" w:cs="Arial" w:eastAsia="Arial" w:hAnsi="Arial"/>
          <w:sz w:val="17"/>
          <w:szCs w:val="17"/>
          <w:color w:val="auto"/>
        </w:rPr>
      </w:pPr>
    </w:p>
    <w:p>
      <w:pPr>
        <w:ind w:left="1360" w:hanging="498"/>
        <w:spacing w:after="0"/>
        <w:tabs>
          <w:tab w:leader="none" w:pos="13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 the exercise of outstanding options or warrants or the settlement of other equity awards pursuant to certain equity incentive plans or</w:t>
      </w:r>
    </w:p>
    <w:p>
      <w:pPr>
        <w:spacing w:after="0" w:line="41" w:lineRule="exact"/>
        <w:rPr>
          <w:rFonts w:ascii="Arial" w:cs="Arial" w:eastAsia="Arial" w:hAnsi="Arial"/>
          <w:sz w:val="15"/>
          <w:szCs w:val="15"/>
          <w:color w:val="auto"/>
        </w:rPr>
      </w:pPr>
    </w:p>
    <w:p>
      <w:pPr>
        <w:ind w:left="1360" w:right="40"/>
        <w:spacing w:after="0" w:line="253" w:lineRule="auto"/>
        <w:rPr>
          <w:rFonts w:ascii="Arial" w:cs="Arial" w:eastAsia="Arial" w:hAnsi="Arial"/>
          <w:sz w:val="15"/>
          <w:szCs w:val="15"/>
          <w:color w:val="auto"/>
        </w:rPr>
      </w:pPr>
      <w:r>
        <w:rPr>
          <w:rFonts w:ascii="Arial" w:cs="Arial" w:eastAsia="Arial" w:hAnsi="Arial"/>
          <w:sz w:val="17"/>
          <w:szCs w:val="17"/>
          <w:color w:val="auto"/>
        </w:rPr>
        <w:t>(B) the conversion of outstanding shares of our preferred stock, warrants to acquire shares of our preferred stock or convertible securities into, or warrants to acquire shares of, our common stock; provided, in each case, that any securities received are subject to the terms of the lock-up agreements; or</w:t>
      </w:r>
    </w:p>
    <w:p>
      <w:pPr>
        <w:spacing w:after="0" w:line="91" w:lineRule="exact"/>
        <w:rPr>
          <w:rFonts w:ascii="Arial" w:cs="Arial" w:eastAsia="Arial" w:hAnsi="Arial"/>
          <w:sz w:val="15"/>
          <w:szCs w:val="15"/>
          <w:color w:val="auto"/>
        </w:rPr>
      </w:pPr>
    </w:p>
    <w:p>
      <w:pPr>
        <w:ind w:left="1360" w:right="160" w:hanging="498"/>
        <w:spacing w:after="0" w:line="274" w:lineRule="auto"/>
        <w:tabs>
          <w:tab w:leader="none" w:pos="13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provided that (A) no such plan shall provide for the transfer of any Lock-Up Securities during the Lock-up Period and (B) no filing under the Exchange Act or other public announcement shall be required or voluntarily made in connection with such trading plan and any public announcement or public filing under the Exchange Act regarding the establishment of such plan shall include a statement that such individual is not permitted to transfer, sell or otherwise dispose of any Lock-up Securities during the Lock-up Period.</w:t>
      </w:r>
    </w:p>
    <w:p>
      <w:pPr>
        <w:spacing w:after="0" w:line="165"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the event that, during the Lock-Up Period, Goldman Sachs &amp; Co. LLC and J.P. Morgan Securities LLC release or waive any prohibition set forth in the lock-up agreements (a “Triggering Release”), at the time of the request of the Triggering Release, and subject to certain exceptions, the same percentage of securities of the holder as the percentage of securities being released in the Triggering Release represents with respect to the securities held directly or indirectly by each such holder shall be automatically and concurrently released from the lock-up agreement to the same extent; provided that, if such Triggering Release is effected in connection with an underwritten public offering that is a secondary offering of our Class A common stock, such securities shall only be released to the extent necessary to permit the offer, transfer and sale of such securities in the underwritten offering, and any securities subject to the lock-up agreement that are not actually sold in the underwritten offering will not be deemed released from the restrictions of the lock-up agreement.</w:t>
      </w:r>
    </w:p>
    <w:p>
      <w:pPr>
        <w:spacing w:after="0" w:line="174"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In connection with this offering, Goldman Sachs &amp; Co. LLC and J.P. Morgan LLC have agreed to waive the lock-up restrictions applicable to us for purposes of this offering. Also in connection with this offering and the “synthetic secondary,” Goldman Sachs &amp; Co. LLC and J.P. Morgan Securities LLC intend to waive, with respect to the shares of Class A common stock and LLC Units being sold in the “synthetic secondary,” the restrictions under these lock-up agreements applicable to the participants in the “synthetic secondary,” including certain of our directors and officers. This waiver relates only to the sale of shares in the “synthetic secondary” and becomes effective at the time of pricing of this offering. The remaining shares and LLC Units held by such participants</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760"/>
          </w:cols>
          <w:pgMar w:left="320" w:top="440" w:right="81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60"/>
        <w:spacing w:after="0" w:line="272" w:lineRule="auto"/>
        <w:rPr>
          <w:sz w:val="20"/>
          <w:szCs w:val="20"/>
          <w:color w:val="auto"/>
        </w:rPr>
      </w:pPr>
      <w:r>
        <w:rPr>
          <w:rFonts w:ascii="Arial" w:cs="Arial" w:eastAsia="Arial" w:hAnsi="Arial"/>
          <w:sz w:val="17"/>
          <w:szCs w:val="17"/>
          <w:color w:val="auto"/>
        </w:rPr>
        <w:t>and not sold in the “synthetic secondary” will continue to be locked up under the IPO lock-up agreements until the expiration of the original 180-day lock-up period ending on March 13, 2021.</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common stock is listed on Nasdaq under the symbol “DH.”</w:t>
      </w:r>
    </w:p>
    <w:p>
      <w:pPr>
        <w:spacing w:after="0" w:line="210"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65"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discounts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left="460" w:right="20" w:firstLine="413"/>
        <w:spacing w:after="0" w:line="296"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estimate that our share of the total expenses of this offering, excluding underwriting discounts and Commissions, will be approximately</w:t>
      </w:r>
    </w:p>
    <w:p>
      <w:pPr>
        <w:spacing w:after="0" w:line="30" w:lineRule="exact"/>
        <w:rPr>
          <w:sz w:val="20"/>
          <w:szCs w:val="20"/>
          <w:color w:val="auto"/>
        </w:rPr>
      </w:pPr>
    </w:p>
    <w:p>
      <w:pPr>
        <w:ind w:left="460" w:right="160"/>
        <w:spacing w:after="0" w:line="257" w:lineRule="auto"/>
        <w:rPr>
          <w:sz w:val="20"/>
          <w:szCs w:val="20"/>
          <w:color w:val="auto"/>
        </w:rPr>
      </w:pPr>
      <w:r>
        <w:rPr>
          <w:rFonts w:ascii="Arial" w:cs="Arial" w:eastAsia="Arial" w:hAnsi="Arial"/>
          <w:sz w:val="17"/>
          <w:szCs w:val="17"/>
          <w:color w:val="auto"/>
        </w:rPr>
        <w:t>$2 million. We have agreed to reimburse the underwriters for certain of their expenses in an amount of up to $35,000. The underwriters have agreed to reimburse us for certain expenses incurred by us in connection with this offering upon the closing of the offering.</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w:t>
      </w:r>
    </w:p>
    <w:p>
      <w:pPr>
        <w:spacing w:after="0" w:line="210"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certain of the underwriters and their respective affiliates are expected to serve as arrangers in connection with our new senior credit facilities. See “Prospectus Summary—Debt Refinancing.”</w:t>
      </w:r>
    </w:p>
    <w:p>
      <w:pPr>
        <w:spacing w:after="0" w:line="167" w:lineRule="exact"/>
        <w:rPr>
          <w:sz w:val="20"/>
          <w:szCs w:val="20"/>
          <w:color w:val="auto"/>
        </w:rPr>
      </w:pPr>
    </w:p>
    <w:p>
      <w:pPr>
        <w:jc w:val="both"/>
        <w:ind w:left="460" w:right="260" w:firstLine="413"/>
        <w:spacing w:after="0" w:line="311"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780"/>
          </w:cols>
          <w:pgMar w:left="320" w:top="440" w:right="79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301" w:lineRule="auto"/>
        <w:rPr>
          <w:sz w:val="20"/>
          <w:szCs w:val="20"/>
          <w:color w:val="auto"/>
        </w:rPr>
      </w:pPr>
      <w:r>
        <w:rPr>
          <w:rFonts w:ascii="Arial" w:cs="Arial" w:eastAsia="Arial" w:hAnsi="Arial"/>
          <w:sz w:val="15"/>
          <w:szCs w:val="15"/>
          <w:color w:val="auto"/>
        </w:rPr>
        <w:t>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08" w:lineRule="exact"/>
        <w:rPr>
          <w:sz w:val="20"/>
          <w:szCs w:val="20"/>
          <w:color w:val="auto"/>
        </w:rPr>
      </w:pPr>
    </w:p>
    <w:p>
      <w:pPr>
        <w:ind w:left="460" w:right="160" w:firstLine="413"/>
        <w:spacing w:after="0" w:line="296" w:lineRule="auto"/>
        <w:rPr>
          <w:sz w:val="20"/>
          <w:szCs w:val="20"/>
          <w:color w:val="auto"/>
        </w:rPr>
      </w:pPr>
      <w:r>
        <w:rPr>
          <w:rFonts w:ascii="Arial" w:cs="Arial" w:eastAsia="Arial" w:hAnsi="Arial"/>
          <w:sz w:val="15"/>
          <w:szCs w:val="15"/>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3" w:lineRule="exact"/>
        <w:rPr>
          <w:sz w:val="20"/>
          <w:szCs w:val="20"/>
          <w:color w:val="auto"/>
        </w:rPr>
      </w:pPr>
    </w:p>
    <w:p>
      <w:pPr>
        <w:ind w:left="1360" w:hanging="498"/>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EU Prospectus Regulation;</w:t>
      </w:r>
    </w:p>
    <w:p>
      <w:pPr>
        <w:spacing w:after="0" w:line="121" w:lineRule="exact"/>
        <w:rPr>
          <w:rFonts w:ascii="Arial" w:cs="Arial" w:eastAsia="Arial" w:hAnsi="Arial"/>
          <w:sz w:val="17"/>
          <w:szCs w:val="17"/>
          <w:color w:val="auto"/>
        </w:rPr>
      </w:pPr>
    </w:p>
    <w:p>
      <w:pPr>
        <w:ind w:left="1360" w:right="560" w:hanging="498"/>
        <w:spacing w:after="0" w:line="272"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EU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EU Prospectus Regulation,</w:t>
      </w:r>
    </w:p>
    <w:p>
      <w:pPr>
        <w:spacing w:after="0" w:line="210" w:lineRule="exact"/>
        <w:rPr>
          <w:sz w:val="20"/>
          <w:szCs w:val="20"/>
          <w:color w:val="auto"/>
        </w:rPr>
      </w:pPr>
    </w:p>
    <w:p>
      <w:pPr>
        <w:ind w:left="460" w:right="740"/>
        <w:spacing w:after="0" w:line="272"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65" w:lineRule="exact"/>
        <w:rPr>
          <w:sz w:val="20"/>
          <w:szCs w:val="20"/>
          <w:color w:val="auto"/>
        </w:rPr>
      </w:pPr>
    </w:p>
    <w:p>
      <w:pPr>
        <w:ind w:left="460" w:right="60" w:firstLine="413"/>
        <w:spacing w:after="0" w:line="284"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157" w:lineRule="exact"/>
        <w:rPr>
          <w:sz w:val="20"/>
          <w:szCs w:val="20"/>
          <w:color w:val="auto"/>
        </w:rPr>
      </w:pPr>
    </w:p>
    <w:p>
      <w:pPr>
        <w:ind w:left="460" w:right="380" w:firstLine="413"/>
        <w:spacing w:after="0" w:line="340"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31" w:lineRule="exact"/>
        <w:rPr>
          <w:sz w:val="20"/>
          <w:szCs w:val="20"/>
          <w:color w:val="auto"/>
        </w:rPr>
      </w:pPr>
    </w:p>
    <w:p>
      <w:pPr>
        <w:ind w:left="1360" w:hanging="498"/>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it is a qualified investor within the meaning of the EU Prospectus Regulation; and</w:t>
      </w:r>
    </w:p>
    <w:p>
      <w:pPr>
        <w:spacing w:after="0" w:line="121" w:lineRule="exact"/>
        <w:rPr>
          <w:rFonts w:ascii="Arial" w:cs="Arial" w:eastAsia="Arial" w:hAnsi="Arial"/>
          <w:sz w:val="17"/>
          <w:szCs w:val="17"/>
          <w:color w:val="auto"/>
        </w:rPr>
      </w:pPr>
    </w:p>
    <w:p>
      <w:pPr>
        <w:ind w:left="1360" w:right="40" w:hanging="498"/>
        <w:spacing w:after="0" w:line="270" w:lineRule="auto"/>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72" w:lineRule="exact"/>
        <w:rPr>
          <w:sz w:val="20"/>
          <w:szCs w:val="20"/>
          <w:color w:val="auto"/>
        </w:rPr>
      </w:pPr>
    </w:p>
    <w:p>
      <w:pPr>
        <w:ind w:left="460" w:right="200" w:firstLine="413"/>
        <w:spacing w:after="0" w:line="260" w:lineRule="auto"/>
        <w:rPr>
          <w:sz w:val="20"/>
          <w:szCs w:val="20"/>
          <w:color w:val="auto"/>
        </w:rPr>
      </w:pPr>
      <w:r>
        <w:rPr>
          <w:rFonts w:ascii="Arial" w:cs="Arial" w:eastAsia="Arial" w:hAnsi="Arial"/>
          <w:sz w:val="17"/>
          <w:szCs w:val="17"/>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Kingdom</w:t>
      </w:r>
    </w:p>
    <w:p>
      <w:pPr>
        <w:spacing w:after="0" w:line="108"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780"/>
          </w:cols>
          <w:pgMar w:left="320" w:top="440" w:right="79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public in the United Kingdom of any shares at any time under the following exemptions under the UK Prospectus Regulation:</w:t>
      </w:r>
    </w:p>
    <w:p>
      <w:pPr>
        <w:spacing w:after="0" w:line="121" w:lineRule="exact"/>
        <w:rPr>
          <w:sz w:val="20"/>
          <w:szCs w:val="20"/>
          <w:color w:val="auto"/>
        </w:rPr>
      </w:pPr>
    </w:p>
    <w:p>
      <w:pPr>
        <w:ind w:left="1360" w:hanging="498"/>
        <w:spacing w:after="0"/>
        <w:tabs>
          <w:tab w:leader="none" w:pos="1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UK Prospectus Regulation;</w:t>
      </w:r>
    </w:p>
    <w:p>
      <w:pPr>
        <w:spacing w:after="0" w:line="121" w:lineRule="exact"/>
        <w:rPr>
          <w:rFonts w:ascii="Arial" w:cs="Arial" w:eastAsia="Arial" w:hAnsi="Arial"/>
          <w:sz w:val="17"/>
          <w:szCs w:val="17"/>
          <w:color w:val="auto"/>
        </w:rPr>
      </w:pPr>
    </w:p>
    <w:p>
      <w:pPr>
        <w:ind w:left="1360" w:right="480" w:hanging="498"/>
        <w:spacing w:after="0" w:line="272" w:lineRule="auto"/>
        <w:tabs>
          <w:tab w:leader="none" w:pos="1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UK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UK Prospectus Regulation.</w:t>
      </w:r>
    </w:p>
    <w:p>
      <w:pPr>
        <w:spacing w:after="0" w:line="210" w:lineRule="exact"/>
        <w:rPr>
          <w:sz w:val="20"/>
          <w:szCs w:val="20"/>
          <w:color w:val="auto"/>
        </w:rPr>
      </w:pPr>
    </w:p>
    <w:p>
      <w:pPr>
        <w:ind w:left="460" w:right="700"/>
        <w:spacing w:after="0" w:line="272"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65" w:lineRule="exact"/>
        <w:rPr>
          <w:sz w:val="20"/>
          <w:szCs w:val="20"/>
          <w:color w:val="auto"/>
        </w:rPr>
      </w:pPr>
    </w:p>
    <w:p>
      <w:pPr>
        <w:jc w:val="both"/>
        <w:ind w:left="460" w:right="140" w:firstLine="413"/>
        <w:spacing w:after="0" w:line="286" w:lineRule="auto"/>
        <w:rPr>
          <w:sz w:val="20"/>
          <w:szCs w:val="20"/>
          <w:color w:val="auto"/>
        </w:rPr>
      </w:pPr>
      <w:r>
        <w:rPr>
          <w:rFonts w:ascii="Arial" w:cs="Arial" w:eastAsia="Arial" w:hAnsi="Arial"/>
          <w:sz w:val="15"/>
          <w:szCs w:val="15"/>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jc w:val="both"/>
        <w:ind w:left="460" w:hanging="3"/>
        <w:spacing w:after="0" w:line="253" w:lineRule="auto"/>
        <w:tabs>
          <w:tab w:leader="none" w:pos="75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81"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Canada</w:t>
      </w:r>
    </w:p>
    <w:p>
      <w:pPr>
        <w:spacing w:after="0" w:line="108"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64" w:lineRule="exact"/>
        <w:rPr>
          <w:sz w:val="20"/>
          <w:szCs w:val="20"/>
          <w:color w:val="auto"/>
        </w:rPr>
      </w:pPr>
    </w:p>
    <w:p>
      <w:pPr>
        <w:ind w:left="460" w:right="220" w:firstLine="413"/>
        <w:spacing w:after="0" w:line="301"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Hong Kong</w:t>
      </w:r>
    </w:p>
    <w:p>
      <w:pPr>
        <w:spacing w:after="0" w:line="108"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760"/>
          </w:cols>
          <w:pgMar w:left="320" w:top="440" w:right="81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40"/>
        <w:spacing w:after="0" w:line="270" w:lineRule="auto"/>
        <w:rPr>
          <w:sz w:val="20"/>
          <w:szCs w:val="20"/>
          <w:color w:val="auto"/>
        </w:rPr>
      </w:pPr>
      <w:r>
        <w:rPr>
          <w:rFonts w:ascii="Arial" w:cs="Arial" w:eastAsia="Arial" w:hAnsi="Arial"/>
          <w:sz w:val="16"/>
          <w:szCs w:val="16"/>
          <w:color w:val="auto"/>
        </w:rPr>
        <w:t>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Singapore</w:t>
      </w:r>
    </w:p>
    <w:p>
      <w:pPr>
        <w:spacing w:after="0" w:line="108"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7" w:lineRule="exact"/>
        <w:rPr>
          <w:sz w:val="20"/>
          <w:szCs w:val="20"/>
          <w:color w:val="auto"/>
        </w:rPr>
      </w:pPr>
    </w:p>
    <w:p>
      <w:pPr>
        <w:ind w:left="460" w:right="80" w:firstLine="413"/>
        <w:spacing w:after="0" w:line="269"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accredited investor (as defined in Section 4A of the SFA)) whose sole purpose is to hold investments and each beneficiary of the trust is an accredited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investor, the beneficiaries’ rights and interest (howsoever described) in that trust shall not be transferable for 6 months after that trust has acquired the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under Section 275 of the SFA except: (1) to an institutional investor under Section 274 of the SFA or to a relevant person (as defined in</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275(2) of the SFA), (2) where such transfer arises from an offer that is made on terms that such rights or interest are acquired at a consideration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of not less than $200,000 (or its equivalent in a foreign currency) for each transaction (whether such amount is to be paid for in cash or by exchange of</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securities or other assets), (3) where no consideration is or will be given for the transfer, (4) where the transfer is by operation of law, (5) as specified in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276(7) of the SFA, or (6) as specified in Regulation 32.</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Japan</w:t>
      </w:r>
    </w:p>
    <w:p>
      <w:pPr>
        <w:spacing w:after="0" w:line="108"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or the FIEA. The securities may not be offered or sold, directly or</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740"/>
          </w:cols>
          <w:pgMar w:left="320" w:top="440" w:right="83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40"/>
        <w:spacing w:after="0" w:line="311" w:lineRule="auto"/>
        <w:rPr>
          <w:sz w:val="20"/>
          <w:szCs w:val="20"/>
          <w:color w:val="auto"/>
        </w:rPr>
      </w:pPr>
      <w:r>
        <w:rPr>
          <w:rFonts w:ascii="Arial" w:cs="Arial" w:eastAsia="Arial" w:hAnsi="Arial"/>
          <w:sz w:val="15"/>
          <w:szCs w:val="15"/>
          <w:color w:val="auto"/>
        </w:rPr>
        <w:t>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Switzerland</w:t>
      </w:r>
    </w:p>
    <w:p>
      <w:pPr>
        <w:spacing w:after="0" w:line="108"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2"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Monaco</w:t>
      </w:r>
    </w:p>
    <w:p>
      <w:pPr>
        <w:spacing w:after="0" w:line="108" w:lineRule="exact"/>
        <w:rPr>
          <w:sz w:val="20"/>
          <w:szCs w:val="20"/>
          <w:color w:val="auto"/>
        </w:rPr>
      </w:pPr>
    </w:p>
    <w:p>
      <w:pPr>
        <w:ind w:left="460" w:right="60" w:firstLine="413"/>
        <w:spacing w:after="0" w:line="287" w:lineRule="auto"/>
        <w:rPr>
          <w:sz w:val="20"/>
          <w:szCs w:val="20"/>
          <w:color w:val="auto"/>
        </w:rPr>
      </w:pPr>
      <w:r>
        <w:rPr>
          <w:rFonts w:ascii="Arial" w:cs="Arial" w:eastAsia="Arial" w:hAnsi="Arial"/>
          <w:sz w:val="15"/>
          <w:szCs w:val="15"/>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1" w:lineRule="exact"/>
        <w:rPr>
          <w:sz w:val="20"/>
          <w:szCs w:val="20"/>
          <w:color w:val="auto"/>
        </w:rPr>
      </w:pPr>
    </w:p>
    <w:p>
      <w:pPr>
        <w:ind w:left="460" w:right="360" w:hanging="3"/>
        <w:spacing w:after="0" w:line="253" w:lineRule="auto"/>
        <w:tabs>
          <w:tab w:leader="none" w:pos="70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Australia</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prospectus:</w:t>
      </w:r>
    </w:p>
    <w:p>
      <w:pPr>
        <w:spacing w:after="0" w:line="121" w:lineRule="exact"/>
        <w:rPr>
          <w:sz w:val="20"/>
          <w:szCs w:val="20"/>
          <w:color w:val="auto"/>
        </w:rPr>
      </w:pPr>
    </w:p>
    <w:p>
      <w:pPr>
        <w:ind w:left="1360" w:right="420" w:hanging="498"/>
        <w:spacing w:after="0" w:line="272"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(the “Corporations Act”);</w:t>
      </w:r>
    </w:p>
    <w:p>
      <w:pPr>
        <w:spacing w:after="0" w:line="76" w:lineRule="exact"/>
        <w:rPr>
          <w:rFonts w:ascii="Arial" w:cs="Arial" w:eastAsia="Arial" w:hAnsi="Arial"/>
          <w:sz w:val="17"/>
          <w:szCs w:val="17"/>
          <w:color w:val="auto"/>
        </w:rPr>
      </w:pPr>
    </w:p>
    <w:p>
      <w:pPr>
        <w:ind w:left="1360" w:right="40" w:hanging="498"/>
        <w:spacing w:after="0" w:line="260"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6" w:lineRule="exact"/>
        <w:rPr>
          <w:rFonts w:ascii="Arial" w:cs="Arial" w:eastAsia="Arial" w:hAnsi="Arial"/>
          <w:sz w:val="17"/>
          <w:szCs w:val="17"/>
          <w:color w:val="auto"/>
        </w:rPr>
      </w:pPr>
    </w:p>
    <w:p>
      <w:pPr>
        <w:ind w:left="1360" w:right="340" w:hanging="498"/>
        <w:spacing w:after="0" w:line="272"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5"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780"/>
          </w:cols>
          <w:pgMar w:left="320" w:top="440" w:right="79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65" w:lineRule="exact"/>
        <w:rPr>
          <w:sz w:val="20"/>
          <w:szCs w:val="20"/>
          <w:color w:val="auto"/>
        </w:rPr>
      </w:pPr>
    </w:p>
    <w:p>
      <w:pPr>
        <w:ind w:left="460" w:right="100" w:firstLine="413"/>
        <w:spacing w:after="0" w:line="253" w:lineRule="auto"/>
        <w:rPr>
          <w:sz w:val="20"/>
          <w:szCs w:val="20"/>
          <w:color w:val="auto"/>
        </w:rPr>
      </w:pPr>
      <w:r>
        <w:rPr>
          <w:rFonts w:ascii="Arial" w:cs="Arial" w:eastAsia="Arial" w:hAnsi="Arial"/>
          <w:sz w:val="17"/>
          <w:szCs w:val="17"/>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New Zealand</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This prospectus has not been registered, filed with or approved by any New Zealand regulatory authority under the Financial Markets Conduct Act</w:t>
      </w:r>
    </w:p>
    <w:p>
      <w:pPr>
        <w:spacing w:after="0" w:line="42" w:lineRule="exact"/>
        <w:rPr>
          <w:sz w:val="20"/>
          <w:szCs w:val="20"/>
          <w:color w:val="auto"/>
        </w:rPr>
      </w:pPr>
    </w:p>
    <w:p>
      <w:pPr>
        <w:ind w:left="460" w:right="200"/>
        <w:spacing w:after="0" w:line="257" w:lineRule="auto"/>
        <w:rPr>
          <w:sz w:val="20"/>
          <w:szCs w:val="20"/>
          <w:color w:val="auto"/>
        </w:rPr>
      </w:pPr>
      <w:r>
        <w:rPr>
          <w:rFonts w:ascii="Arial" w:cs="Arial" w:eastAsia="Arial" w:hAnsi="Arial"/>
          <w:sz w:val="17"/>
          <w:szCs w:val="17"/>
          <w:color w:val="auto"/>
        </w:rPr>
        <w:t>2013 (the “FMA Act”). The shares may only be offered or sold in New Zealand (or allotted with a view to being offered for sale in New Zealand) to a person who:</w:t>
      </w:r>
    </w:p>
    <w:p>
      <w:pPr>
        <w:spacing w:after="0" w:line="89" w:lineRule="exact"/>
        <w:rPr>
          <w:sz w:val="20"/>
          <w:szCs w:val="20"/>
          <w:color w:val="auto"/>
        </w:rPr>
      </w:pPr>
    </w:p>
    <w:p>
      <w:pPr>
        <w:ind w:left="1360" w:hanging="498"/>
        <w:spacing w:after="0"/>
        <w:tabs>
          <w:tab w:leader="none" w:pos="13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is an investment business within the meaning of clause 37 of Schedule 1 of the FMC Act;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meets the investment activity criteria specified in clause 38 of Schedule 1 of the FMC Act;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is large within the meaning of clause 39 of Schedule 1 of the FMC Act;</w:t>
      </w:r>
    </w:p>
    <w:p>
      <w:pPr>
        <w:spacing w:after="0" w:line="121" w:lineRule="exact"/>
        <w:rPr>
          <w:rFonts w:ascii="Arial" w:cs="Arial" w:eastAsia="Arial" w:hAnsi="Arial"/>
          <w:sz w:val="17"/>
          <w:szCs w:val="17"/>
          <w:color w:val="auto"/>
        </w:rPr>
      </w:pPr>
    </w:p>
    <w:p>
      <w:pPr>
        <w:ind w:left="1360" w:right="100" w:hanging="498"/>
        <w:spacing w:after="0" w:line="272" w:lineRule="auto"/>
        <w:tabs>
          <w:tab w:leader="none" w:pos="13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is a government agency within the meaning of clause 40 of Schedule 1 of the FMC Act; or e) is an eligible investor within the meaning of clause 41 of Schedule 1 of the FMC Act.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China</w:t>
      </w:r>
    </w:p>
    <w:p>
      <w:pPr>
        <w:spacing w:after="0" w:line="108" w:lineRule="exact"/>
        <w:rPr>
          <w:sz w:val="20"/>
          <w:szCs w:val="20"/>
          <w:color w:val="auto"/>
        </w:rPr>
      </w:pPr>
    </w:p>
    <w:p>
      <w:pPr>
        <w:ind w:left="460" w:right="40" w:firstLine="413"/>
        <w:spacing w:after="0" w:line="277" w:lineRule="auto"/>
        <w:rPr>
          <w:sz w:val="20"/>
          <w:szCs w:val="20"/>
          <w:color w:val="auto"/>
        </w:rPr>
      </w:pPr>
      <w:r>
        <w:rPr>
          <w:rFonts w:ascii="Arial" w:cs="Arial" w:eastAsia="Arial" w:hAnsi="Arial"/>
          <w:sz w:val="16"/>
          <w:szCs w:val="16"/>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Korea</w:t>
      </w:r>
    </w:p>
    <w:p>
      <w:pPr>
        <w:spacing w:after="0" w:line="108"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Malaysia</w:t>
      </w:r>
    </w:p>
    <w:p>
      <w:pPr>
        <w:spacing w:after="0" w:line="108" w:lineRule="exact"/>
        <w:rPr>
          <w:sz w:val="20"/>
          <w:szCs w:val="20"/>
          <w:color w:val="auto"/>
        </w:rPr>
      </w:pPr>
    </w:p>
    <w:p>
      <w:pPr>
        <w:ind w:left="460" w:right="280" w:firstLine="413"/>
        <w:spacing w:after="0" w:line="260" w:lineRule="auto"/>
        <w:rPr>
          <w:sz w:val="20"/>
          <w:szCs w:val="20"/>
          <w:color w:val="auto"/>
        </w:rPr>
      </w:pPr>
      <w:r>
        <w:rPr>
          <w:rFonts w:ascii="Arial" w:cs="Arial" w:eastAsia="Arial" w:hAnsi="Arial"/>
          <w:sz w:val="17"/>
          <w:szCs w:val="17"/>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780"/>
          </w:cols>
          <w:pgMar w:left="320" w:top="440" w:right="79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85" w:lineRule="auto"/>
        <w:rPr>
          <w:sz w:val="20"/>
          <w:szCs w:val="20"/>
          <w:color w:val="auto"/>
        </w:rPr>
      </w:pPr>
      <w:r>
        <w:rPr>
          <w:rFonts w:ascii="Arial" w:cs="Arial" w:eastAsia="Arial" w:hAnsi="Arial"/>
          <w:sz w:val="15"/>
          <w:szCs w:val="15"/>
          <w:color w:val="auto"/>
        </w:rPr>
        <w:t>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Taiwan</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Saudi Arabia</w:t>
      </w:r>
    </w:p>
    <w:p>
      <w:pPr>
        <w:spacing w:after="0" w:line="108" w:lineRule="exact"/>
        <w:rPr>
          <w:sz w:val="20"/>
          <w:szCs w:val="20"/>
          <w:color w:val="auto"/>
        </w:rPr>
      </w:pPr>
    </w:p>
    <w:p>
      <w:pPr>
        <w:ind w:left="460" w:right="100" w:firstLine="413"/>
        <w:spacing w:after="0" w:line="293" w:lineRule="auto"/>
        <w:rPr>
          <w:sz w:val="20"/>
          <w:szCs w:val="20"/>
          <w:color w:val="auto"/>
        </w:rPr>
      </w:pPr>
      <w:r>
        <w:rPr>
          <w:rFonts w:ascii="Arial" w:cs="Arial" w:eastAsia="Arial" w:hAnsi="Arial"/>
          <w:sz w:val="15"/>
          <w:szCs w:val="15"/>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Qatar</w:t>
      </w:r>
    </w:p>
    <w:p>
      <w:pPr>
        <w:spacing w:after="0" w:line="108"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8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760"/>
          </w:cols>
          <w:pgMar w:left="320" w:top="440" w:right="81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Dubai International Financial Centre (“DIFC”)</w:t>
      </w:r>
    </w:p>
    <w:p>
      <w:pPr>
        <w:spacing w:after="0" w:line="108"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55" w:lineRule="exact"/>
        <w:rPr>
          <w:sz w:val="20"/>
          <w:szCs w:val="20"/>
          <w:color w:val="auto"/>
        </w:rPr>
      </w:pPr>
    </w:p>
    <w:p>
      <w:pPr>
        <w:ind w:left="460" w:right="200" w:firstLine="413"/>
        <w:spacing w:after="0" w:line="260" w:lineRule="auto"/>
        <w:rPr>
          <w:sz w:val="20"/>
          <w:szCs w:val="20"/>
          <w:color w:val="auto"/>
        </w:rPr>
      </w:pPr>
      <w:r>
        <w:rPr>
          <w:rFonts w:ascii="Arial" w:cs="Arial" w:eastAsia="Arial" w:hAnsi="Arial"/>
          <w:sz w:val="17"/>
          <w:szCs w:val="17"/>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Arab Emirates</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Bermuda</w:t>
      </w:r>
    </w:p>
    <w:p>
      <w:pPr>
        <w:spacing w:after="0" w:line="108"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British Virgin Islands</w:t>
      </w:r>
    </w:p>
    <w:p>
      <w:pPr>
        <w:spacing w:after="0" w:line="108" w:lineRule="exact"/>
        <w:rPr>
          <w:sz w:val="20"/>
          <w:szCs w:val="20"/>
          <w:color w:val="auto"/>
        </w:rPr>
      </w:pPr>
    </w:p>
    <w:p>
      <w:pPr>
        <w:ind w:left="460" w:right="140" w:firstLine="413"/>
        <w:spacing w:after="0" w:line="311" w:lineRule="auto"/>
        <w:rPr>
          <w:sz w:val="20"/>
          <w:szCs w:val="20"/>
          <w:color w:val="auto"/>
        </w:rPr>
      </w:pPr>
      <w:r>
        <w:rPr>
          <w:rFonts w:ascii="Arial" w:cs="Arial" w:eastAsia="Arial" w:hAnsi="Arial"/>
          <w:sz w:val="15"/>
          <w:szCs w:val="15"/>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Bahamas</w:t>
      </w:r>
    </w:p>
    <w:p>
      <w:pPr>
        <w:spacing w:after="0" w:line="108"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South Africa</w:t>
      </w:r>
    </w:p>
    <w:p>
      <w:pPr>
        <w:spacing w:after="0" w:line="108" w:lineRule="exact"/>
        <w:rPr>
          <w:sz w:val="20"/>
          <w:szCs w:val="20"/>
          <w:color w:val="auto"/>
        </w:rPr>
      </w:pPr>
    </w:p>
    <w:p>
      <w:pPr>
        <w:ind w:left="460" w:right="20" w:firstLine="413"/>
        <w:spacing w:after="0" w:line="284" w:lineRule="auto"/>
        <w:rPr>
          <w:sz w:val="20"/>
          <w:szCs w:val="20"/>
          <w:color w:val="auto"/>
        </w:rPr>
      </w:pPr>
      <w:r>
        <w:rPr>
          <w:rFonts w:ascii="Arial" w:cs="Arial" w:eastAsia="Arial" w:hAnsi="Arial"/>
          <w:sz w:val="16"/>
          <w:szCs w:val="16"/>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780"/>
          </w:cols>
          <w:pgMar w:left="320" w:top="440" w:right="79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60"/>
        <w:spacing w:after="0" w:line="272" w:lineRule="auto"/>
        <w:rPr>
          <w:sz w:val="20"/>
          <w:szCs w:val="20"/>
          <w:color w:val="auto"/>
        </w:rPr>
      </w:pPr>
      <w:r>
        <w:rPr>
          <w:rFonts w:ascii="Arial" w:cs="Arial" w:eastAsia="Arial" w:hAnsi="Arial"/>
          <w:sz w:val="17"/>
          <w:szCs w:val="17"/>
          <w:color w:val="auto"/>
        </w:rPr>
        <w:t>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shares are not offered, and the offer shall not be transferred, sold, renounced or delivered, in South Africa or to a person with an address in</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South Africa, unless one or other of the following exemptions stipulated in section 96 (1) applies: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Section 96(1)(a) the offer, transfer, sale, renunciation or delivery is to:</w:t>
      </w:r>
    </w:p>
    <w:p>
      <w:pPr>
        <w:spacing w:after="0" w:line="121" w:lineRule="exact"/>
        <w:rPr>
          <w:sz w:val="20"/>
          <w:szCs w:val="20"/>
          <w:color w:val="auto"/>
        </w:rPr>
      </w:pPr>
    </w:p>
    <w:p>
      <w:pPr>
        <w:ind w:left="1360" w:hanging="498"/>
        <w:spacing w:after="0"/>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South African Public Investment Corporation;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persons or entities regulated by the Reserve Bank of South Africa;</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authorized financial service providers under South African law;</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financial institutions recognized as such under South African law;</w:t>
      </w:r>
    </w:p>
    <w:p>
      <w:pPr>
        <w:spacing w:after="0" w:line="121" w:lineRule="exact"/>
        <w:rPr>
          <w:rFonts w:ascii="Arial" w:cs="Arial" w:eastAsia="Arial" w:hAnsi="Arial"/>
          <w:sz w:val="17"/>
          <w:szCs w:val="17"/>
          <w:color w:val="auto"/>
        </w:rPr>
      </w:pPr>
    </w:p>
    <w:p>
      <w:pPr>
        <w:ind w:left="1360" w:right="40" w:hanging="498"/>
        <w:spacing w:after="0" w:line="260" w:lineRule="auto"/>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86" w:lineRule="exact"/>
        <w:rPr>
          <w:rFonts w:ascii="Arial" w:cs="Arial" w:eastAsia="Arial" w:hAnsi="Arial"/>
          <w:sz w:val="17"/>
          <w:szCs w:val="17"/>
          <w:color w:val="auto"/>
        </w:rPr>
      </w:pPr>
    </w:p>
    <w:p>
      <w:pPr>
        <w:jc w:val="both"/>
        <w:ind w:left="1360" w:right="340" w:hanging="498"/>
        <w:spacing w:after="0" w:line="284" w:lineRule="auto"/>
        <w:tabs>
          <w:tab w:leader="none" w:pos="13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any combination of the person in (i) to (vi); or Section 96(1)(b)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57" w:lineRule="exact"/>
        <w:rPr>
          <w:sz w:val="20"/>
          <w:szCs w:val="20"/>
          <w:color w:val="auto"/>
        </w:rPr>
      </w:pPr>
    </w:p>
    <w:p>
      <w:pPr>
        <w:ind w:left="460" w:right="460" w:firstLine="413"/>
        <w:spacing w:after="0" w:line="272" w:lineRule="auto"/>
        <w:rPr>
          <w:sz w:val="20"/>
          <w:szCs w:val="20"/>
          <w:color w:val="auto"/>
        </w:rPr>
      </w:pPr>
      <w:r>
        <w:rPr>
          <w:rFonts w:ascii="Arial" w:cs="Arial" w:eastAsia="Arial" w:hAnsi="Arial"/>
          <w:sz w:val="17"/>
          <w:szCs w:val="17"/>
          <w:color w:val="auto"/>
        </w:rPr>
        <w:t>Information made available in this prospectus should not be considered as “advice” as defined in the South African Financial Advisory and Intermediary Services Act, 2002.</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Chile</w:t>
      </w:r>
    </w:p>
    <w:p>
      <w:pPr>
        <w:spacing w:after="0" w:line="108" w:lineRule="exact"/>
        <w:rPr>
          <w:sz w:val="20"/>
          <w:szCs w:val="20"/>
          <w:color w:val="auto"/>
        </w:rPr>
      </w:pPr>
    </w:p>
    <w:p>
      <w:pPr>
        <w:ind w:left="460" w:right="60" w:firstLine="413"/>
        <w:spacing w:after="0" w:line="254" w:lineRule="auto"/>
        <w:rPr>
          <w:sz w:val="20"/>
          <w:szCs w:val="20"/>
          <w:color w:val="auto"/>
        </w:rPr>
      </w:pPr>
      <w:r>
        <w:rPr>
          <w:rFonts w:ascii="Arial" w:cs="Arial" w:eastAsia="Arial" w:hAnsi="Arial"/>
          <w:sz w:val="17"/>
          <w:szCs w:val="17"/>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1"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PURSUANT TO RULE 336 THE FOLLOWING INFORMATION IS PROVIDED IN CHILE TO PROSPECTIVE RESIDENT INVESTORS IN THE OFFERED SECURITIES:</w:t>
      </w:r>
    </w:p>
    <w:p>
      <w:pPr>
        <w:spacing w:after="0" w:line="76" w:lineRule="exact"/>
        <w:rPr>
          <w:sz w:val="20"/>
          <w:szCs w:val="20"/>
          <w:color w:val="auto"/>
        </w:rPr>
      </w:pPr>
    </w:p>
    <w:p>
      <w:pPr>
        <w:ind w:left="1360" w:hanging="498"/>
        <w:spacing w:after="0"/>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INITIATION OF THE OFFER IN CHILE IS .</w:t>
      </w:r>
    </w:p>
    <w:p>
      <w:pPr>
        <w:spacing w:after="0" w:line="121" w:lineRule="exact"/>
        <w:rPr>
          <w:rFonts w:ascii="Arial" w:cs="Arial" w:eastAsia="Arial" w:hAnsi="Arial"/>
          <w:sz w:val="17"/>
          <w:szCs w:val="17"/>
          <w:color w:val="auto"/>
        </w:rPr>
      </w:pPr>
    </w:p>
    <w:p>
      <w:pPr>
        <w:ind w:left="1360" w:right="200" w:hanging="498"/>
        <w:spacing w:after="0" w:line="272" w:lineRule="auto"/>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OFFER IS SUBJECT TO NCG 336 OF JUNE 27, 2012 ISSUED BY THE SUPERINTENDENCIA DE VALORES Y SEGUROS DE CHILE (SUPERINTENDENCY OF SECURITIES AND INSURANCE OF CHILE).</w:t>
      </w:r>
    </w:p>
    <w:p>
      <w:pPr>
        <w:spacing w:after="0" w:line="76" w:lineRule="exact"/>
        <w:rPr>
          <w:rFonts w:ascii="Arial" w:cs="Arial" w:eastAsia="Arial" w:hAnsi="Arial"/>
          <w:sz w:val="17"/>
          <w:szCs w:val="17"/>
          <w:color w:val="auto"/>
        </w:rPr>
      </w:pPr>
    </w:p>
    <w:p>
      <w:pPr>
        <w:ind w:left="1360" w:right="560" w:hanging="498"/>
        <w:spacing w:after="0" w:line="260" w:lineRule="auto"/>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OFFER REFERS TO SECURITIES THAT ARE NOT REGISTERED IN THE REGISTRO DE VALORES (SECURITIES REGISTRY) OR THE REGISTRO DE VALORES EXTRANJEROS (FOREIGN SECURITIES REGISTRY) OF THE SVS AND THEREFORE:</w:t>
      </w:r>
    </w:p>
    <w:p>
      <w:pPr>
        <w:spacing w:after="0" w:line="86" w:lineRule="exact"/>
        <w:rPr>
          <w:rFonts w:ascii="Arial" w:cs="Arial" w:eastAsia="Arial" w:hAnsi="Arial"/>
          <w:sz w:val="17"/>
          <w:szCs w:val="17"/>
          <w:color w:val="auto"/>
        </w:rPr>
      </w:pPr>
    </w:p>
    <w:p>
      <w:pPr>
        <w:ind w:left="1780" w:hanging="398"/>
        <w:spacing w:after="0"/>
        <w:tabs>
          <w:tab w:leader="none" w:pos="178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SECURITIES ARE NOT SUBJECT TO THE OVERSIGHT OF THE SVS; AND</w:t>
      </w:r>
    </w:p>
    <w:p>
      <w:pPr>
        <w:spacing w:after="0" w:line="14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740"/>
          </w:cols>
          <w:pgMar w:left="320" w:top="440" w:right="8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780" w:right="500" w:hanging="398"/>
        <w:spacing w:after="0" w:line="272" w:lineRule="auto"/>
        <w:tabs>
          <w:tab w:leader="none" w:pos="178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ISSUER THEREFORE IS NOT SUBJECT TO REPORTING OBLIGATIONS WITH RESPECT TO ITSELF OR THE OFFERED SECURITIES</w:t>
      </w:r>
    </w:p>
    <w:p>
      <w:pPr>
        <w:spacing w:after="0" w:line="76" w:lineRule="exact"/>
        <w:rPr>
          <w:rFonts w:ascii="Arial" w:cs="Arial" w:eastAsia="Arial" w:hAnsi="Arial"/>
          <w:sz w:val="17"/>
          <w:szCs w:val="17"/>
          <w:color w:val="auto"/>
        </w:rPr>
      </w:pPr>
    </w:p>
    <w:p>
      <w:pPr>
        <w:ind w:left="1360" w:right="400" w:hanging="498"/>
        <w:spacing w:after="0" w:line="272" w:lineRule="auto"/>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SECURITIES MAY NOT BE PUBLICLY OFFERED IN CHILE UNLESS AND UNTIL THEY ARE REGISTERED IN THE SECURITIES REGISTRY OF THE SVS.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INFORMACIÓN A LOS INVERSIONISTAS RESIDENTES EN CHILE</w:t>
      </w:r>
    </w:p>
    <w:p>
      <w:pPr>
        <w:spacing w:after="0" w:line="112"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81"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EN CUMPLIMIENTO DE LA NCG 336, LA SIGUIENTE INFORMACIÓN SE PROPORCIONA A LOS POTENCIALES INVERSIONISTAS RESIDENTES EN CHILE:</w:t>
      </w:r>
    </w:p>
    <w:p>
      <w:pPr>
        <w:spacing w:after="0" w:line="76" w:lineRule="exact"/>
        <w:rPr>
          <w:sz w:val="20"/>
          <w:szCs w:val="20"/>
          <w:color w:val="auto"/>
        </w:rPr>
      </w:pPr>
    </w:p>
    <w:p>
      <w:pPr>
        <w:ind w:left="860"/>
        <w:spacing w:after="0"/>
        <w:tabs>
          <w:tab w:leader="none" w:pos="1340" w:val="left"/>
          <w:tab w:leader="none" w:pos="67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LA OFERTA DE ESTOS VALORES EN CHILE COMIENZA EL DÍA</w:t>
      </w:r>
      <w:r>
        <w:rPr>
          <w:sz w:val="20"/>
          <w:szCs w:val="20"/>
          <w:color w:val="auto"/>
        </w:rPr>
        <w:tab/>
      </w:r>
      <w:r>
        <w:rPr>
          <w:rFonts w:ascii="Arial" w:cs="Arial" w:eastAsia="Arial" w:hAnsi="Arial"/>
          <w:sz w:val="14"/>
          <w:szCs w:val="14"/>
          <w:color w:val="auto"/>
        </w:rPr>
        <w:t>.</w:t>
      </w:r>
    </w:p>
    <w:p>
      <w:pPr>
        <w:spacing w:after="0" w:line="121" w:lineRule="exact"/>
        <w:rPr>
          <w:sz w:val="20"/>
          <w:szCs w:val="20"/>
          <w:color w:val="auto"/>
        </w:rPr>
      </w:pPr>
    </w:p>
    <w:p>
      <w:pPr>
        <w:ind w:left="1360" w:right="820" w:hanging="498"/>
        <w:spacing w:after="0" w:line="272" w:lineRule="auto"/>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LA OFERTA SE ENCUENTRA ACOGIDA A LA NCG 336 DE FECHA ECHA 27 DE JUNIO DE 2012 EMITIDA POR LA SUPERINTENDENCIA DE VALORES Y SEGUROS.</w:t>
      </w:r>
    </w:p>
    <w:p>
      <w:pPr>
        <w:spacing w:after="0" w:line="76" w:lineRule="exact"/>
        <w:rPr>
          <w:rFonts w:ascii="Arial" w:cs="Arial" w:eastAsia="Arial" w:hAnsi="Arial"/>
          <w:sz w:val="17"/>
          <w:szCs w:val="17"/>
          <w:color w:val="auto"/>
        </w:rPr>
      </w:pPr>
    </w:p>
    <w:p>
      <w:pPr>
        <w:ind w:left="1360" w:right="160" w:hanging="498"/>
        <w:spacing w:after="0" w:line="303" w:lineRule="auto"/>
        <w:tabs>
          <w:tab w:leader="none" w:pos="13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LA OFERTA VERSA SOBRE VALORES QUE NO SE ENCUENTRAN INSCRITOS EN EL REGISTRO DE VALORES NI EN EL REGISTRO DE VALORES EXTRANJEROS QUE LLEVA LA SUPERINTENDENCIA DE VALORES Y SEGUROS, POR LO QUE:</w:t>
      </w:r>
    </w:p>
    <w:p>
      <w:pPr>
        <w:spacing w:after="0" w:line="54" w:lineRule="exact"/>
        <w:rPr>
          <w:rFonts w:ascii="Arial" w:cs="Arial" w:eastAsia="Arial" w:hAnsi="Arial"/>
          <w:sz w:val="16"/>
          <w:szCs w:val="16"/>
          <w:color w:val="auto"/>
        </w:rPr>
      </w:pPr>
    </w:p>
    <w:p>
      <w:pPr>
        <w:ind w:left="1780" w:hanging="398"/>
        <w:spacing w:after="0"/>
        <w:tabs>
          <w:tab w:leader="none" w:pos="17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LOS VALORES NO ESTÁN SUJETOS A LA FISCALIZACIÓN DE ESA SUPERINTENDENCIA; Y</w:t>
      </w:r>
    </w:p>
    <w:p>
      <w:pPr>
        <w:spacing w:after="0" w:line="121" w:lineRule="exact"/>
        <w:rPr>
          <w:rFonts w:ascii="Arial" w:cs="Arial" w:eastAsia="Arial" w:hAnsi="Arial"/>
          <w:sz w:val="17"/>
          <w:szCs w:val="17"/>
          <w:color w:val="auto"/>
        </w:rPr>
      </w:pPr>
    </w:p>
    <w:p>
      <w:pPr>
        <w:ind w:left="1780" w:right="520" w:hanging="398"/>
        <w:spacing w:after="0" w:line="272" w:lineRule="auto"/>
        <w:tabs>
          <w:tab w:leader="none" w:pos="17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EL EMISOR DE LOS VALORES NO ESTÁ SUJETO A LA OBLIGACIÓN DE ENTREGAR INFORMACIÓN PÚBLICA SOBRE LOS VALORES OFRECIDOS NI SU EMISOR.</w:t>
      </w:r>
    </w:p>
    <w:p>
      <w:pPr>
        <w:spacing w:after="0" w:line="76" w:lineRule="exact"/>
        <w:rPr>
          <w:rFonts w:ascii="Arial" w:cs="Arial" w:eastAsia="Arial" w:hAnsi="Arial"/>
          <w:sz w:val="17"/>
          <w:szCs w:val="17"/>
          <w:color w:val="auto"/>
        </w:rPr>
      </w:pPr>
    </w:p>
    <w:p>
      <w:pPr>
        <w:ind w:left="1360" w:right="180" w:hanging="498"/>
        <w:spacing w:after="0" w:line="272" w:lineRule="auto"/>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LOS VALORES PRIVADAMENTE OFRECIDOS NO PODRÁN SER OBJETO DE OFERTA PÚBLICA EN CHILE MIENTRAS NO SEAN INSCRITOS EN EL REGISTRO DE VALORES CORRESPONDIENTE.</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740"/>
          </w:cols>
          <w:pgMar w:left="320" w:top="440" w:right="83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LEGAL MATTERS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Weil, Gotshal &amp; Manges LLP, New York, New York, has passed upon the validity of the Class A common stock offered hereby on behalf of us.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legal matters will be passed upon on behalf of the underwriters by Latham &amp; Watkins LLP, Chicago, Illinois.</w:t>
      </w:r>
    </w:p>
    <w:p>
      <w:pPr>
        <w:spacing w:after="0" w:line="397"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EXPERTS</w:t>
      </w:r>
    </w:p>
    <w:p>
      <w:pPr>
        <w:spacing w:after="0" w:line="214" w:lineRule="exact"/>
        <w:rPr>
          <w:sz w:val="20"/>
          <w:szCs w:val="20"/>
          <w:color w:val="auto"/>
        </w:rPr>
      </w:pPr>
    </w:p>
    <w:p>
      <w:pPr>
        <w:jc w:val="both"/>
        <w:ind w:left="460" w:right="120" w:firstLine="413"/>
        <w:spacing w:after="0" w:line="260" w:lineRule="auto"/>
        <w:rPr>
          <w:sz w:val="20"/>
          <w:szCs w:val="20"/>
          <w:color w:val="auto"/>
        </w:rPr>
      </w:pPr>
      <w:r>
        <w:rPr>
          <w:rFonts w:ascii="Arial" w:cs="Arial" w:eastAsia="Arial" w:hAnsi="Arial"/>
          <w:sz w:val="17"/>
          <w:szCs w:val="17"/>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75"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720"/>
          </w:cols>
          <w:pgMar w:left="320" w:top="440" w:right="85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4"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57" w:lineRule="exact"/>
        <w:rPr>
          <w:sz w:val="20"/>
          <w:szCs w:val="20"/>
          <w:color w:val="auto"/>
        </w:rPr>
      </w:pPr>
    </w:p>
    <w:p>
      <w:pPr>
        <w:jc w:val="both"/>
        <w:ind w:left="460" w:right="40" w:firstLine="413"/>
        <w:spacing w:after="0" w:line="311" w:lineRule="auto"/>
        <w:rPr>
          <w:sz w:val="20"/>
          <w:szCs w:val="20"/>
          <w:color w:val="auto"/>
        </w:rPr>
      </w:pPr>
      <w:r>
        <w:rPr>
          <w:rFonts w:ascii="Arial" w:cs="Arial" w:eastAsia="Arial" w:hAnsi="Arial"/>
          <w:sz w:val="15"/>
          <w:szCs w:val="15"/>
          <w:color w:val="auto"/>
        </w:rPr>
        <w:t>This registration statement, including its exhibits and schedules, will be filed with the SEC. The SEC maintains a website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0" w:lineRule="exact"/>
        <w:rPr>
          <w:sz w:val="20"/>
          <w:szCs w:val="20"/>
          <w:color w:val="auto"/>
        </w:rPr>
      </w:pPr>
    </w:p>
    <w:p>
      <w:pPr>
        <w:ind w:left="460" w:right="60" w:firstLine="413"/>
        <w:spacing w:after="0" w:line="277" w:lineRule="auto"/>
        <w:rPr>
          <w:sz w:val="20"/>
          <w:szCs w:val="20"/>
          <w:color w:val="auto"/>
        </w:rPr>
      </w:pPr>
      <w:r>
        <w:rPr>
          <w:rFonts w:ascii="Arial" w:cs="Arial" w:eastAsia="Arial" w:hAnsi="Arial"/>
          <w:sz w:val="16"/>
          <w:szCs w:val="16"/>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laws.</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760"/>
          </w:cols>
          <w:pgMar w:left="320" w:top="440" w:right="81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INDEX TO FINANCIAL STATEMENTS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9900" w:type="dxa"/>
            <w:vAlign w:val="bottom"/>
            <w:gridSpan w:val="21"/>
            <w:vMerge w:val="restart"/>
          </w:tcPr>
          <w:p>
            <w:pPr>
              <w:spacing w:after="0"/>
              <w:rPr>
                <w:sz w:val="20"/>
                <w:szCs w:val="20"/>
                <w:color w:val="auto"/>
              </w:rPr>
            </w:pPr>
            <w:r>
              <w:rPr>
                <w:rFonts w:ascii="Arial" w:cs="Arial" w:eastAsia="Arial" w:hAnsi="Arial"/>
                <w:sz w:val="17"/>
                <w:szCs w:val="17"/>
                <w:b w:val="1"/>
                <w:bCs w:val="1"/>
                <w:color w:val="auto"/>
              </w:rPr>
              <w:t>CONSOLIDATED FINANCIAL STATEMENTS OF DEFINITIVE HEALTHCARE CORP.</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82"/>
        </w:trPr>
        <w:tc>
          <w:tcPr>
            <w:tcW w:w="9900" w:type="dxa"/>
            <w:vAlign w:val="bottom"/>
            <w:gridSpan w:val="21"/>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396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209">
              <w:r>
                <w:rPr>
                  <w:rFonts w:ascii="Arial" w:cs="Arial" w:eastAsia="Arial" w:hAnsi="Arial"/>
                  <w:sz w:val="17"/>
                  <w:szCs w:val="17"/>
                  <w:color w:val="0000EE"/>
                  <w:w w:val="90"/>
                </w:rPr>
                <w:t>Report of Independent Registered Public Accounting Firm</w:t>
              </w:r>
            </w:hyperlink>
          </w:p>
        </w:tc>
        <w:tc>
          <w:tcPr>
            <w:tcW w:w="594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10">
              <w:r>
                <w:rPr>
                  <w:rFonts w:ascii="Arial" w:cs="Arial" w:eastAsia="Arial" w:hAnsi="Arial"/>
                  <w:sz w:val="17"/>
                  <w:szCs w:val="17"/>
                  <w:color w:val="0000EE"/>
                </w:rPr>
                <w:t>Balance Sheet as of May 24, 2021</w:t>
              </w:r>
            </w:hyperlink>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3"/>
        </w:trPr>
        <w:tc>
          <w:tcPr>
            <w:tcW w:w="2300" w:type="dxa"/>
            <w:vAlign w:val="bottom"/>
            <w:tcBorders>
              <w:top w:val="single" w:sz="8" w:color="0000EE"/>
            </w:tcBorders>
            <w:gridSpan w:val="3"/>
          </w:tcPr>
          <w:p>
            <w:pPr>
              <w:spacing w:after="0" w:line="183" w:lineRule="exact"/>
              <w:rPr>
                <w:rFonts w:ascii="Arial" w:cs="Arial" w:eastAsia="Arial" w:hAnsi="Arial"/>
                <w:sz w:val="17"/>
                <w:szCs w:val="17"/>
                <w:color w:val="0000EE"/>
              </w:rPr>
            </w:pPr>
            <w:hyperlink w:anchor="page211">
              <w:r>
                <w:rPr>
                  <w:rFonts w:ascii="Arial" w:cs="Arial" w:eastAsia="Arial" w:hAnsi="Arial"/>
                  <w:sz w:val="17"/>
                  <w:szCs w:val="17"/>
                  <w:color w:val="0000EE"/>
                </w:rPr>
                <w:t>Notes to Balance Sheet</w:t>
              </w:r>
            </w:hyperlink>
          </w:p>
        </w:tc>
        <w:tc>
          <w:tcPr>
            <w:tcW w:w="7600" w:type="dxa"/>
            <w:vAlign w:val="bottom"/>
            <w:gridSpan w:val="18"/>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9900" w:type="dxa"/>
            <w:vAlign w:val="bottom"/>
            <w:gridSpan w:val="21"/>
          </w:tcPr>
          <w:p>
            <w:pPr>
              <w:spacing w:after="0"/>
              <w:rPr>
                <w:sz w:val="20"/>
                <w:szCs w:val="20"/>
                <w:color w:val="auto"/>
              </w:rPr>
            </w:pPr>
            <w:r>
              <w:rPr>
                <w:rFonts w:ascii="Arial" w:cs="Arial" w:eastAsia="Arial" w:hAnsi="Arial"/>
                <w:sz w:val="17"/>
                <w:szCs w:val="17"/>
                <w:b w:val="1"/>
                <w:bCs w:val="1"/>
                <w:color w:val="auto"/>
              </w:rPr>
              <w:t>CONSOLIDATED FINANCIAL STATEMENTS OF AIDH TOPCO, LLC (“DEFINITIVE OPCO”) AND SUBSIDIARIES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96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213">
              <w:r>
                <w:rPr>
                  <w:rFonts w:ascii="Arial" w:cs="Arial" w:eastAsia="Arial" w:hAnsi="Arial"/>
                  <w:sz w:val="17"/>
                  <w:szCs w:val="17"/>
                  <w:color w:val="0000EE"/>
                  <w:w w:val="90"/>
                </w:rPr>
                <w:t>Report of Independent Registered Public Accounting Firm</w:t>
              </w:r>
            </w:hyperlink>
          </w:p>
        </w:tc>
        <w:tc>
          <w:tcPr>
            <w:tcW w:w="594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14">
              <w:r>
                <w:rPr>
                  <w:rFonts w:ascii="Arial" w:cs="Arial" w:eastAsia="Arial" w:hAnsi="Arial"/>
                  <w:sz w:val="17"/>
                  <w:szCs w:val="17"/>
                  <w:color w:val="0000EE"/>
                </w:rPr>
                <w:t>Consolidated Balance Sheets as of December 31, 2020 and 2019 (Successor Company)</w:t>
              </w:r>
            </w:hyperlink>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w w:val="90"/>
              </w:rPr>
            </w:pPr>
            <w:hyperlink w:anchor="page215">
              <w:r>
                <w:rPr>
                  <w:rFonts w:ascii="Arial" w:cs="Arial" w:eastAsia="Arial" w:hAnsi="Arial"/>
                  <w:sz w:val="17"/>
                  <w:szCs w:val="17"/>
                  <w:color w:val="0000EE"/>
                  <w:w w:val="90"/>
                </w:rPr>
                <w:t>Consolidated Statements of Income (Loss) for the Year Ended December 31, 2020 (Successor Company) and for the periods from July 16, 2019</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9560" w:type="dxa"/>
            <w:vAlign w:val="bottom"/>
            <w:tcBorders>
              <w:top w:val="single" w:sz="8" w:color="0000EE"/>
            </w:tcBorders>
            <w:gridSpan w:val="17"/>
          </w:tcPr>
          <w:p>
            <w:pPr>
              <w:spacing w:after="0" w:line="183" w:lineRule="exact"/>
              <w:rPr>
                <w:rFonts w:ascii="Arial" w:cs="Arial" w:eastAsia="Arial" w:hAnsi="Arial"/>
                <w:sz w:val="17"/>
                <w:szCs w:val="17"/>
                <w:color w:val="0000EE"/>
              </w:rPr>
            </w:pPr>
            <w:hyperlink w:anchor="page215">
              <w:r>
                <w:rPr>
                  <w:rFonts w:ascii="Arial" w:cs="Arial" w:eastAsia="Arial" w:hAnsi="Arial"/>
                  <w:sz w:val="17"/>
                  <w:szCs w:val="17"/>
                  <w:color w:val="0000EE"/>
                </w:rPr>
                <w:t>to December 31, 2019 (Successor Company) and January 1, 2019 to July 15, 2019 (Predecessor Company)</w:t>
              </w:r>
            </w:hyperlink>
          </w:p>
        </w:tc>
        <w:tc>
          <w:tcPr>
            <w:tcW w:w="180" w:type="dxa"/>
            <w:vAlign w:val="bottom"/>
            <w:gridSpan w:val="3"/>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00" w:type="dxa"/>
            <w:vAlign w:val="bottom"/>
            <w:tcBorders>
              <w:bottom w:val="single" w:sz="8" w:color="0000EE"/>
            </w:tcBorders>
            <w:gridSpan w:val="17"/>
          </w:tcPr>
          <w:p>
            <w:pPr>
              <w:spacing w:after="0" w:line="183" w:lineRule="exact"/>
              <w:rPr>
                <w:rFonts w:ascii="Arial" w:cs="Arial" w:eastAsia="Arial" w:hAnsi="Arial"/>
                <w:sz w:val="17"/>
                <w:szCs w:val="17"/>
                <w:color w:val="0000EE"/>
                <w:w w:val="88"/>
              </w:rPr>
            </w:pPr>
            <w:hyperlink w:anchor="page216">
              <w:r>
                <w:rPr>
                  <w:rFonts w:ascii="Arial" w:cs="Arial" w:eastAsia="Arial" w:hAnsi="Arial"/>
                  <w:sz w:val="17"/>
                  <w:szCs w:val="17"/>
                  <w:color w:val="0000EE"/>
                  <w:w w:val="88"/>
                </w:rPr>
                <w:t>Consolidated Statements of Comprehensive (Loss) Income for the Year Ended December 31, 2020 (Successor Company) and for the periods</w:t>
              </w:r>
            </w:hyperlink>
          </w:p>
        </w:tc>
        <w:tc>
          <w:tcPr>
            <w:tcW w:w="40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8560" w:type="dxa"/>
            <w:vAlign w:val="bottom"/>
            <w:tcBorders>
              <w:bottom w:val="single" w:sz="8" w:color="0000EE"/>
            </w:tcBorders>
            <w:gridSpan w:val="14"/>
          </w:tcPr>
          <w:p>
            <w:pPr>
              <w:spacing w:after="0" w:line="183" w:lineRule="exact"/>
              <w:rPr>
                <w:rFonts w:ascii="Arial" w:cs="Arial" w:eastAsia="Arial" w:hAnsi="Arial"/>
                <w:sz w:val="17"/>
                <w:szCs w:val="17"/>
                <w:color w:val="0000EE"/>
                <w:w w:val="89"/>
              </w:rPr>
            </w:pPr>
            <w:hyperlink w:anchor="page216">
              <w:r>
                <w:rPr>
                  <w:rFonts w:ascii="Arial" w:cs="Arial" w:eastAsia="Arial" w:hAnsi="Arial"/>
                  <w:sz w:val="17"/>
                  <w:szCs w:val="17"/>
                  <w:color w:val="0000EE"/>
                  <w:w w:val="89"/>
                </w:rPr>
                <w:t>from July 16, 2019 to December 31, 2019 (Successor Company) and January 1, 2019 to July 15, 2019 (Predecessor Company)</w:t>
              </w:r>
            </w:hyperlink>
          </w:p>
        </w:tc>
        <w:tc>
          <w:tcPr>
            <w:tcW w:w="1180" w:type="dxa"/>
            <w:vAlign w:val="bottom"/>
            <w:gridSpan w:val="6"/>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F-10</w:t>
            </w:r>
          </w:p>
        </w:tc>
        <w:tc>
          <w:tcPr>
            <w:tcW w:w="0" w:type="dxa"/>
            <w:vAlign w:val="bottom"/>
          </w:tcPr>
          <w:p>
            <w:pPr>
              <w:spacing w:after="0"/>
              <w:rPr>
                <w:sz w:val="1"/>
                <w:szCs w:val="1"/>
                <w:color w:val="auto"/>
              </w:rPr>
            </w:pPr>
          </w:p>
        </w:tc>
      </w:tr>
      <w:tr>
        <w:trPr>
          <w:trHeight w:val="183"/>
        </w:trPr>
        <w:tc>
          <w:tcPr>
            <w:tcW w:w="9780" w:type="dxa"/>
            <w:vAlign w:val="bottom"/>
            <w:tcBorders>
              <w:bottom w:val="single" w:sz="8" w:color="0000EE"/>
            </w:tcBorders>
            <w:gridSpan w:val="20"/>
          </w:tcPr>
          <w:p>
            <w:pPr>
              <w:spacing w:after="0" w:line="183" w:lineRule="exact"/>
              <w:rPr>
                <w:rFonts w:ascii="Arial" w:cs="Arial" w:eastAsia="Arial" w:hAnsi="Arial"/>
                <w:sz w:val="17"/>
                <w:szCs w:val="17"/>
                <w:color w:val="0000EE"/>
                <w:w w:val="89"/>
              </w:rPr>
            </w:pPr>
            <w:hyperlink w:anchor="page217">
              <w:r>
                <w:rPr>
                  <w:rFonts w:ascii="Arial" w:cs="Arial" w:eastAsia="Arial" w:hAnsi="Arial"/>
                  <w:sz w:val="17"/>
                  <w:szCs w:val="17"/>
                  <w:color w:val="0000EE"/>
                  <w:w w:val="89"/>
                </w:rPr>
                <w:t>Consolidated Statements of Changes in Members’ Equity for the Year Ended December 31, 2020 (Successor Company) and for the periods from</w:t>
              </w:r>
            </w:hyperlink>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9740" w:type="dxa"/>
            <w:vAlign w:val="bottom"/>
            <w:gridSpan w:val="20"/>
          </w:tcPr>
          <w:p>
            <w:pPr>
              <w:spacing w:after="0" w:line="183" w:lineRule="exact"/>
              <w:rPr>
                <w:rFonts w:ascii="Arial" w:cs="Arial" w:eastAsia="Arial" w:hAnsi="Arial"/>
                <w:sz w:val="17"/>
                <w:szCs w:val="17"/>
                <w:color w:val="0000EE"/>
              </w:rPr>
            </w:pPr>
            <w:hyperlink w:anchor="page217">
              <w:r>
                <w:rPr>
                  <w:rFonts w:ascii="Arial" w:cs="Arial" w:eastAsia="Arial" w:hAnsi="Arial"/>
                  <w:sz w:val="17"/>
                  <w:szCs w:val="17"/>
                  <w:color w:val="0000EE"/>
                </w:rPr>
                <w:t>July 16, 2019 to December 31, 2019 (Successor Company) and January 1, 2019 to July 15, 2019 (Predecessor Company)</w:t>
              </w:r>
            </w:hyperlink>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60" w:type="dxa"/>
            <w:vAlign w:val="bottom"/>
            <w:tcBorders>
              <w:bottom w:val="single" w:sz="8" w:color="0000EE"/>
            </w:tcBorders>
            <w:gridSpan w:val="19"/>
          </w:tcPr>
          <w:p>
            <w:pPr>
              <w:spacing w:after="0" w:line="183" w:lineRule="exact"/>
              <w:rPr>
                <w:rFonts w:ascii="Arial" w:cs="Arial" w:eastAsia="Arial" w:hAnsi="Arial"/>
                <w:sz w:val="17"/>
                <w:szCs w:val="17"/>
                <w:color w:val="0000EE"/>
                <w:w w:val="89"/>
              </w:rPr>
            </w:pPr>
            <w:hyperlink w:anchor="page218">
              <w:r>
                <w:rPr>
                  <w:rFonts w:ascii="Arial" w:cs="Arial" w:eastAsia="Arial" w:hAnsi="Arial"/>
                  <w:sz w:val="17"/>
                  <w:szCs w:val="17"/>
                  <w:color w:val="0000EE"/>
                  <w:w w:val="89"/>
                </w:rPr>
                <w:t>Consolidated Statements of Cash Flows for the Year Ended December 31, 2020 (Successor Company) and for the periods from July 16, 2019 to</w:t>
              </w:r>
            </w:hyperlink>
          </w:p>
        </w:tc>
        <w:tc>
          <w:tcPr>
            <w:tcW w:w="1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7060" w:type="dxa"/>
            <w:vAlign w:val="bottom"/>
            <w:tcBorders>
              <w:bottom w:val="single" w:sz="8" w:color="0000EE"/>
            </w:tcBorders>
            <w:gridSpan w:val="11"/>
          </w:tcPr>
          <w:p>
            <w:pPr>
              <w:spacing w:after="0" w:line="183" w:lineRule="exact"/>
              <w:rPr>
                <w:rFonts w:ascii="Arial" w:cs="Arial" w:eastAsia="Arial" w:hAnsi="Arial"/>
                <w:sz w:val="17"/>
                <w:szCs w:val="17"/>
                <w:color w:val="0000EE"/>
                <w:w w:val="88"/>
              </w:rPr>
            </w:pPr>
            <w:hyperlink w:anchor="page218">
              <w:r>
                <w:rPr>
                  <w:rFonts w:ascii="Arial" w:cs="Arial" w:eastAsia="Arial" w:hAnsi="Arial"/>
                  <w:sz w:val="17"/>
                  <w:szCs w:val="17"/>
                  <w:color w:val="0000EE"/>
                  <w:w w:val="88"/>
                </w:rPr>
                <w:t>December 31, 2019 (Successor Company) and January 1, 2019 to July 15, 2019 (Predecessor Company)</w:t>
              </w:r>
            </w:hyperlink>
          </w:p>
        </w:tc>
        <w:tc>
          <w:tcPr>
            <w:tcW w:w="2680" w:type="dxa"/>
            <w:vAlign w:val="bottom"/>
            <w:gridSpan w:val="9"/>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F-12</w:t>
            </w:r>
          </w:p>
        </w:tc>
        <w:tc>
          <w:tcPr>
            <w:tcW w:w="0" w:type="dxa"/>
            <w:vAlign w:val="bottom"/>
          </w:tcPr>
          <w:p>
            <w:pPr>
              <w:spacing w:after="0"/>
              <w:rPr>
                <w:sz w:val="1"/>
                <w:szCs w:val="1"/>
                <w:color w:val="auto"/>
              </w:rPr>
            </w:pPr>
          </w:p>
        </w:tc>
      </w:tr>
      <w:tr>
        <w:trPr>
          <w:trHeight w:val="183"/>
        </w:trPr>
        <w:tc>
          <w:tcPr>
            <w:tcW w:w="3200" w:type="dxa"/>
            <w:vAlign w:val="bottom"/>
            <w:tcBorders>
              <w:bottom w:val="single" w:sz="8" w:color="0000EE"/>
            </w:tcBorders>
            <w:gridSpan w:val="5"/>
          </w:tcPr>
          <w:p>
            <w:pPr>
              <w:spacing w:after="0" w:line="183" w:lineRule="exact"/>
              <w:rPr>
                <w:rFonts w:ascii="Arial" w:cs="Arial" w:eastAsia="Arial" w:hAnsi="Arial"/>
                <w:sz w:val="17"/>
                <w:szCs w:val="17"/>
                <w:color w:val="0000EE"/>
                <w:w w:val="88"/>
              </w:rPr>
            </w:pPr>
            <w:hyperlink w:anchor="page220">
              <w:r>
                <w:rPr>
                  <w:rFonts w:ascii="Arial" w:cs="Arial" w:eastAsia="Arial" w:hAnsi="Arial"/>
                  <w:sz w:val="17"/>
                  <w:szCs w:val="17"/>
                  <w:color w:val="0000EE"/>
                  <w:w w:val="88"/>
                </w:rPr>
                <w:t>Notes to the Consolidated Financial Statements</w:t>
              </w:r>
            </w:hyperlink>
          </w:p>
        </w:tc>
        <w:tc>
          <w:tcPr>
            <w:tcW w:w="6700" w:type="dxa"/>
            <w:vAlign w:val="bottom"/>
            <w:gridSpan w:val="16"/>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F-14</w:t>
            </w:r>
          </w:p>
        </w:tc>
        <w:tc>
          <w:tcPr>
            <w:tcW w:w="0" w:type="dxa"/>
            <w:vAlign w:val="bottom"/>
          </w:tcPr>
          <w:p>
            <w:pPr>
              <w:spacing w:after="0"/>
              <w:rPr>
                <w:sz w:val="1"/>
                <w:szCs w:val="1"/>
                <w:color w:val="auto"/>
              </w:rPr>
            </w:pPr>
          </w:p>
        </w:tc>
      </w:tr>
      <w:tr>
        <w:trPr>
          <w:trHeight w:val="423"/>
        </w:trPr>
        <w:tc>
          <w:tcPr>
            <w:tcW w:w="9900" w:type="dxa"/>
            <w:vAlign w:val="bottom"/>
            <w:gridSpan w:val="21"/>
          </w:tcPr>
          <w:p>
            <w:pPr>
              <w:spacing w:after="0"/>
              <w:rPr>
                <w:sz w:val="20"/>
                <w:szCs w:val="20"/>
                <w:color w:val="auto"/>
              </w:rPr>
            </w:pPr>
            <w:r>
              <w:rPr>
                <w:rFonts w:ascii="Arial" w:cs="Arial" w:eastAsia="Arial" w:hAnsi="Arial"/>
                <w:sz w:val="17"/>
                <w:szCs w:val="17"/>
                <w:b w:val="1"/>
                <w:bCs w:val="1"/>
                <w:color w:val="auto"/>
              </w:rPr>
              <w:t>CONSOLIDATED FINANCIAL STATEMENTS OF DEFINITIVE HEALTHCARE CORP. (UNAUDITED)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420" w:type="dxa"/>
            <w:vAlign w:val="bottom"/>
            <w:tcBorders>
              <w:bottom w:val="single" w:sz="8" w:color="0000EE"/>
            </w:tcBorders>
            <w:gridSpan w:val="9"/>
          </w:tcPr>
          <w:p>
            <w:pPr>
              <w:spacing w:after="0"/>
              <w:rPr>
                <w:rFonts w:ascii="Arial" w:cs="Arial" w:eastAsia="Arial" w:hAnsi="Arial"/>
                <w:sz w:val="17"/>
                <w:szCs w:val="17"/>
                <w:color w:val="0000EE"/>
                <w:w w:val="88"/>
              </w:rPr>
            </w:pPr>
            <w:hyperlink w:anchor="page254">
              <w:r>
                <w:rPr>
                  <w:rFonts w:ascii="Arial" w:cs="Arial" w:eastAsia="Arial" w:hAnsi="Arial"/>
                  <w:sz w:val="17"/>
                  <w:szCs w:val="17"/>
                  <w:color w:val="0000EE"/>
                  <w:w w:val="88"/>
                </w:rPr>
                <w:t>Consolidated Balance Sheets as of September 30, 2021 and December 31, 2020</w:t>
              </w:r>
            </w:hyperlink>
          </w:p>
        </w:tc>
        <w:tc>
          <w:tcPr>
            <w:tcW w:w="448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F-48</w:t>
            </w:r>
          </w:p>
        </w:tc>
        <w:tc>
          <w:tcPr>
            <w:tcW w:w="0" w:type="dxa"/>
            <w:vAlign w:val="bottom"/>
          </w:tcPr>
          <w:p>
            <w:pPr>
              <w:spacing w:after="0"/>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55">
              <w:r>
                <w:rPr>
                  <w:rFonts w:ascii="Arial" w:cs="Arial" w:eastAsia="Arial" w:hAnsi="Arial"/>
                  <w:sz w:val="17"/>
                  <w:szCs w:val="17"/>
                  <w:color w:val="0000EE"/>
                </w:rPr>
                <w:t xml:space="preserve">Consolidated Statements of Operations </w:t>
              </w:r>
            </w:hyperlink>
            <w:r>
              <w:rPr>
                <w:rFonts w:ascii="Arial" w:cs="Arial" w:eastAsia="Arial" w:hAnsi="Arial"/>
                <w:sz w:val="17"/>
                <w:szCs w:val="17"/>
                <w:color w:val="000000"/>
              </w:rPr>
              <w:t>for</w:t>
            </w:r>
            <w:r>
              <w:rPr>
                <w:rFonts w:ascii="Arial" w:cs="Arial" w:eastAsia="Arial" w:hAnsi="Arial"/>
                <w:sz w:val="17"/>
                <w:szCs w:val="17"/>
                <w:color w:val="0000EE"/>
              </w:rPr>
              <w:t xml:space="preserve"> </w:t>
            </w:r>
            <w:r>
              <w:rPr>
                <w:rFonts w:ascii="Arial" w:cs="Arial" w:eastAsia="Arial" w:hAnsi="Arial"/>
                <w:sz w:val="17"/>
                <w:szCs w:val="17"/>
                <w:color w:val="000000"/>
              </w:rPr>
              <w:t>the Nine Months Ended September 30, 2021 and 2020</w:t>
            </w: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F-49</w:t>
            </w:r>
          </w:p>
        </w:tc>
        <w:tc>
          <w:tcPr>
            <w:tcW w:w="0" w:type="dxa"/>
            <w:vAlign w:val="bottom"/>
          </w:tcPr>
          <w:p>
            <w:pPr>
              <w:spacing w:after="0"/>
              <w:rPr>
                <w:sz w:val="1"/>
                <w:szCs w:val="1"/>
                <w:color w:val="auto"/>
              </w:rPr>
            </w:pPr>
          </w:p>
        </w:tc>
      </w:tr>
      <w:tr>
        <w:trPr>
          <w:trHeight w:val="20"/>
        </w:trPr>
        <w:tc>
          <w:tcPr>
            <w:tcW w:w="2680" w:type="dxa"/>
            <w:vAlign w:val="bottom"/>
            <w:gridSpan w:val="4"/>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56">
              <w:r>
                <w:rPr>
                  <w:rFonts w:ascii="Arial" w:cs="Arial" w:eastAsia="Arial" w:hAnsi="Arial"/>
                  <w:sz w:val="17"/>
                  <w:szCs w:val="17"/>
                  <w:color w:val="0000EE"/>
                </w:rPr>
                <w:t xml:space="preserve">Consolidated Statements of Comprehensive Loss </w:t>
              </w:r>
            </w:hyperlink>
            <w:r>
              <w:rPr>
                <w:rFonts w:ascii="Arial" w:cs="Arial" w:eastAsia="Arial" w:hAnsi="Arial"/>
                <w:sz w:val="17"/>
                <w:szCs w:val="17"/>
                <w:color w:val="000000"/>
              </w:rPr>
              <w:t>for</w:t>
            </w:r>
            <w:r>
              <w:rPr>
                <w:rFonts w:ascii="Arial" w:cs="Arial" w:eastAsia="Arial" w:hAnsi="Arial"/>
                <w:sz w:val="17"/>
                <w:szCs w:val="17"/>
                <w:color w:val="0000EE"/>
              </w:rPr>
              <w:t xml:space="preserve"> </w:t>
            </w:r>
            <w:r>
              <w:rPr>
                <w:rFonts w:ascii="Arial" w:cs="Arial" w:eastAsia="Arial" w:hAnsi="Arial"/>
                <w:sz w:val="17"/>
                <w:szCs w:val="17"/>
                <w:color w:val="000000"/>
              </w:rPr>
              <w:t>the Nine Months Ended September 30, 2021 and 2020</w:t>
            </w: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F-50</w:t>
            </w:r>
          </w:p>
        </w:tc>
        <w:tc>
          <w:tcPr>
            <w:tcW w:w="0" w:type="dxa"/>
            <w:vAlign w:val="bottom"/>
          </w:tcPr>
          <w:p>
            <w:pPr>
              <w:spacing w:after="0"/>
              <w:rPr>
                <w:sz w:val="1"/>
                <w:szCs w:val="1"/>
                <w:color w:val="auto"/>
              </w:rPr>
            </w:pPr>
          </w:p>
        </w:tc>
      </w:tr>
      <w:tr>
        <w:trPr>
          <w:trHeight w:val="20"/>
        </w:trPr>
        <w:tc>
          <w:tcPr>
            <w:tcW w:w="3360" w:type="dxa"/>
            <w:vAlign w:val="bottom"/>
            <w:gridSpan w:val="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0" w:type="dxa"/>
            <w:vAlign w:val="bottom"/>
            <w:tcBorders>
              <w:bottom w:val="single" w:sz="8" w:color="0000EE"/>
            </w:tcBorders>
            <w:gridSpan w:val="16"/>
          </w:tcPr>
          <w:p>
            <w:pPr>
              <w:spacing w:after="0" w:line="183" w:lineRule="exact"/>
              <w:rPr>
                <w:rFonts w:ascii="Arial" w:cs="Arial" w:eastAsia="Arial" w:hAnsi="Arial"/>
                <w:sz w:val="17"/>
                <w:szCs w:val="17"/>
                <w:color w:val="0000EE"/>
                <w:w w:val="89"/>
              </w:rPr>
            </w:pPr>
            <w:hyperlink w:anchor="page257">
              <w:r>
                <w:rPr>
                  <w:rFonts w:ascii="Arial" w:cs="Arial" w:eastAsia="Arial" w:hAnsi="Arial"/>
                  <w:sz w:val="17"/>
                  <w:szCs w:val="17"/>
                  <w:color w:val="0000EE"/>
                  <w:w w:val="89"/>
                </w:rPr>
                <w:t>Consolidated Statements of Changes in Members’ Equity and Total Equity for the Nine Months Ended September 30, 2021 and 2020</w:t>
              </w:r>
            </w:hyperlink>
          </w:p>
        </w:tc>
        <w:tc>
          <w:tcPr>
            <w:tcW w:w="900" w:type="dxa"/>
            <w:vAlign w:val="bottom"/>
            <w:gridSpan w:val="5"/>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F-51</w:t>
            </w:r>
          </w:p>
        </w:tc>
        <w:tc>
          <w:tcPr>
            <w:tcW w:w="0" w:type="dxa"/>
            <w:vAlign w:val="bottom"/>
          </w:tcPr>
          <w:p>
            <w:pPr>
              <w:spacing w:after="0"/>
              <w:rPr>
                <w:sz w:val="1"/>
                <w:szCs w:val="1"/>
                <w:color w:val="auto"/>
              </w:rPr>
            </w:pPr>
          </w:p>
        </w:tc>
      </w:tr>
      <w:tr>
        <w:trPr>
          <w:trHeight w:val="183"/>
        </w:trPr>
        <w:tc>
          <w:tcPr>
            <w:tcW w:w="6640" w:type="dxa"/>
            <w:vAlign w:val="bottom"/>
            <w:tcBorders>
              <w:bottom w:val="single" w:sz="8" w:color="0000EE"/>
            </w:tcBorders>
            <w:gridSpan w:val="11"/>
          </w:tcPr>
          <w:p>
            <w:pPr>
              <w:spacing w:after="0" w:line="183" w:lineRule="exact"/>
              <w:rPr>
                <w:rFonts w:ascii="Arial" w:cs="Arial" w:eastAsia="Arial" w:hAnsi="Arial"/>
                <w:sz w:val="17"/>
                <w:szCs w:val="17"/>
                <w:color w:val="0000EE"/>
                <w:w w:val="89"/>
              </w:rPr>
            </w:pPr>
            <w:hyperlink w:anchor="page260">
              <w:r>
                <w:rPr>
                  <w:rFonts w:ascii="Arial" w:cs="Arial" w:eastAsia="Arial" w:hAnsi="Arial"/>
                  <w:sz w:val="17"/>
                  <w:szCs w:val="17"/>
                  <w:color w:val="0000EE"/>
                  <w:w w:val="89"/>
                </w:rPr>
                <w:t>Consolidated Statements of Cash Flows for the Nine Months Ended September 30, 2021 and 2020</w:t>
              </w:r>
            </w:hyperlink>
          </w:p>
        </w:tc>
        <w:tc>
          <w:tcPr>
            <w:tcW w:w="3260" w:type="dxa"/>
            <w:vAlign w:val="bottom"/>
            <w:gridSpan w:val="10"/>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F-54</w:t>
            </w:r>
          </w:p>
        </w:tc>
        <w:tc>
          <w:tcPr>
            <w:tcW w:w="0" w:type="dxa"/>
            <w:vAlign w:val="bottom"/>
          </w:tcPr>
          <w:p>
            <w:pPr>
              <w:spacing w:after="0"/>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61">
              <w:r>
                <w:rPr>
                  <w:rFonts w:ascii="Arial" w:cs="Arial" w:eastAsia="Arial" w:hAnsi="Arial"/>
                  <w:sz w:val="17"/>
                  <w:szCs w:val="17"/>
                  <w:color w:val="0000EE"/>
                </w:rPr>
                <w:t>Notes to the Condensed Consolidated Financial Statements</w:t>
              </w:r>
            </w:hyperlink>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F-55</w:t>
            </w:r>
          </w:p>
        </w:tc>
        <w:tc>
          <w:tcPr>
            <w:tcW w:w="0" w:type="dxa"/>
            <w:vAlign w:val="bottom"/>
          </w:tcPr>
          <w:p>
            <w:pPr>
              <w:spacing w:after="0"/>
              <w:rPr>
                <w:sz w:val="1"/>
                <w:szCs w:val="1"/>
                <w:color w:val="auto"/>
              </w:rPr>
            </w:pPr>
          </w:p>
        </w:tc>
      </w:tr>
      <w:tr>
        <w:trPr>
          <w:trHeight w:val="359"/>
        </w:trPr>
        <w:tc>
          <w:tcPr>
            <w:tcW w:w="16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900" w:type="dxa"/>
            <w:vAlign w:val="bottom"/>
            <w:gridSpan w:val="13"/>
          </w:tcPr>
          <w:p>
            <w:pPr>
              <w:ind w:left="1040"/>
              <w:spacing w:after="0"/>
              <w:rPr>
                <w:sz w:val="20"/>
                <w:szCs w:val="20"/>
                <w:color w:val="auto"/>
              </w:rPr>
            </w:pPr>
            <w:r>
              <w:rPr>
                <w:rFonts w:ascii="Arial" w:cs="Arial" w:eastAsia="Arial" w:hAnsi="Arial"/>
                <w:sz w:val="17"/>
                <w:szCs w:val="17"/>
                <w:color w:val="auto"/>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40" w:right="83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Definitive Healthcare Corp.</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Balance Sheet as of May 24, 2021 and Report of Independent Registered Public Accounting Firm</w:t>
      </w:r>
    </w:p>
    <w:p>
      <w:pPr>
        <w:spacing w:after="0" w:line="16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139"/>
          </w:cols>
          <w:pgMar w:left="320" w:top="440" w:right="1440"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right="4540"/>
        <w:spacing w:after="0" w:line="441"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shareholders and the Board of Directors of Definitive Healthcare Corp.</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Opinion on the Financial Statement</w:t>
      </w:r>
    </w:p>
    <w:p>
      <w:pPr>
        <w:spacing w:after="0" w:line="112"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Basis for Opinion</w:t>
      </w:r>
    </w:p>
    <w:p>
      <w:pPr>
        <w:spacing w:after="0" w:line="112"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1" w:lineRule="exact"/>
        <w:rPr>
          <w:sz w:val="20"/>
          <w:szCs w:val="20"/>
          <w:color w:val="auto"/>
        </w:rPr>
      </w:pPr>
    </w:p>
    <w:p>
      <w:pPr>
        <w:ind w:left="460" w:right="60"/>
        <w:spacing w:after="0" w:line="301"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 Deloitte &amp; Touche LLP</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Boston, Massachusetts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May 28, 2021</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served as the Company’s auditor since 2021.</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780"/>
          </w:cols>
          <w:pgMar w:left="320" w:top="440" w:right="79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8040" w:type="dxa"/>
            <w:vAlign w:val="bottom"/>
          </w:tcPr>
          <w:p>
            <w:pPr>
              <w:jc w:val="center"/>
              <w:ind w:left="2216"/>
              <w:spacing w:after="0"/>
              <w:rPr>
                <w:sz w:val="20"/>
                <w:szCs w:val="20"/>
                <w:color w:val="auto"/>
              </w:rPr>
            </w:pPr>
            <w:r>
              <w:rPr>
                <w:rFonts w:ascii="Arial" w:cs="Arial" w:eastAsia="Arial" w:hAnsi="Arial"/>
                <w:sz w:val="17"/>
                <w:szCs w:val="17"/>
                <w:b w:val="1"/>
                <w:bCs w:val="1"/>
                <w:color w:val="auto"/>
              </w:rPr>
              <w:t>DEFINITIVE HEALTHCARE CORP.</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040" w:type="dxa"/>
            <w:vAlign w:val="bottom"/>
          </w:tcPr>
          <w:p>
            <w:pPr>
              <w:jc w:val="center"/>
              <w:ind w:left="2196"/>
              <w:spacing w:after="0"/>
              <w:rPr>
                <w:sz w:val="20"/>
                <w:szCs w:val="20"/>
                <w:color w:val="auto"/>
              </w:rPr>
            </w:pPr>
            <w:r>
              <w:rPr>
                <w:rFonts w:ascii="Arial" w:cs="Arial" w:eastAsia="Arial" w:hAnsi="Arial"/>
                <w:sz w:val="17"/>
                <w:szCs w:val="17"/>
                <w:b w:val="1"/>
                <w:bCs w:val="1"/>
                <w:color w:val="auto"/>
                <w:w w:val="99"/>
              </w:rPr>
              <w:t>BALANCE SHEET</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040" w:type="dxa"/>
            <w:vAlign w:val="bottom"/>
          </w:tcPr>
          <w:p>
            <w:pPr>
              <w:jc w:val="center"/>
              <w:ind w:left="2216"/>
              <w:spacing w:after="0"/>
              <w:rPr>
                <w:sz w:val="20"/>
                <w:szCs w:val="20"/>
                <w:color w:val="auto"/>
              </w:rPr>
            </w:pPr>
            <w:r>
              <w:rPr>
                <w:rFonts w:ascii="Arial" w:cs="Arial" w:eastAsia="Arial" w:hAnsi="Arial"/>
                <w:sz w:val="17"/>
                <w:szCs w:val="17"/>
                <w:i w:val="1"/>
                <w:iCs w:val="1"/>
                <w:color w:val="auto"/>
                <w:w w:val="92"/>
              </w:rPr>
              <w:t>(amounts in dollars)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8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May 24, 2021</w:t>
            </w:r>
          </w:p>
        </w:tc>
        <w:tc>
          <w:tcPr>
            <w:tcW w:w="0" w:type="dxa"/>
            <w:vAlign w:val="bottom"/>
          </w:tcPr>
          <w:p>
            <w:pPr>
              <w:spacing w:after="0"/>
              <w:rPr>
                <w:sz w:val="1"/>
                <w:szCs w:val="1"/>
                <w:color w:val="auto"/>
              </w:rPr>
            </w:pPr>
          </w:p>
        </w:tc>
      </w:tr>
      <w:tr>
        <w:trPr>
          <w:trHeight w:val="183"/>
        </w:trPr>
        <w:tc>
          <w:tcPr>
            <w:tcW w:w="80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14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rPr>
                <w:sz w:val="20"/>
                <w:szCs w:val="20"/>
                <w:color w:val="auto"/>
              </w:rPr>
            </w:pPr>
            <w:r>
              <w:rPr>
                <w:rFonts w:ascii="Arial" w:cs="Arial" w:eastAsia="Arial" w:hAnsi="Arial"/>
                <w:sz w:val="17"/>
                <w:szCs w:val="17"/>
                <w:color w:val="auto"/>
              </w:rPr>
              <w:t>Cash</w:t>
            </w:r>
          </w:p>
        </w:tc>
        <w:tc>
          <w:tcPr>
            <w:tcW w:w="14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assets</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7"/>
                <w:szCs w:val="17"/>
                <w:b w:val="1"/>
                <w:bCs w:val="1"/>
                <w:color w:val="auto"/>
              </w:rPr>
              <w:t>Stockholder’s equity</w:t>
            </w: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4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par value $0.01 per share, 100 shares authorized, 1 issued and outstanding</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340"/>
              <w:spacing w:after="0"/>
              <w:rPr>
                <w:sz w:val="20"/>
                <w:szCs w:val="20"/>
                <w:color w:val="auto"/>
              </w:rPr>
            </w:pPr>
            <w:r>
              <w:rPr>
                <w:rFonts w:ascii="Arial" w:cs="Arial" w:eastAsia="Arial" w:hAnsi="Arial"/>
                <w:sz w:val="17"/>
                <w:szCs w:val="17"/>
                <w:color w:val="auto"/>
              </w:rPr>
              <w:t>Additional paid in capital</w:t>
            </w:r>
          </w:p>
        </w:tc>
        <w:tc>
          <w:tcPr>
            <w:tcW w:w="1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4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99.99</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stockholder’s equity</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financial statement</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800"/>
          </w:cols>
          <w:pgMar w:left="320" w:top="440" w:right="77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DEFINITIVE HEALTHCARE CORP.</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THE FINANCIAL STATEMENT</w:t>
      </w:r>
    </w:p>
    <w:p>
      <w:pPr>
        <w:spacing w:after="0" w:line="223" w:lineRule="exact"/>
        <w:rPr>
          <w:sz w:val="20"/>
          <w:szCs w:val="20"/>
          <w:color w:val="auto"/>
        </w:rPr>
      </w:pPr>
    </w:p>
    <w:p>
      <w:pPr>
        <w:ind w:left="860" w:hanging="403"/>
        <w:spacing w:after="0"/>
        <w:tabs>
          <w:tab w:leader="none" w:pos="860" w:val="left"/>
        </w:tabs>
        <w:numPr>
          <w:ilvl w:val="0"/>
          <w:numId w:val="16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Organization</w:t>
      </w:r>
    </w:p>
    <w:p>
      <w:pPr>
        <w:spacing w:after="0" w:line="108"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57" w:lineRule="exact"/>
        <w:rPr>
          <w:sz w:val="20"/>
          <w:szCs w:val="20"/>
          <w:color w:val="auto"/>
        </w:rPr>
      </w:pPr>
    </w:p>
    <w:p>
      <w:pPr>
        <w:ind w:left="460" w:right="100" w:firstLine="413"/>
        <w:spacing w:after="0" w:line="303" w:lineRule="auto"/>
        <w:rPr>
          <w:sz w:val="20"/>
          <w:szCs w:val="20"/>
          <w:color w:val="auto"/>
        </w:rPr>
      </w:pPr>
      <w:r>
        <w:rPr>
          <w:rFonts w:ascii="Arial" w:cs="Arial" w:eastAsia="Arial" w:hAnsi="Arial"/>
          <w:sz w:val="16"/>
          <w:szCs w:val="16"/>
          <w:color w:val="auto"/>
        </w:rPr>
        <w:t>The Corporation will be the sole managing member of AIDH TopCo, LLC, and will operate and control all of the businesses and affairs of AIDH TopCo, LLC and, through AIDH TopCo, LLC and its subsidiaries, continue to conduct the business now conducted by these entities.</w:t>
      </w:r>
    </w:p>
    <w:p>
      <w:pPr>
        <w:spacing w:after="0" w:line="283" w:lineRule="exact"/>
        <w:rPr>
          <w:sz w:val="20"/>
          <w:szCs w:val="20"/>
          <w:color w:val="auto"/>
        </w:rPr>
      </w:pPr>
    </w:p>
    <w:p>
      <w:pPr>
        <w:ind w:left="460" w:right="6820" w:hanging="3"/>
        <w:spacing w:after="0" w:line="373" w:lineRule="auto"/>
        <w:tabs>
          <w:tab w:leader="none" w:pos="865" w:val="left"/>
        </w:tabs>
        <w:numPr>
          <w:ilvl w:val="0"/>
          <w:numId w:val="16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Summary of Significant Accounting Policies Basis of Accounting</w:t>
      </w:r>
    </w:p>
    <w:p>
      <w:pPr>
        <w:jc w:val="both"/>
        <w:ind w:left="460" w:right="120" w:firstLine="413"/>
        <w:spacing w:after="0" w:line="260"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14" w:lineRule="exact"/>
        <w:rPr>
          <w:sz w:val="20"/>
          <w:szCs w:val="20"/>
          <w:color w:val="auto"/>
        </w:rPr>
      </w:pPr>
    </w:p>
    <w:p>
      <w:pPr>
        <w:ind w:left="860" w:hanging="403"/>
        <w:spacing w:after="0"/>
        <w:tabs>
          <w:tab w:leader="none" w:pos="860" w:val="left"/>
        </w:tabs>
        <w:numPr>
          <w:ilvl w:val="0"/>
          <w:numId w:val="1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Stockholder’s Equity</w:t>
      </w:r>
    </w:p>
    <w:p>
      <w:pPr>
        <w:spacing w:after="0" w:line="108"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304" w:lineRule="exact"/>
        <w:rPr>
          <w:sz w:val="20"/>
          <w:szCs w:val="20"/>
          <w:color w:val="auto"/>
        </w:rPr>
      </w:pPr>
    </w:p>
    <w:p>
      <w:pPr>
        <w:ind w:left="860" w:hanging="403"/>
        <w:spacing w:after="0"/>
        <w:tabs>
          <w:tab w:leader="none" w:pos="860" w:val="left"/>
        </w:tabs>
        <w:numPr>
          <w:ilvl w:val="0"/>
          <w:numId w:val="17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Subsequent Events</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Corporation has evaluated subsequent events through May 28, 2021, the date which the financial statement was issued, and did not identify any additional matters that require disclosure.</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780"/>
          </w:cols>
          <w:pgMar w:left="320" w:top="440" w:right="79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AIDH TopCo,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and Subsidiaries</w:t>
      </w:r>
    </w:p>
    <w:p>
      <w:pPr>
        <w:spacing w:after="0" w:line="198"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680"/>
          </w:cols>
          <w:pgMar w:left="320" w:top="440" w:right="89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shareholders and the Board of Directors of AIDH Topco, LLC</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2" w:lineRule="exact"/>
        <w:rPr>
          <w:sz w:val="20"/>
          <w:szCs w:val="20"/>
          <w:color w:val="auto"/>
        </w:rPr>
      </w:pPr>
    </w:p>
    <w:p>
      <w:pPr>
        <w:ind w:left="460" w:right="40"/>
        <w:spacing w:after="0" w:line="269" w:lineRule="auto"/>
        <w:rPr>
          <w:sz w:val="20"/>
          <w:szCs w:val="20"/>
          <w:color w:val="auto"/>
        </w:rPr>
      </w:pPr>
      <w:r>
        <w:rPr>
          <w:rFonts w:ascii="Arial" w:cs="Arial" w:eastAsia="Arial" w:hAnsi="Arial"/>
          <w:sz w:val="16"/>
          <w:szCs w:val="16"/>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Basis for Opinion</w:t>
      </w:r>
    </w:p>
    <w:p>
      <w:pPr>
        <w:spacing w:after="0" w:line="112" w:lineRule="exact"/>
        <w:rPr>
          <w:sz w:val="20"/>
          <w:szCs w:val="20"/>
          <w:color w:val="auto"/>
        </w:rPr>
      </w:pPr>
    </w:p>
    <w:p>
      <w:pPr>
        <w:ind w:left="460" w:right="60"/>
        <w:spacing w:after="0" w:line="25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left="460" w:right="20"/>
        <w:spacing w:after="0" w:line="253"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left="460"/>
        <w:spacing w:after="0" w:line="301"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 Deloitte &amp; Touche LLP</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Boston, Massachusetts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May 28, 2021</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served as the Company’s auditor since 2020.</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760"/>
          </w:cols>
          <w:pgMar w:left="320" w:top="440" w:right="81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BALANCE SHEETS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(in thousands, except number of units)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Successor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0" w:type="dxa"/>
            <w:vAlign w:val="bottom"/>
            <w:tcBorders>
              <w:top w:val="single" w:sz="8" w:color="auto"/>
            </w:tcBorders>
            <w:gridSpan w:val="3"/>
          </w:tcPr>
          <w:p>
            <w:pPr>
              <w:ind w:left="20"/>
              <w:spacing w:after="0" w:line="112" w:lineRule="exact"/>
              <w:rPr>
                <w:sz w:val="20"/>
                <w:szCs w:val="20"/>
                <w:color w:val="auto"/>
              </w:rPr>
            </w:pPr>
            <w:r>
              <w:rPr>
                <w:rFonts w:ascii="Arial" w:cs="Arial" w:eastAsia="Arial" w:hAnsi="Arial"/>
                <w:sz w:val="12"/>
                <w:szCs w:val="12"/>
                <w:b w:val="1"/>
                <w:bCs w:val="1"/>
                <w:color w:val="auto"/>
              </w:rPr>
              <w:t>December 31,</w:t>
            </w: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spacing w:after="0" w:line="112"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24,774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33,108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63,845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36,107</w:t>
            </w:r>
          </w:p>
        </w:tc>
        <w:tc>
          <w:tcPr>
            <w:tcW w:w="0" w:type="dxa"/>
            <w:vAlign w:val="bottom"/>
          </w:tcPr>
          <w:p>
            <w:pPr>
              <w:spacing w:after="0"/>
              <w:rPr>
                <w:sz w:val="1"/>
                <w:szCs w:val="1"/>
                <w:color w:val="auto"/>
              </w:rPr>
            </w:pPr>
          </w:p>
        </w:tc>
      </w:tr>
      <w:tr>
        <w:trPr>
          <w:trHeight w:val="303"/>
        </w:trPr>
        <w:tc>
          <w:tcPr>
            <w:tcW w:w="82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3,248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5,952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Intangible assets, net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410,237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446,381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1,261,444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1,745,359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2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Liabilities and Members’ Capital</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26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17,321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distribution payable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Current portion of deferred revenue</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61,060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45,977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term loan</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88,723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69,917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Long term liabilities: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Term Loan, net of current portion</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457,197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434,849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549,796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Members’ capital:</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tcPr>
          <w:p>
            <w:pPr>
              <w:ind w:left="320"/>
              <w:spacing w:after="0" w:line="190" w:lineRule="exact"/>
              <w:rPr>
                <w:sz w:val="20"/>
                <w:szCs w:val="20"/>
                <w:color w:val="auto"/>
              </w:rPr>
            </w:pPr>
            <w:r>
              <w:rPr>
                <w:rFonts w:ascii="Arial" w:cs="Arial" w:eastAsia="Arial" w:hAnsi="Arial"/>
                <w:sz w:val="17"/>
                <w:szCs w:val="17"/>
                <w:color w:val="auto"/>
                <w:w w:val="92"/>
              </w:rPr>
              <w:t>Class A units, 130,245,990 and 127,125,435 units authorized, issued and outstanding at December 31, 2020 and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rPr>
              <w:t>2019, respectively</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1,303,058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1,271,254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4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w w:val="92"/>
              </w:rPr>
              <w:t>Class B units, 8,088,877 units authorized at December 31, 2020 and 2019; 3,720,063 and 3,799,364 units issued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2"/>
              </w:rPr>
              <w:t>at December 31, 2020 and 2019, respectively; and 474,920 and 0 units outstanding at December 31, 2020 and</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2019, respectively</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(109,855)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members’ capital</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1,195,563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1,216,240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members’ capital</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1,745,359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800"/>
          </w:cols>
          <w:pgMar w:left="320" w:top="440" w:right="77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(LOSS) INCOME</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unit and per unit data)</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gridSpan w:val="5"/>
            <w:vMerge w:val="restart"/>
          </w:tcPr>
          <w:p>
            <w:pPr>
              <w:jc w:val="right"/>
              <w:ind w:right="840"/>
              <w:spacing w:after="0"/>
              <w:rPr>
                <w:sz w:val="20"/>
                <w:szCs w:val="20"/>
                <w:color w:val="auto"/>
              </w:rPr>
            </w:pPr>
            <w:r>
              <w:rPr>
                <w:rFonts w:ascii="Arial" w:cs="Arial" w:eastAsia="Arial" w:hAnsi="Arial"/>
                <w:sz w:val="13"/>
                <w:szCs w:val="13"/>
                <w:b w:val="1"/>
                <w:bCs w:val="1"/>
                <w:color w:val="auto"/>
              </w:rPr>
              <w:t>Successor Company</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6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5"/>
            <w:vMerge w:val="continue"/>
          </w:tcPr>
          <w:p>
            <w:pPr>
              <w:spacing w:after="0"/>
              <w:rPr>
                <w:sz w:val="10"/>
                <w:szCs w:val="10"/>
                <w:color w:val="auto"/>
              </w:rPr>
            </w:pPr>
          </w:p>
        </w:tc>
        <w:tc>
          <w:tcPr>
            <w:tcW w:w="7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7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2"/>
        </w:trPr>
        <w:tc>
          <w:tcPr>
            <w:tcW w:w="60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5"/>
              </w:rPr>
              <w:t>Year Ended</w:t>
            </w: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rPr>
              <w:t>Period from</w:t>
            </w:r>
          </w:p>
        </w:tc>
        <w:tc>
          <w:tcPr>
            <w:tcW w:w="280" w:type="dxa"/>
            <w:vAlign w:val="bottom"/>
          </w:tcPr>
          <w:p>
            <w:pPr>
              <w:spacing w:after="0"/>
              <w:rPr>
                <w:sz w:val="9"/>
                <w:szCs w:val="9"/>
                <w:color w:val="auto"/>
              </w:rPr>
            </w:pPr>
          </w:p>
        </w:tc>
        <w:tc>
          <w:tcPr>
            <w:tcW w:w="720" w:type="dxa"/>
            <w:vAlign w:val="bottom"/>
            <w:tcBorders>
              <w:lef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0"/>
              <w:spacing w:after="0" w:line="112" w:lineRule="exact"/>
              <w:rPr>
                <w:sz w:val="20"/>
                <w:szCs w:val="20"/>
                <w:color w:val="auto"/>
              </w:rPr>
            </w:pPr>
            <w:r>
              <w:rPr>
                <w:rFonts w:ascii="Arial" w:cs="Arial" w:eastAsia="Arial" w:hAnsi="Arial"/>
                <w:sz w:val="12"/>
                <w:szCs w:val="12"/>
                <w:b w:val="1"/>
                <w:bCs w:val="1"/>
                <w:color w:val="auto"/>
              </w:rPr>
              <w:t>Period from</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July 16, 2019 to</w:t>
            </w:r>
          </w:p>
        </w:tc>
        <w:tc>
          <w:tcPr>
            <w:tcW w:w="7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6"/>
              </w:rPr>
              <w:t>January 1,</w:t>
            </w:r>
          </w:p>
        </w:tc>
        <w:tc>
          <w:tcPr>
            <w:tcW w:w="0" w:type="dxa"/>
            <w:vAlign w:val="bottom"/>
          </w:tcPr>
          <w:p>
            <w:pPr>
              <w:spacing w:after="0"/>
              <w:rPr>
                <w:sz w:val="1"/>
                <w:szCs w:val="1"/>
                <w:color w:val="auto"/>
              </w:rPr>
            </w:pPr>
          </w:p>
        </w:tc>
      </w:tr>
      <w:tr>
        <w:trPr>
          <w:trHeight w:val="139"/>
        </w:trPr>
        <w:tc>
          <w:tcPr>
            <w:tcW w:w="6060" w:type="dxa"/>
            <w:vAlign w:val="bottom"/>
          </w:tcPr>
          <w:p>
            <w:pPr>
              <w:spacing w:after="0"/>
              <w:rPr>
                <w:sz w:val="12"/>
                <w:szCs w:val="12"/>
                <w:color w:val="auto"/>
              </w:rPr>
            </w:pPr>
          </w:p>
        </w:tc>
        <w:tc>
          <w:tcPr>
            <w:tcW w:w="1320" w:type="dxa"/>
            <w:vAlign w:val="bottom"/>
            <w:gridSpan w:val="3"/>
          </w:tcPr>
          <w:p>
            <w:pPr>
              <w:jc w:val="center"/>
              <w:ind w:right="38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1220" w:type="dxa"/>
            <w:vAlign w:val="bottom"/>
            <w:gridSpan w:val="3"/>
          </w:tcPr>
          <w:p>
            <w:pPr>
              <w:jc w:val="center"/>
              <w:ind w:right="28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720" w:type="dxa"/>
            <w:vAlign w:val="bottom"/>
            <w:tcBorders>
              <w:left w:val="single" w:sz="8" w:color="auto"/>
            </w:tcBorders>
          </w:tcPr>
          <w:p>
            <w:pPr>
              <w:spacing w:after="0"/>
              <w:rPr>
                <w:sz w:val="12"/>
                <w:szCs w:val="12"/>
                <w:color w:val="auto"/>
              </w:rPr>
            </w:pPr>
          </w:p>
        </w:tc>
        <w:tc>
          <w:tcPr>
            <w:tcW w:w="10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3"/>
              </w:rPr>
              <w:t>2019 to July 15,</w:t>
            </w:r>
          </w:p>
        </w:tc>
        <w:tc>
          <w:tcPr>
            <w:tcW w:w="0" w:type="dxa"/>
            <w:vAlign w:val="bottom"/>
          </w:tcPr>
          <w:p>
            <w:pPr>
              <w:spacing w:after="0"/>
              <w:rPr>
                <w:sz w:val="1"/>
                <w:szCs w:val="1"/>
                <w:color w:val="auto"/>
              </w:rPr>
            </w:pPr>
          </w:p>
        </w:tc>
      </w:tr>
      <w:tr>
        <w:trPr>
          <w:trHeight w:val="160"/>
        </w:trPr>
        <w:tc>
          <w:tcPr>
            <w:tcW w:w="60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2020</w:t>
            </w: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80" w:type="dxa"/>
            <w:vAlign w:val="bottom"/>
            <w:tcBorders>
              <w:bottom w:val="single" w:sz="8" w:color="CCEEFF"/>
            </w:tcBorders>
          </w:tcPr>
          <w:p>
            <w:pPr>
              <w:spacing w:after="0"/>
              <w:rPr>
                <w:sz w:val="13"/>
                <w:szCs w:val="13"/>
                <w:color w:val="auto"/>
              </w:rPr>
            </w:pPr>
          </w:p>
        </w:tc>
        <w:tc>
          <w:tcPr>
            <w:tcW w:w="720" w:type="dxa"/>
            <w:vAlign w:val="bottom"/>
            <w:tcBorders>
              <w:left w:val="single" w:sz="8" w:color="auto"/>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80" w:type="dxa"/>
            <w:vAlign w:val="bottom"/>
            <w:shd w:val="clear" w:color="auto" w:fill="CCEEFF"/>
          </w:tcPr>
          <w:p>
            <w:pPr>
              <w:spacing w:after="0"/>
              <w:rPr>
                <w:sz w:val="16"/>
                <w:szCs w:val="16"/>
                <w:color w:val="auto"/>
              </w:rPr>
            </w:pPr>
          </w:p>
        </w:tc>
        <w:tc>
          <w:tcPr>
            <w:tcW w:w="72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 exclusive of amortization shown below</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11,085</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4,668</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4,830</w:t>
            </w: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00" w:type="dxa"/>
            <w:vAlign w:val="bottom"/>
          </w:tcPr>
          <w:p>
            <w:pPr>
              <w:spacing w:after="0"/>
              <w:rPr>
                <w:sz w:val="17"/>
                <w:szCs w:val="17"/>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color w:val="auto"/>
              </w:rPr>
              <w:t>19,383</w:t>
            </w:r>
          </w:p>
        </w:tc>
        <w:tc>
          <w:tcPr>
            <w:tcW w:w="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8,614</w:t>
            </w: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87,849</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26,763</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8"/>
        </w:trPr>
        <w:tc>
          <w:tcPr>
            <w:tcW w:w="606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lef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34,332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10,814</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Product development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11,062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3,484</w:t>
            </w: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3,961</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12,927</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6,365</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3,979</w:t>
            </w: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color w:val="auto"/>
              </w:rPr>
              <w:t>40,197</w:t>
            </w:r>
          </w:p>
        </w:tc>
        <w:tc>
          <w:tcPr>
            <w:tcW w:w="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22,459</w:t>
            </w: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1,967</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expenses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3,776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14,703</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color w:val="auto"/>
              </w:rPr>
              <w:t>102,294</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57,825</w:t>
            </w:r>
          </w:p>
        </w:tc>
        <w:tc>
          <w:tcPr>
            <w:tcW w:w="7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27,097</w:t>
            </w:r>
          </w:p>
        </w:tc>
        <w:tc>
          <w:tcPr>
            <w:tcW w:w="0" w:type="dxa"/>
            <w:vAlign w:val="bottom"/>
          </w:tcPr>
          <w:p>
            <w:pPr>
              <w:spacing w:after="0"/>
              <w:rPr>
                <w:sz w:val="1"/>
                <w:szCs w:val="1"/>
                <w:color w:val="auto"/>
              </w:rPr>
            </w:pPr>
          </w:p>
        </w:tc>
      </w:tr>
      <w:tr>
        <w:trPr>
          <w:trHeight w:val="26"/>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(Loss) income from operations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(14,445)</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(31,062)</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7"/>
                <w:szCs w:val="17"/>
                <w:color w:val="auto"/>
              </w:rPr>
              <w:t>Other expense, net: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loss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(36,490)</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(18,204)</w:t>
            </w: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other expense, net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(36,712)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(18,204)</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tcPr>
          <w:p>
            <w:pPr>
              <w:ind w:left="1020"/>
              <w:spacing w:after="0"/>
              <w:rPr>
                <w:sz w:val="20"/>
                <w:szCs w:val="20"/>
                <w:color w:val="auto"/>
              </w:rPr>
            </w:pPr>
            <w:r>
              <w:rPr>
                <w:rFonts w:ascii="Arial" w:cs="Arial" w:eastAsia="Arial" w:hAnsi="Arial"/>
                <w:sz w:val="17"/>
                <w:szCs w:val="17"/>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(51,157)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(49,266)</w:t>
            </w:r>
          </w:p>
        </w:tc>
        <w:tc>
          <w:tcPr>
            <w:tcW w:w="82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unit: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(0.40)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(0.39)</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units outstanding:</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127,682,376</w:t>
            </w:r>
          </w:p>
        </w:tc>
        <w:tc>
          <w:tcPr>
            <w:tcW w:w="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126,794,329</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800"/>
          </w:cols>
          <w:pgMar w:left="320" w:top="440" w:right="77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gridSpan w:val="6"/>
            <w:vMerge w:val="restart"/>
          </w:tcPr>
          <w:p>
            <w:pPr>
              <w:ind w:left="280"/>
              <w:spacing w:after="0"/>
              <w:rPr>
                <w:sz w:val="20"/>
                <w:szCs w:val="20"/>
                <w:color w:val="auto"/>
              </w:rPr>
            </w:pPr>
            <w:r>
              <w:rPr>
                <w:rFonts w:ascii="Arial" w:cs="Arial" w:eastAsia="Arial" w:hAnsi="Arial"/>
                <w:sz w:val="13"/>
                <w:szCs w:val="13"/>
                <w:b w:val="1"/>
                <w:bCs w:val="1"/>
                <w:color w:val="auto"/>
              </w:rPr>
              <w:t>Successor Company</w:t>
            </w:r>
          </w:p>
        </w:tc>
        <w:tc>
          <w:tcPr>
            <w:tcW w:w="28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6"/>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7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4"/>
              </w:rPr>
              <w:t>Company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4"/>
            <w:vMerge w:val="restart"/>
          </w:tcPr>
          <w:p>
            <w:pPr>
              <w:jc w:val="right"/>
              <w:ind w:right="260"/>
              <w:spacing w:after="0"/>
              <w:rPr>
                <w:sz w:val="20"/>
                <w:szCs w:val="20"/>
                <w:color w:val="auto"/>
              </w:rPr>
            </w:pPr>
            <w:r>
              <w:rPr>
                <w:rFonts w:ascii="Arial" w:cs="Arial" w:eastAsia="Arial" w:hAnsi="Arial"/>
                <w:sz w:val="13"/>
                <w:szCs w:val="13"/>
                <w:b w:val="1"/>
                <w:bCs w:val="1"/>
                <w:color w:val="auto"/>
                <w:w w:val="97"/>
              </w:rPr>
              <w:t>Year Ended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3"/>
              <w:spacing w:after="0" w:line="112" w:lineRule="exact"/>
              <w:rPr>
                <w:sz w:val="20"/>
                <w:szCs w:val="20"/>
                <w:color w:val="auto"/>
              </w:rPr>
            </w:pPr>
            <w:r>
              <w:rPr>
                <w:rFonts w:ascii="Arial" w:cs="Arial" w:eastAsia="Arial" w:hAnsi="Arial"/>
                <w:sz w:val="12"/>
                <w:szCs w:val="12"/>
                <w:b w:val="1"/>
                <w:bCs w:val="1"/>
                <w:color w:val="auto"/>
              </w:rPr>
              <w:t>Period from</w:t>
            </w:r>
          </w:p>
        </w:tc>
        <w:tc>
          <w:tcPr>
            <w:tcW w:w="280" w:type="dxa"/>
            <w:vAlign w:val="bottom"/>
          </w:tcPr>
          <w:p>
            <w:pPr>
              <w:spacing w:after="0"/>
              <w:rPr>
                <w:sz w:val="9"/>
                <w:szCs w:val="9"/>
                <w:color w:val="auto"/>
              </w:rPr>
            </w:pPr>
          </w:p>
        </w:tc>
        <w:tc>
          <w:tcPr>
            <w:tcW w:w="76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39"/>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26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7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200" w:type="dxa"/>
            <w:vAlign w:val="bottom"/>
            <w:gridSpan w:val="3"/>
          </w:tcPr>
          <w:p>
            <w:pPr>
              <w:jc w:val="center"/>
              <w:ind w:right="280"/>
              <w:spacing w:after="0" w:line="139" w:lineRule="exact"/>
              <w:rPr>
                <w:sz w:val="20"/>
                <w:szCs w:val="20"/>
                <w:color w:val="auto"/>
              </w:rPr>
            </w:pPr>
            <w:r>
              <w:rPr>
                <w:rFonts w:ascii="Arial" w:cs="Arial" w:eastAsia="Arial" w:hAnsi="Arial"/>
                <w:sz w:val="13"/>
                <w:szCs w:val="13"/>
                <w:b w:val="1"/>
                <w:bCs w:val="1"/>
                <w:color w:val="auto"/>
                <w:w w:val="94"/>
              </w:rPr>
              <w:t>December 31,</w:t>
            </w:r>
          </w:p>
        </w:tc>
        <w:tc>
          <w:tcPr>
            <w:tcW w:w="760" w:type="dxa"/>
            <w:vAlign w:val="bottom"/>
            <w:tcBorders>
              <w:left w:val="single" w:sz="8" w:color="auto"/>
            </w:tcBorders>
          </w:tcPr>
          <w:p>
            <w:pPr>
              <w:spacing w:after="0"/>
              <w:rPr>
                <w:sz w:val="12"/>
                <w:szCs w:val="12"/>
                <w:color w:val="auto"/>
              </w:rPr>
            </w:pPr>
          </w:p>
        </w:tc>
        <w:tc>
          <w:tcPr>
            <w:tcW w:w="98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4"/>
              </w:rPr>
              <w:t>January 1, 2019</w:t>
            </w:r>
          </w:p>
        </w:tc>
        <w:tc>
          <w:tcPr>
            <w:tcW w:w="0" w:type="dxa"/>
            <w:vAlign w:val="bottom"/>
          </w:tcPr>
          <w:p>
            <w:pPr>
              <w:spacing w:after="0"/>
              <w:rPr>
                <w:sz w:val="1"/>
                <w:szCs w:val="1"/>
                <w:color w:val="auto"/>
              </w:rPr>
            </w:pPr>
          </w:p>
        </w:tc>
      </w:tr>
      <w:tr>
        <w:trPr>
          <w:trHeight w:val="160"/>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3"/>
              <w:spacing w:after="0"/>
              <w:rPr>
                <w:sz w:val="20"/>
                <w:szCs w:val="20"/>
                <w:color w:val="auto"/>
              </w:rPr>
            </w:pPr>
            <w:r>
              <w:rPr>
                <w:rFonts w:ascii="Arial" w:cs="Arial" w:eastAsia="Arial" w:hAnsi="Arial"/>
                <w:sz w:val="13"/>
                <w:szCs w:val="13"/>
                <w:b w:val="1"/>
                <w:bCs w:val="1"/>
                <w:color w:val="auto"/>
                <w:w w:val="96"/>
              </w:rPr>
              <w:t>2019</w:t>
            </w:r>
          </w:p>
        </w:tc>
        <w:tc>
          <w:tcPr>
            <w:tcW w:w="280" w:type="dxa"/>
            <w:vAlign w:val="bottom"/>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to July 15, 2019</w:t>
            </w:r>
          </w:p>
        </w:tc>
        <w:tc>
          <w:tcPr>
            <w:tcW w:w="0" w:type="dxa"/>
            <w:vAlign w:val="bottom"/>
          </w:tcPr>
          <w:p>
            <w:pPr>
              <w:spacing w:after="0"/>
              <w:rPr>
                <w:sz w:val="1"/>
                <w:szCs w:val="1"/>
                <w:color w:val="auto"/>
              </w:rPr>
            </w:pPr>
          </w:p>
        </w:tc>
      </w:tr>
      <w:tr>
        <w:trPr>
          <w:trHeight w:val="195"/>
        </w:trPr>
        <w:tc>
          <w:tcPr>
            <w:tcW w:w="6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(loss) income</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(51,157)</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78"/>
              </w:rPr>
              <w:t>(49,266)</w:t>
            </w: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left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6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80"/>
              <w:spacing w:after="0"/>
              <w:rPr>
                <w:sz w:val="20"/>
                <w:szCs w:val="20"/>
                <w:color w:val="auto"/>
              </w:rPr>
            </w:pPr>
            <w:r>
              <w:rPr>
                <w:rFonts w:ascii="Arial" w:cs="Arial" w:eastAsia="Arial" w:hAnsi="Arial"/>
                <w:sz w:val="17"/>
                <w:szCs w:val="17"/>
                <w:color w:val="auto"/>
              </w:rPr>
              <w:t>Comprehensive (loss) income</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40" w:type="dxa"/>
            <w:vAlign w:val="bottom"/>
            <w:vMerge w:val="continue"/>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(51,288)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300"/>
              <w:spacing w:after="0"/>
              <w:rPr>
                <w:sz w:val="20"/>
                <w:szCs w:val="20"/>
                <w:color w:val="auto"/>
              </w:rPr>
            </w:pPr>
            <w:r>
              <w:rPr>
                <w:rFonts w:ascii="Arial" w:cs="Arial" w:eastAsia="Arial" w:hAnsi="Arial"/>
                <w:sz w:val="17"/>
                <w:szCs w:val="17"/>
                <w:color w:val="auto"/>
              </w:rPr>
              <w:t>(49,266)</w:t>
            </w:r>
          </w:p>
        </w:tc>
        <w:tc>
          <w:tcPr>
            <w:tcW w:w="86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800"/>
          </w:cols>
          <w:pgMar w:left="320" w:top="440" w:right="77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CHANGES IN MEMBERS’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number of units)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Legacy</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Legacy</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Retained</w:t>
            </w:r>
          </w:p>
        </w:tc>
        <w:tc>
          <w:tcPr>
            <w:tcW w:w="40" w:type="dxa"/>
            <w:vAlign w:val="bottom"/>
          </w:tcPr>
          <w:p>
            <w:pPr>
              <w:spacing w:after="0"/>
              <w:rPr>
                <w:sz w:val="13"/>
                <w:szCs w:val="13"/>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Class A</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Class B</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Earnings</w:t>
            </w:r>
          </w:p>
        </w:tc>
        <w:tc>
          <w:tcPr>
            <w:tcW w:w="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7"/>
              </w:rPr>
              <w:t>Class A</w:t>
            </w:r>
          </w:p>
        </w:tc>
        <w:tc>
          <w:tcPr>
            <w:tcW w:w="6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right"/>
              <w:ind w:right="180"/>
              <w:spacing w:after="0" w:line="139" w:lineRule="exact"/>
              <w:rPr>
                <w:sz w:val="20"/>
                <w:szCs w:val="20"/>
                <w:color w:val="auto"/>
              </w:rPr>
            </w:pPr>
            <w:r>
              <w:rPr>
                <w:rFonts w:ascii="Arial" w:cs="Arial" w:eastAsia="Arial" w:hAnsi="Arial"/>
                <w:sz w:val="13"/>
                <w:szCs w:val="13"/>
                <w:b w:val="1"/>
                <w:bCs w:val="1"/>
                <w:color w:val="auto"/>
              </w:rPr>
              <w:t>Class B</w:t>
            </w:r>
          </w:p>
        </w:tc>
        <w:tc>
          <w:tcPr>
            <w:tcW w:w="40" w:type="dxa"/>
            <w:vAlign w:val="bottom"/>
          </w:tcPr>
          <w:p>
            <w:pPr>
              <w:spacing w:after="0"/>
              <w:rPr>
                <w:sz w:val="12"/>
                <w:szCs w:val="12"/>
                <w:color w:val="auto"/>
              </w:rPr>
            </w:pPr>
          </w:p>
        </w:tc>
        <w:tc>
          <w:tcPr>
            <w:tcW w:w="4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39" w:lineRule="exact"/>
              <w:rPr>
                <w:sz w:val="20"/>
                <w:szCs w:val="20"/>
                <w:color w:val="auto"/>
              </w:rPr>
            </w:pPr>
            <w:r>
              <w:rPr>
                <w:rFonts w:ascii="Arial" w:cs="Arial" w:eastAsia="Arial" w:hAnsi="Arial"/>
                <w:sz w:val="13"/>
                <w:szCs w:val="13"/>
                <w:b w:val="1"/>
                <w:bCs w:val="1"/>
                <w:color w:val="auto"/>
                <w:w w:val="96"/>
              </w:rPr>
              <w:t>Paid-in</w:t>
            </w:r>
          </w:p>
        </w:tc>
        <w:tc>
          <w:tcPr>
            <w:tcW w:w="9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2"/>
                <w:szCs w:val="12"/>
                <w:color w:val="auto"/>
              </w:rPr>
            </w:pPr>
          </w:p>
        </w:tc>
        <w:tc>
          <w:tcPr>
            <w:tcW w:w="10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Units</w:t>
            </w: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Units</w:t>
            </w:r>
          </w:p>
        </w:tc>
        <w:tc>
          <w:tcPr>
            <w:tcW w:w="680" w:type="dxa"/>
            <w:vAlign w:val="bottom"/>
            <w:gridSpan w:val="3"/>
            <w:vMerge w:val="continue"/>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Units</w:t>
            </w:r>
          </w:p>
        </w:tc>
        <w:tc>
          <w:tcPr>
            <w:tcW w:w="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2018</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7,750,000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77,500</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88,716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(42,598)</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38,925</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73,827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Net income</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12,868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12,868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Adoption of ASC</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606 (See Note</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Unit-based</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5,807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Units</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180,137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July 15, 2019</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7,750,000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77,500</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268,853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(31,844)</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51,793</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80" w:type="dxa"/>
            <w:vAlign w:val="bottom"/>
            <w:gridSpan w:val="2"/>
          </w:tcPr>
          <w:p>
            <w:pPr>
              <w:spacing w:after="0"/>
              <w:rPr>
                <w:sz w:val="20"/>
                <w:szCs w:val="20"/>
                <w:color w:val="auto"/>
              </w:rPr>
            </w:pPr>
            <w:r>
              <w:rPr>
                <w:rFonts w:ascii="Arial" w:cs="Arial" w:eastAsia="Arial" w:hAnsi="Arial"/>
                <w:sz w:val="15"/>
                <w:szCs w:val="15"/>
                <w:color w:val="auto"/>
              </w:rPr>
              <w:t>Recapitalization</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(See Note 12)</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(7,750,000)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(77,500)</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(268,853)</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31,844</w:t>
            </w:r>
          </w:p>
        </w:tc>
        <w:tc>
          <w:tcPr>
            <w:tcW w:w="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(51,793)</w:t>
            </w:r>
          </w:p>
        </w:tc>
        <w:tc>
          <w:tcPr>
            <w:tcW w:w="2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Capital</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contribution</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3"/>
              </w:rPr>
              <w:t>(See Note 3 and</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126,725,743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1,267,257</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87"/>
        </w:trPr>
        <w:tc>
          <w:tcPr>
            <w:tcW w:w="1180" w:type="dxa"/>
            <w:vAlign w:val="bottom"/>
            <w:gridSpan w:val="2"/>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July 16, 2019</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(Successor)</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126,725,743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1,267,257</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(49,266)</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(49,266)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Distribution to</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members</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(6,492)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(6,492)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Unit-based</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87"/>
              </w:rPr>
              <w:t>744</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399,692</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3,997</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3,997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2019</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127,125,435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1,271,254</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87"/>
              </w:rPr>
              <w:t>744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(55,758)</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1,216,240</w:t>
            </w: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gridSpan w:val="2"/>
            <w:vMerge w:val="continue"/>
          </w:tcPr>
          <w:p>
            <w:pPr>
              <w:spacing w:after="0"/>
              <w:rPr>
                <w:sz w:val="16"/>
                <w:szCs w:val="16"/>
                <w:color w:val="auto"/>
              </w:rPr>
            </w:pPr>
          </w:p>
        </w:tc>
        <w:tc>
          <w:tcPr>
            <w:tcW w:w="800" w:type="dxa"/>
            <w:vAlign w:val="bottom"/>
          </w:tcPr>
          <w:p>
            <w:pPr>
              <w:ind w:left="5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(51,157)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(51,157)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(2,940)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3,120,555</w:t>
            </w: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31,804</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31,804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Units and unit-</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based</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474,920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0"/>
              </w:rPr>
              <w:t>1,747</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Comprehensive</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loss</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2020</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130,245,990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1,303,058</w:t>
            </w:r>
          </w:p>
        </w:tc>
        <w:tc>
          <w:tcPr>
            <w:tcW w:w="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474,920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0"/>
              </w:rPr>
              <w:t>2,491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(109,855)</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1,195,563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800"/>
          </w:cols>
          <w:pgMar w:left="320" w:top="440" w:right="77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7" w:lineRule="exact"/>
        <w:rPr>
          <w:sz w:val="20"/>
          <w:szCs w:val="20"/>
          <w:color w:val="auto"/>
        </w:rPr>
      </w:pPr>
    </w:p>
    <w:p>
      <w:pPr>
        <w:jc w:val="center"/>
        <w:ind w:right="-439"/>
        <w:spacing w:after="0"/>
        <w:rPr>
          <w:sz w:val="20"/>
          <w:szCs w:val="20"/>
          <w:color w:val="auto"/>
        </w:rPr>
      </w:pPr>
      <w:r>
        <w:rPr>
          <w:rFonts w:ascii="Arial" w:cs="Arial" w:eastAsia="Arial" w:hAnsi="Arial"/>
          <w:sz w:val="13"/>
          <w:szCs w:val="13"/>
          <w:i w:val="1"/>
          <w:iCs w:val="1"/>
          <w:color w:val="auto"/>
        </w:rPr>
        <w:t>(amounts in thousands)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gridSpan w:val="5"/>
            <w:vMerge w:val="restart"/>
          </w:tcPr>
          <w:p>
            <w:pPr>
              <w:jc w:val="right"/>
              <w:ind w:right="377"/>
              <w:spacing w:after="0"/>
              <w:rPr>
                <w:sz w:val="20"/>
                <w:szCs w:val="20"/>
                <w:color w:val="auto"/>
              </w:rPr>
            </w:pPr>
            <w:r>
              <w:rPr>
                <w:rFonts w:ascii="Arial" w:cs="Arial" w:eastAsia="Arial" w:hAnsi="Arial"/>
                <w:sz w:val="13"/>
                <w:szCs w:val="13"/>
                <w:b w:val="1"/>
                <w:bCs w:val="1"/>
                <w:color w:val="auto"/>
              </w:rPr>
              <w:t>Successor Company</w:t>
            </w:r>
          </w:p>
        </w:tc>
        <w:tc>
          <w:tcPr>
            <w:tcW w:w="20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4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60" w:type="dxa"/>
            <w:vAlign w:val="bottom"/>
            <w:tcBorders>
              <w:lef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4"/>
              </w:rPr>
              <w:t>Company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00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w w:val="97"/>
              </w:rPr>
              <w:t>Year Ended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17"/>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46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4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10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460" w:type="dxa"/>
            <w:vAlign w:val="bottom"/>
            <w:tcBorders>
              <w:left w:val="single" w:sz="8" w:color="auto"/>
            </w:tcBorders>
          </w:tcPr>
          <w:p>
            <w:pPr>
              <w:spacing w:after="0"/>
              <w:rPr>
                <w:sz w:val="12"/>
                <w:szCs w:val="12"/>
                <w:color w:val="auto"/>
              </w:rPr>
            </w:pPr>
          </w:p>
        </w:tc>
        <w:tc>
          <w:tcPr>
            <w:tcW w:w="118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3"/>
                <w:szCs w:val="13"/>
                <w:color w:val="auto"/>
              </w:rPr>
            </w:pPr>
          </w:p>
        </w:tc>
        <w:tc>
          <w:tcPr>
            <w:tcW w:w="46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provided by (used in) operating activities:</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left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Net (loss) income</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(51,157)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(49,266)</w:t>
            </w:r>
          </w:p>
        </w:tc>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9"/>
              </w:rPr>
              <w:t>Adjustments to reconcile net (loss) income to net cash provided by (used in) operating</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tcBorders>
              <w:lef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456</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58,429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30,617</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Amortization of deferred contract costs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1,671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189</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Unit-based compensation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744</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Noncash paid in kind interest expense</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7,371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3,041</w:t>
            </w: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Changes in fair value of contingent consideration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2,636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Provision for doubtful 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333</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(12,494)</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contract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(3,075)</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Accounts payable, accrued expenses and other current liabilities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2,996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7,396</w:t>
            </w: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13,805</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4,776</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23,217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(7,133)</w:t>
            </w:r>
          </w:p>
        </w:tc>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(1,171)</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Acquisitions, net of cash acquired</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(1,108,197)</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(23,862)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(1,109,368)</w:t>
            </w:r>
          </w:p>
        </w:tc>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provided by (used in)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Proceeds from Term Loan</w:t>
            </w:r>
          </w:p>
        </w:tc>
        <w:tc>
          <w:tcPr>
            <w:tcW w:w="16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450,000</w:t>
            </w: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Proceeds from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Repayments on Term Loan and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(1,125)</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Repayments on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(14,255)</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Members distributions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(2,940)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(6,492)</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contributions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696,991</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40" w:type="dxa"/>
            <w:vAlign w:val="bottom"/>
            <w:gridSpan w:val="2"/>
          </w:tcPr>
          <w:p>
            <w:pPr>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16,655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1,125,119</w:t>
            </w:r>
          </w:p>
        </w:tc>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42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24,774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8,618</w:t>
            </w:r>
          </w:p>
        </w:tc>
        <w:tc>
          <w:tcPr>
            <w:tcW w:w="200" w:type="dxa"/>
            <w:vAlign w:val="bottom"/>
          </w:tcPr>
          <w:p>
            <w:pPr>
              <w:spacing w:after="0"/>
              <w:rPr>
                <w:sz w:val="18"/>
                <w:szCs w:val="18"/>
                <w:color w:val="auto"/>
              </w:rPr>
            </w:pPr>
          </w:p>
        </w:tc>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17,058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4980"/>
              <w:spacing w:after="0"/>
              <w:rPr>
                <w:sz w:val="20"/>
                <w:szCs w:val="20"/>
                <w:color w:val="auto"/>
              </w:rPr>
            </w:pPr>
            <w:r>
              <w:rPr>
                <w:rFonts w:ascii="Arial" w:cs="Arial" w:eastAsia="Arial" w:hAnsi="Arial"/>
                <w:sz w:val="17"/>
                <w:szCs w:val="17"/>
                <w:color w:val="auto"/>
              </w:rPr>
              <w:t>F-12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gridSpan w:val="5"/>
            <w:vMerge w:val="restart"/>
          </w:tcPr>
          <w:p>
            <w:pPr>
              <w:jc w:val="right"/>
              <w:ind w:right="380"/>
              <w:spacing w:after="0"/>
              <w:rPr>
                <w:sz w:val="20"/>
                <w:szCs w:val="20"/>
                <w:color w:val="auto"/>
              </w:rPr>
            </w:pPr>
            <w:r>
              <w:rPr>
                <w:rFonts w:ascii="Arial" w:cs="Arial" w:eastAsia="Arial" w:hAnsi="Arial"/>
                <w:sz w:val="13"/>
                <w:szCs w:val="13"/>
                <w:b w:val="1"/>
                <w:bCs w:val="1"/>
                <w:color w:val="auto"/>
              </w:rPr>
              <w:t>Successor Company</w:t>
            </w:r>
          </w:p>
        </w:tc>
        <w:tc>
          <w:tcPr>
            <w:tcW w:w="20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6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4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60" w:type="dxa"/>
            <w:vAlign w:val="bottom"/>
            <w:tcBorders>
              <w:lef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4"/>
              </w:rPr>
              <w:t>Company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460" w:type="dxa"/>
            <w:vAlign w:val="bottom"/>
          </w:tcPr>
          <w:p>
            <w:pPr>
              <w:spacing w:after="0"/>
              <w:rPr>
                <w:sz w:val="9"/>
                <w:szCs w:val="9"/>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46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39"/>
        </w:trPr>
        <w:tc>
          <w:tcPr>
            <w:tcW w:w="64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July 16, 2019 to</w:t>
            </w:r>
          </w:p>
        </w:tc>
        <w:tc>
          <w:tcPr>
            <w:tcW w:w="4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60" w:type="dxa"/>
            <w:vAlign w:val="bottom"/>
          </w:tcPr>
          <w:p>
            <w:pPr>
              <w:spacing w:after="0"/>
              <w:rPr>
                <w:sz w:val="12"/>
                <w:szCs w:val="12"/>
                <w:color w:val="auto"/>
              </w:rPr>
            </w:pPr>
          </w:p>
        </w:tc>
        <w:tc>
          <w:tcPr>
            <w:tcW w:w="10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10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460" w:type="dxa"/>
            <w:vAlign w:val="bottom"/>
            <w:tcBorders>
              <w:left w:val="single" w:sz="8" w:color="auto"/>
            </w:tcBorders>
          </w:tcPr>
          <w:p>
            <w:pPr>
              <w:spacing w:after="0"/>
              <w:rPr>
                <w:sz w:val="12"/>
                <w:szCs w:val="12"/>
                <w:color w:val="auto"/>
              </w:rPr>
            </w:pPr>
          </w:p>
        </w:tc>
        <w:tc>
          <w:tcPr>
            <w:tcW w:w="11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w w:val="99"/>
              </w:rPr>
              <w:t>January 1, 2019 to</w:t>
            </w: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9"/>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3"/>
                <w:szCs w:val="13"/>
                <w:color w:val="auto"/>
              </w:rPr>
            </w:pPr>
          </w:p>
        </w:tc>
        <w:tc>
          <w:tcPr>
            <w:tcW w:w="46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83"/>
        </w:trPr>
        <w:tc>
          <w:tcPr>
            <w:tcW w:w="6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disclosures for cash flow information:</w:t>
            </w: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left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340"/>
              <w:spacing w:after="0"/>
              <w:rPr>
                <w:sz w:val="20"/>
                <w:szCs w:val="20"/>
                <w:color w:val="auto"/>
              </w:rPr>
            </w:pPr>
            <w:r>
              <w:rPr>
                <w:rFonts w:ascii="Arial" w:cs="Arial" w:eastAsia="Arial" w:hAnsi="Arial"/>
                <w:sz w:val="17"/>
                <w:szCs w:val="17"/>
                <w:color w:val="auto"/>
              </w:rPr>
              <w:t>Cash paid during the year for:</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25,958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9,939</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15"/>
        </w:trPr>
        <w:tc>
          <w:tcPr>
            <w:tcW w:w="6460" w:type="dxa"/>
            <w:vAlign w:val="bottom"/>
          </w:tcPr>
          <w:p>
            <w:pPr>
              <w:ind w:left="680"/>
              <w:spacing w:after="0"/>
              <w:rPr>
                <w:sz w:val="20"/>
                <w:szCs w:val="20"/>
                <w:color w:val="auto"/>
              </w:rPr>
            </w:pPr>
            <w:r>
              <w:rPr>
                <w:rFonts w:ascii="Arial" w:cs="Arial" w:eastAsia="Arial" w:hAnsi="Arial"/>
                <w:sz w:val="17"/>
                <w:szCs w:val="17"/>
                <w:color w:val="auto"/>
              </w:rPr>
              <w:t>Income taxes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noncash disclosures of investing activities: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7"/>
                <w:szCs w:val="17"/>
                <w:color w:val="auto"/>
              </w:rPr>
              <w:t>Accrued purchases of data</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3,389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investing activities: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340"/>
              <w:spacing w:after="0"/>
              <w:rPr>
                <w:sz w:val="20"/>
                <w:szCs w:val="20"/>
                <w:color w:val="auto"/>
              </w:rPr>
            </w:pPr>
            <w:r>
              <w:rPr>
                <w:rFonts w:ascii="Arial" w:cs="Arial" w:eastAsia="Arial" w:hAnsi="Arial"/>
                <w:sz w:val="17"/>
                <w:szCs w:val="17"/>
                <w:color w:val="auto"/>
              </w:rPr>
              <w:t>Acquisitions: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assets acquired, net of cash acquired</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43,571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1,689,395</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3"/>
        </w:trPr>
        <w:tc>
          <w:tcPr>
            <w:tcW w:w="646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(25,439)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(574,263)</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Contingent consideration</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460" w:type="dxa"/>
            <w:vAlign w:val="bottom"/>
          </w:tcPr>
          <w:p>
            <w:pPr>
              <w:ind w:left="680"/>
              <w:spacing w:after="0"/>
              <w:rPr>
                <w:sz w:val="20"/>
                <w:szCs w:val="20"/>
                <w:color w:val="auto"/>
              </w:rPr>
            </w:pPr>
            <w:r>
              <w:rPr>
                <w:rFonts w:ascii="Arial" w:cs="Arial" w:eastAsia="Arial" w:hAnsi="Arial"/>
                <w:sz w:val="17"/>
                <w:szCs w:val="17"/>
                <w:color w:val="auto"/>
              </w:rPr>
              <w:t>Consideration paid to former members included in accrued expenses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(6,935)</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paid</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22,467</w:t>
            </w:r>
          </w:p>
        </w:tc>
        <w:tc>
          <w:tcPr>
            <w:tcW w:w="2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1,108,197</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800"/>
          </w:cols>
          <w:pgMar w:left="320" w:top="440" w:right="77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35" w:lineRule="exact"/>
        <w:rPr>
          <w:sz w:val="20"/>
          <w:szCs w:val="20"/>
          <w:color w:val="auto"/>
        </w:rPr>
      </w:pPr>
    </w:p>
    <w:p>
      <w:pPr>
        <w:ind w:left="860" w:hanging="403"/>
        <w:spacing w:after="0"/>
        <w:tabs>
          <w:tab w:leader="none" w:pos="86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2" w:lineRule="exact"/>
        <w:rPr>
          <w:sz w:val="20"/>
          <w:szCs w:val="20"/>
          <w:color w:val="auto"/>
        </w:rPr>
      </w:pPr>
    </w:p>
    <w:p>
      <w:pPr>
        <w:ind w:left="460" w:right="40" w:firstLine="413"/>
        <w:spacing w:after="0" w:line="274" w:lineRule="auto"/>
        <w:rPr>
          <w:sz w:val="20"/>
          <w:szCs w:val="20"/>
          <w:color w:val="auto"/>
        </w:rPr>
      </w:pPr>
      <w:r>
        <w:rPr>
          <w:rFonts w:ascii="Arial" w:cs="Arial" w:eastAsia="Arial" w:hAnsi="Arial"/>
          <w:sz w:val="16"/>
          <w:szCs w:val="16"/>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6"/>
          <w:szCs w:val="16"/>
          <w:i w:val="1"/>
          <w:iCs w:val="1"/>
          <w:color w:val="auto"/>
        </w:rPr>
        <w:t>Business Combinations</w:t>
      </w:r>
      <w:r>
        <w:rPr>
          <w:rFonts w:ascii="Arial" w:cs="Arial" w:eastAsia="Arial" w:hAnsi="Arial"/>
          <w:sz w:val="16"/>
          <w:szCs w:val="16"/>
          <w:color w:val="auto"/>
        </w:rPr>
        <w:t>, for additional information.</w:t>
      </w:r>
    </w:p>
    <w:p>
      <w:pPr>
        <w:spacing w:after="0" w:line="165" w:lineRule="exact"/>
        <w:rPr>
          <w:sz w:val="20"/>
          <w:szCs w:val="20"/>
          <w:color w:val="auto"/>
        </w:rPr>
      </w:pPr>
    </w:p>
    <w:p>
      <w:pPr>
        <w:ind w:left="460" w:right="20" w:firstLine="413"/>
        <w:spacing w:after="0" w:line="301" w:lineRule="auto"/>
        <w:rPr>
          <w:sz w:val="20"/>
          <w:szCs w:val="20"/>
          <w:color w:val="auto"/>
        </w:rPr>
      </w:pPr>
      <w:r>
        <w:rPr>
          <w:rFonts w:ascii="Arial" w:cs="Arial" w:eastAsia="Arial" w:hAnsi="Arial"/>
          <w:sz w:val="15"/>
          <w:szCs w:val="15"/>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48" w:lineRule="exact"/>
        <w:rPr>
          <w:sz w:val="20"/>
          <w:szCs w:val="20"/>
          <w:color w:val="auto"/>
        </w:rPr>
      </w:pPr>
    </w:p>
    <w:p>
      <w:pPr>
        <w:ind w:left="460" w:right="480" w:firstLine="413"/>
        <w:spacing w:after="0" w:line="303" w:lineRule="auto"/>
        <w:rPr>
          <w:sz w:val="20"/>
          <w:szCs w:val="20"/>
          <w:color w:val="auto"/>
        </w:rPr>
      </w:pPr>
      <w:r>
        <w:rPr>
          <w:rFonts w:ascii="Arial" w:cs="Arial" w:eastAsia="Arial" w:hAnsi="Arial"/>
          <w:sz w:val="16"/>
          <w:szCs w:val="16"/>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3"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The Company’s headquarters are located in Framingham, MA, with operations in three offices throughout the United States and one office in Sweden.</w:t>
      </w:r>
    </w:p>
    <w:p>
      <w:pPr>
        <w:spacing w:after="0" w:line="165"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On December 2, 2019, the Company acquired all of the outstanding common and preferred stock of Healthcare Sales Enablement, Inc. (“HSE”).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98"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300" w:lineRule="exact"/>
        <w:rPr>
          <w:sz w:val="20"/>
          <w:szCs w:val="20"/>
          <w:color w:val="auto"/>
        </w:rPr>
      </w:pPr>
    </w:p>
    <w:p>
      <w:pPr>
        <w:ind w:left="880" w:right="6600" w:hanging="423"/>
        <w:spacing w:after="0" w:line="375" w:lineRule="auto"/>
        <w:tabs>
          <w:tab w:leader="none" w:pos="872"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08"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consolidated subsidiaries. All significant intercompany accounts and transactions have been eliminated in consolidation.</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640"/>
          </w:cols>
          <w:pgMar w:left="320" w:top="440" w:right="93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Use of Estimates in the Preparation of Financial Statements</w:t>
      </w:r>
    </w:p>
    <w:p>
      <w:pPr>
        <w:spacing w:after="0" w:line="108"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8" w:lineRule="exact"/>
        <w:rPr>
          <w:sz w:val="20"/>
          <w:szCs w:val="20"/>
          <w:color w:val="auto"/>
        </w:rPr>
      </w:pPr>
    </w:p>
    <w:p>
      <w:pPr>
        <w:ind w:left="460" w:firstLine="413"/>
        <w:spacing w:after="0" w:line="311" w:lineRule="auto"/>
        <w:rPr>
          <w:sz w:val="20"/>
          <w:szCs w:val="20"/>
          <w:color w:val="auto"/>
        </w:rPr>
      </w:pPr>
      <w:r>
        <w:rPr>
          <w:rFonts w:ascii="Arial" w:cs="Arial" w:eastAsia="Arial" w:hAnsi="Arial"/>
          <w:sz w:val="15"/>
          <w:szCs w:val="15"/>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0"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The Company recognizes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5"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75" w:lineRule="exact"/>
        <w:rPr>
          <w:sz w:val="20"/>
          <w:szCs w:val="20"/>
          <w:color w:val="auto"/>
        </w:rPr>
      </w:pPr>
    </w:p>
    <w:p>
      <w:pPr>
        <w:jc w:val="both"/>
        <w:ind w:left="460" w:right="180" w:firstLine="413"/>
        <w:spacing w:after="0" w:line="256" w:lineRule="auto"/>
        <w:rPr>
          <w:sz w:val="20"/>
          <w:szCs w:val="20"/>
          <w:color w:val="auto"/>
        </w:rPr>
      </w:pPr>
      <w:r>
        <w:rPr>
          <w:rFonts w:ascii="Arial" w:cs="Arial" w:eastAsia="Arial" w:hAnsi="Arial"/>
          <w:sz w:val="17"/>
          <w:szCs w:val="17"/>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7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70"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760"/>
          </w:cols>
          <w:pgMar w:left="320" w:top="440" w:right="81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54" w:lineRule="auto"/>
        <w:rPr>
          <w:sz w:val="20"/>
          <w:szCs w:val="20"/>
          <w:color w:val="auto"/>
        </w:rPr>
      </w:pPr>
      <w:r>
        <w:rPr>
          <w:rFonts w:ascii="Arial" w:cs="Arial" w:eastAsia="Arial" w:hAnsi="Arial"/>
          <w:sz w:val="17"/>
          <w:szCs w:val="17"/>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8"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1" w:lineRule="exact"/>
        <w:rPr>
          <w:sz w:val="20"/>
          <w:szCs w:val="20"/>
          <w:color w:val="auto"/>
        </w:rPr>
      </w:pPr>
    </w:p>
    <w:p>
      <w:pPr>
        <w:ind w:left="880" w:right="2200"/>
        <w:spacing w:after="0" w:line="256" w:lineRule="auto"/>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 Level 2 - Other inputs that are directly or indirectly observable in the marketplace</w:t>
      </w:r>
    </w:p>
    <w:p>
      <w:pPr>
        <w:ind w:left="880"/>
        <w:spacing w:after="0"/>
        <w:rPr>
          <w:sz w:val="20"/>
          <w:szCs w:val="20"/>
          <w:color w:val="auto"/>
        </w:rPr>
      </w:pPr>
      <w:r>
        <w:rPr>
          <w:rFonts w:ascii="Arial" w:cs="Arial" w:eastAsia="Arial" w:hAnsi="Arial"/>
          <w:sz w:val="15"/>
          <w:szCs w:val="15"/>
          <w:color w:val="auto"/>
        </w:rPr>
        <w:t>Level 3 - Unobservable inputs that are supported by little or no market activity, including the Company’s own assumptions in determining fair</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value.</w:t>
      </w:r>
    </w:p>
    <w:p>
      <w:pPr>
        <w:spacing w:after="0" w:line="29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 considers all short-term, highly liquid investments with an original maturity of three months or less to be cash and cash equivalents.</w:t>
      </w:r>
    </w:p>
    <w:p>
      <w:pPr>
        <w:spacing w:after="0" w:line="33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08"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67" w:lineRule="exact"/>
        <w:rPr>
          <w:sz w:val="20"/>
          <w:szCs w:val="20"/>
          <w:color w:val="auto"/>
        </w:rPr>
      </w:pPr>
    </w:p>
    <w:p>
      <w:pPr>
        <w:ind w:left="460" w:right="20" w:firstLine="413"/>
        <w:spacing w:after="0" w:line="303" w:lineRule="auto"/>
        <w:rPr>
          <w:sz w:val="20"/>
          <w:szCs w:val="20"/>
          <w:color w:val="auto"/>
        </w:rPr>
      </w:pPr>
      <w:r>
        <w:rPr>
          <w:rFonts w:ascii="Arial" w:cs="Arial" w:eastAsia="Arial" w:hAnsi="Arial"/>
          <w:sz w:val="16"/>
          <w:szCs w:val="16"/>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4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08" w:lineRule="exact"/>
        <w:rPr>
          <w:sz w:val="20"/>
          <w:szCs w:val="20"/>
          <w:color w:val="auto"/>
        </w:rPr>
      </w:pPr>
    </w:p>
    <w:p>
      <w:pPr>
        <w:ind w:left="460" w:right="340" w:firstLine="413"/>
        <w:spacing w:after="0" w:line="296" w:lineRule="auto"/>
        <w:rPr>
          <w:sz w:val="20"/>
          <w:szCs w:val="20"/>
          <w:color w:val="auto"/>
        </w:rPr>
      </w:pPr>
      <w:r>
        <w:rPr>
          <w:rFonts w:ascii="Arial" w:cs="Arial" w:eastAsia="Arial" w:hAnsi="Arial"/>
          <w:sz w:val="15"/>
          <w:szCs w:val="15"/>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8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780"/>
          </w:cols>
          <w:pgMar w:left="320" w:top="440" w:right="79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firstLine="413"/>
        <w:spacing w:after="0" w:line="277" w:lineRule="auto"/>
        <w:rPr>
          <w:sz w:val="20"/>
          <w:szCs w:val="20"/>
          <w:color w:val="auto"/>
        </w:rPr>
      </w:pPr>
      <w:r>
        <w:rPr>
          <w:rFonts w:ascii="Arial" w:cs="Arial" w:eastAsia="Arial" w:hAnsi="Arial"/>
          <w:sz w:val="16"/>
          <w:szCs w:val="16"/>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08"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79"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81" w:lineRule="exact"/>
        <w:rPr>
          <w:sz w:val="20"/>
          <w:szCs w:val="20"/>
          <w:color w:val="auto"/>
        </w:rPr>
      </w:pPr>
    </w:p>
    <w:p>
      <w:pPr>
        <w:ind w:left="460" w:right="40" w:firstLine="413"/>
        <w:spacing w:after="0" w:line="252"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08"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0780"/>
          </w:cols>
          <w:pgMar w:left="320" w:top="440" w:right="799" w:bottom="1440" w:gutter="0" w:footer="0" w:header="0"/>
        </w:sectPr>
      </w:pPr>
    </w:p>
    <w:p>
      <w:pPr>
        <w:spacing w:after="0" w:line="190"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Furniture and equipment</w:t>
      </w:r>
    </w:p>
    <w:p>
      <w:pPr>
        <w:spacing w:after="0" w:line="42"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Computers and software</w:t>
      </w:r>
    </w:p>
    <w:p>
      <w:pPr>
        <w:spacing w:after="0" w:line="30"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Lesser of the asset life or lease term</w:t>
      </w:r>
    </w:p>
    <w:p>
      <w:pPr>
        <w:spacing w:after="0" w:line="200" w:lineRule="exact"/>
        <w:rPr>
          <w:sz w:val="20"/>
          <w:szCs w:val="20"/>
          <w:color w:val="auto"/>
        </w:rPr>
      </w:pPr>
    </w:p>
    <w:p>
      <w:pPr>
        <w:sectPr>
          <w:pgSz w:w="11900" w:h="16838" w:orient="portrait"/>
          <w:cols w:equalWidth="0" w:num="2">
            <w:col w:w="4960" w:space="720"/>
            <w:col w:w="5100"/>
          </w:cols>
          <w:pgMar w:left="320" w:top="440" w:right="799" w:bottom="1440" w:gutter="0" w:footer="0" w:header="0"/>
          <w:type w:val="continuous"/>
        </w:sectPr>
      </w:pPr>
    </w:p>
    <w:p>
      <w:pPr>
        <w:spacing w:after="0" w:line="21"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7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08"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The Company expenses advertising costs as incurred in accordance with ASC 720—</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780"/>
          </w:cols>
          <w:pgMar w:left="320" w:top="440" w:right="799" w:bottom="1440" w:gutter="0" w:footer="0" w:header="0"/>
          <w:type w:val="continuous"/>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08" w:lineRule="exact"/>
        <w:rPr>
          <w:sz w:val="20"/>
          <w:szCs w:val="20"/>
          <w:color w:val="auto"/>
        </w:rPr>
      </w:pPr>
    </w:p>
    <w:p>
      <w:pPr>
        <w:ind w:left="460" w:right="100" w:firstLine="413"/>
        <w:spacing w:after="0" w:line="253" w:lineRule="auto"/>
        <w:rPr>
          <w:sz w:val="20"/>
          <w:szCs w:val="20"/>
          <w:color w:val="auto"/>
        </w:rPr>
      </w:pPr>
      <w:r>
        <w:rPr>
          <w:rFonts w:ascii="Arial" w:cs="Arial" w:eastAsia="Arial" w:hAnsi="Arial"/>
          <w:sz w:val="17"/>
          <w:szCs w:val="17"/>
          <w:color w:val="auto"/>
        </w:rPr>
        <w:t xml:space="preserve">The Company accounts for its software development costs in accordance with the guidance set forth in ASC 350-40, </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 Internal Use Software. </w:t>
      </w:r>
      <w:r>
        <w:rPr>
          <w:rFonts w:ascii="Arial" w:cs="Arial" w:eastAsia="Arial" w:hAnsi="Arial"/>
          <w:sz w:val="17"/>
          <w:szCs w:val="17"/>
          <w:color w:val="auto"/>
        </w:rPr>
        <w:t>The Company capitalizes costs to develop software for internal use incurred during the application development stage.</w:t>
      </w:r>
      <w:r>
        <w:rPr>
          <w:rFonts w:ascii="Arial" w:cs="Arial" w:eastAsia="Arial" w:hAnsi="Arial"/>
          <w:sz w:val="17"/>
          <w:szCs w:val="17"/>
          <w:i w:val="1"/>
          <w:iCs w:val="1"/>
          <w:color w:val="auto"/>
        </w:rPr>
        <w:t xml:space="preserve"> </w:t>
      </w:r>
      <w:r>
        <w:rPr>
          <w:rFonts w:ascii="Arial" w:cs="Arial" w:eastAsia="Arial" w:hAnsi="Arial"/>
          <w:sz w:val="17"/>
          <w:szCs w:val="17"/>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80" w:firstLine="413"/>
        <w:spacing w:after="0" w:line="289" w:lineRule="auto"/>
        <w:rPr>
          <w:sz w:val="20"/>
          <w:szCs w:val="20"/>
          <w:color w:val="auto"/>
        </w:rPr>
      </w:pPr>
      <w:r>
        <w:rPr>
          <w:rFonts w:ascii="Arial" w:cs="Arial" w:eastAsia="Arial" w:hAnsi="Arial"/>
          <w:sz w:val="15"/>
          <w:szCs w:val="15"/>
          <w:color w:val="auto"/>
        </w:rPr>
        <w:t xml:space="preserve">The Company accounts for business combinations using the acquisition method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7" w:lineRule="exact"/>
        <w:rPr>
          <w:sz w:val="20"/>
          <w:szCs w:val="20"/>
          <w:color w:val="auto"/>
        </w:rPr>
      </w:pPr>
    </w:p>
    <w:p>
      <w:pPr>
        <w:ind w:left="460" w:right="180" w:firstLine="413"/>
        <w:spacing w:after="0" w:line="254"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1"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48"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08"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780"/>
          </w:cols>
          <w:pgMar w:left="320" w:top="440" w:right="79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56" w:lineRule="exact"/>
        <w:rPr>
          <w:sz w:val="20"/>
          <w:szCs w:val="20"/>
          <w:color w:val="auto"/>
        </w:rPr>
      </w:pPr>
    </w:p>
    <w:p>
      <w:pPr>
        <w:ind w:left="460" w:right="160" w:firstLine="413"/>
        <w:spacing w:after="0" w:line="256" w:lineRule="auto"/>
        <w:rPr>
          <w:sz w:val="20"/>
          <w:szCs w:val="20"/>
          <w:color w:val="auto"/>
        </w:rPr>
      </w:pPr>
      <w:r>
        <w:rPr>
          <w:rFonts w:ascii="Arial" w:cs="Arial" w:eastAsia="Arial" w:hAnsi="Arial"/>
          <w:sz w:val="17"/>
          <w:szCs w:val="17"/>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338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14</w:t>
            </w:r>
          </w:p>
        </w:tc>
        <w:tc>
          <w:tcPr>
            <w:tcW w:w="700" w:type="dxa"/>
            <w:vAlign w:val="bottom"/>
          </w:tcPr>
          <w:p>
            <w:pPr>
              <w:ind w:left="20"/>
              <w:spacing w:after="0"/>
              <w:rPr>
                <w:sz w:val="20"/>
                <w:szCs w:val="20"/>
                <w:color w:val="auto"/>
              </w:rPr>
            </w:pPr>
            <w:r>
              <w:rPr>
                <w:rFonts w:ascii="Arial" w:cs="Arial" w:eastAsia="Arial" w:hAnsi="Arial"/>
                <w:sz w:val="17"/>
                <w:szCs w:val="17"/>
                <w:color w:val="auto"/>
                <w:w w:val="83"/>
              </w:rPr>
              <w:t>– 15 years</w:t>
            </w:r>
          </w:p>
        </w:tc>
      </w:tr>
      <w:tr>
        <w:trPr>
          <w:trHeight w:val="203"/>
        </w:trPr>
        <w:tc>
          <w:tcPr>
            <w:tcW w:w="3380" w:type="dxa"/>
            <w:vAlign w:val="bottom"/>
          </w:tcPr>
          <w:p>
            <w:pPr>
              <w:spacing w:after="0"/>
              <w:rPr>
                <w:sz w:val="20"/>
                <w:szCs w:val="20"/>
                <w:color w:val="auto"/>
              </w:rPr>
            </w:pPr>
            <w:r>
              <w:rPr>
                <w:rFonts w:ascii="Arial" w:cs="Arial" w:eastAsia="Arial" w:hAnsi="Arial"/>
                <w:sz w:val="17"/>
                <w:szCs w:val="17"/>
                <w:color w:val="auto"/>
              </w:rPr>
              <w:t>Technology</w:t>
            </w:r>
          </w:p>
        </w:tc>
        <w:tc>
          <w:tcPr>
            <w:tcW w:w="2660" w:type="dxa"/>
            <w:vAlign w:val="bottom"/>
            <w:gridSpan w:val="2"/>
          </w:tcPr>
          <w:p>
            <w:pPr>
              <w:ind w:left="1760"/>
              <w:spacing w:after="0"/>
              <w:rPr>
                <w:sz w:val="20"/>
                <w:szCs w:val="20"/>
                <w:color w:val="auto"/>
              </w:rPr>
            </w:pPr>
            <w:r>
              <w:rPr>
                <w:rFonts w:ascii="Arial" w:cs="Arial" w:eastAsia="Arial" w:hAnsi="Arial"/>
                <w:sz w:val="17"/>
                <w:szCs w:val="17"/>
                <w:color w:val="auto"/>
              </w:rPr>
              <w:t>7 – 8 years</w:t>
            </w:r>
          </w:p>
        </w:tc>
      </w:tr>
      <w:tr>
        <w:trPr>
          <w:trHeight w:val="203"/>
        </w:trPr>
        <w:tc>
          <w:tcPr>
            <w:tcW w:w="3380" w:type="dxa"/>
            <w:vAlign w:val="bottom"/>
          </w:tcPr>
          <w:p>
            <w:pPr>
              <w:spacing w:after="0"/>
              <w:rPr>
                <w:sz w:val="20"/>
                <w:szCs w:val="20"/>
                <w:color w:val="auto"/>
              </w:rPr>
            </w:pPr>
            <w:r>
              <w:rPr>
                <w:rFonts w:ascii="Arial" w:cs="Arial" w:eastAsia="Arial" w:hAnsi="Arial"/>
                <w:sz w:val="17"/>
                <w:szCs w:val="17"/>
                <w:color w:val="auto"/>
              </w:rPr>
              <w:t>Tradenames / trademark</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17</w:t>
            </w:r>
          </w:p>
        </w:tc>
        <w:tc>
          <w:tcPr>
            <w:tcW w:w="700" w:type="dxa"/>
            <w:vAlign w:val="bottom"/>
          </w:tcPr>
          <w:p>
            <w:pPr>
              <w:ind w:left="20"/>
              <w:spacing w:after="0"/>
              <w:rPr>
                <w:sz w:val="20"/>
                <w:szCs w:val="20"/>
                <w:color w:val="auto"/>
              </w:rPr>
            </w:pPr>
            <w:r>
              <w:rPr>
                <w:rFonts w:ascii="Arial" w:cs="Arial" w:eastAsia="Arial" w:hAnsi="Arial"/>
                <w:sz w:val="17"/>
                <w:szCs w:val="17"/>
                <w:color w:val="auto"/>
                <w:w w:val="83"/>
              </w:rPr>
              <w:t>– 19 years</w:t>
            </w:r>
          </w:p>
        </w:tc>
      </w:tr>
      <w:tr>
        <w:trPr>
          <w:trHeight w:val="214"/>
        </w:trPr>
        <w:tc>
          <w:tcPr>
            <w:tcW w:w="3380" w:type="dxa"/>
            <w:vAlign w:val="bottom"/>
          </w:tcPr>
          <w:p>
            <w:pPr>
              <w:spacing w:after="0"/>
              <w:rPr>
                <w:sz w:val="20"/>
                <w:szCs w:val="20"/>
                <w:color w:val="auto"/>
              </w:rPr>
            </w:pPr>
            <w:r>
              <w:rPr>
                <w:rFonts w:ascii="Arial" w:cs="Arial" w:eastAsia="Arial" w:hAnsi="Arial"/>
                <w:sz w:val="17"/>
                <w:szCs w:val="17"/>
                <w:color w:val="auto"/>
              </w:rPr>
              <w:t>Data</w:t>
            </w:r>
          </w:p>
        </w:tc>
        <w:tc>
          <w:tcPr>
            <w:tcW w:w="2660" w:type="dxa"/>
            <w:vAlign w:val="bottom"/>
            <w:gridSpan w:val="2"/>
          </w:tcPr>
          <w:p>
            <w:pPr>
              <w:ind w:left="1760"/>
              <w:spacing w:after="0"/>
              <w:rPr>
                <w:sz w:val="20"/>
                <w:szCs w:val="20"/>
                <w:color w:val="auto"/>
              </w:rPr>
            </w:pPr>
            <w:r>
              <w:rPr>
                <w:rFonts w:ascii="Arial" w:cs="Arial" w:eastAsia="Arial" w:hAnsi="Arial"/>
                <w:sz w:val="17"/>
                <w:szCs w:val="17"/>
                <w:color w:val="auto"/>
              </w:rPr>
              <w:t>1– 4 years</w:t>
            </w:r>
          </w:p>
        </w:tc>
      </w:tr>
    </w:tbl>
    <w:p>
      <w:pPr>
        <w:spacing w:after="0" w:line="292"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08" w:lineRule="exact"/>
        <w:rPr>
          <w:sz w:val="20"/>
          <w:szCs w:val="20"/>
          <w:color w:val="auto"/>
        </w:rPr>
      </w:pPr>
    </w:p>
    <w:p>
      <w:pPr>
        <w:ind w:left="460" w:right="120" w:firstLine="413"/>
        <w:spacing w:after="0" w:line="301" w:lineRule="auto"/>
        <w:rPr>
          <w:sz w:val="20"/>
          <w:szCs w:val="20"/>
          <w:color w:val="auto"/>
        </w:rPr>
      </w:pPr>
      <w:r>
        <w:rPr>
          <w:rFonts w:ascii="Arial" w:cs="Arial" w:eastAsia="Arial" w:hAnsi="Arial"/>
          <w:sz w:val="15"/>
          <w:szCs w:val="15"/>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4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08" w:lineRule="exact"/>
        <w:rPr>
          <w:sz w:val="20"/>
          <w:szCs w:val="20"/>
          <w:color w:val="auto"/>
        </w:rPr>
      </w:pPr>
    </w:p>
    <w:p>
      <w:pPr>
        <w:jc w:val="both"/>
        <w:ind w:left="460" w:right="80" w:firstLine="413"/>
        <w:spacing w:after="0" w:line="311" w:lineRule="auto"/>
        <w:rPr>
          <w:sz w:val="20"/>
          <w:szCs w:val="20"/>
          <w:color w:val="auto"/>
        </w:rPr>
      </w:pPr>
      <w:r>
        <w:rPr>
          <w:rFonts w:ascii="Arial" w:cs="Arial" w:eastAsia="Arial" w:hAnsi="Arial"/>
          <w:sz w:val="15"/>
          <w:szCs w:val="15"/>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08"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0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740"/>
          </w:cols>
          <w:pgMar w:left="320" w:top="440" w:right="83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08"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Sales Tax</w:t>
      </w:r>
    </w:p>
    <w:p>
      <w:pPr>
        <w:spacing w:after="0" w:line="108"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7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Income Taxes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82"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72"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color w:val="auto"/>
        </w:rPr>
        <w:t>Under the provisions of ASC 740</w:t>
      </w:r>
      <w:r>
        <w:rPr>
          <w:rFonts w:ascii="Arial" w:cs="Arial" w:eastAsia="Arial" w:hAnsi="Arial"/>
          <w:sz w:val="16"/>
          <w:szCs w:val="16"/>
          <w:i w:val="1"/>
          <w:iCs w:val="1"/>
          <w:color w:val="auto"/>
        </w:rPr>
        <w:t>, Income Taxes</w:t>
      </w:r>
      <w:r>
        <w:rPr>
          <w:rFonts w:ascii="Arial" w:cs="Arial" w:eastAsia="Arial" w:hAnsi="Arial"/>
          <w:sz w:val="16"/>
          <w:szCs w:val="16"/>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Net Loss Per Unit</w:t>
      </w:r>
    </w:p>
    <w:p>
      <w:pPr>
        <w:spacing w:after="0" w:line="108"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1"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Basic net income or loss per unit is computed by dividing the net income or loss by the weighted-average number of common units of the Company outstanding during the period. Diluted net income or loss per unit is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760"/>
          </w:cols>
          <w:pgMar w:left="320" w:top="440" w:right="81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79" w:lineRule="exact"/>
        <w:rPr>
          <w:sz w:val="20"/>
          <w:szCs w:val="20"/>
          <w:color w:val="auto"/>
        </w:rPr>
      </w:pPr>
    </w:p>
    <w:p>
      <w:pPr>
        <w:ind w:left="460" w:right="180" w:firstLine="413"/>
        <w:spacing w:after="0" w:line="254" w:lineRule="auto"/>
        <w:rPr>
          <w:sz w:val="20"/>
          <w:szCs w:val="20"/>
          <w:color w:val="auto"/>
        </w:rPr>
      </w:pPr>
      <w:r>
        <w:rPr>
          <w:rFonts w:ascii="Arial" w:cs="Arial" w:eastAsia="Arial" w:hAnsi="Arial"/>
          <w:sz w:val="17"/>
          <w:szCs w:val="17"/>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7"/>
          <w:szCs w:val="17"/>
          <w:i w:val="1"/>
          <w:iCs w:val="1"/>
          <w:color w:val="auto"/>
        </w:rPr>
        <w:t>Net Loss Per Unit</w:t>
      </w:r>
      <w:r>
        <w:rPr>
          <w:rFonts w:ascii="Arial" w:cs="Arial" w:eastAsia="Arial" w:hAnsi="Arial"/>
          <w:sz w:val="17"/>
          <w:szCs w:val="17"/>
          <w:color w:val="auto"/>
        </w:rPr>
        <w:t xml:space="preserve"> for additional information on dilutive securities.</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08" w:lineRule="exact"/>
        <w:rPr>
          <w:sz w:val="20"/>
          <w:szCs w:val="20"/>
          <w:color w:val="auto"/>
        </w:rPr>
      </w:pPr>
    </w:p>
    <w:p>
      <w:pPr>
        <w:ind w:left="460" w:right="140" w:firstLine="413"/>
        <w:spacing w:after="0" w:line="311" w:lineRule="auto"/>
        <w:rPr>
          <w:sz w:val="20"/>
          <w:szCs w:val="20"/>
          <w:color w:val="auto"/>
        </w:rPr>
      </w:pPr>
      <w:r>
        <w:rPr>
          <w:rFonts w:ascii="Arial" w:cs="Arial" w:eastAsia="Arial" w:hAnsi="Arial"/>
          <w:sz w:val="15"/>
          <w:szCs w:val="15"/>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0" w:lineRule="exact"/>
        <w:rPr>
          <w:sz w:val="20"/>
          <w:szCs w:val="20"/>
          <w:color w:val="auto"/>
        </w:rPr>
      </w:pPr>
    </w:p>
    <w:p>
      <w:pPr>
        <w:ind w:left="460" w:right="60" w:firstLine="413"/>
        <w:spacing w:after="0" w:line="274" w:lineRule="auto"/>
        <w:rPr>
          <w:sz w:val="20"/>
          <w:szCs w:val="20"/>
          <w:color w:val="auto"/>
        </w:rPr>
      </w:pPr>
      <w:r>
        <w:rPr>
          <w:rFonts w:ascii="Arial" w:cs="Arial" w:eastAsia="Arial" w:hAnsi="Arial"/>
          <w:sz w:val="16"/>
          <w:szCs w:val="16"/>
          <w:color w:val="auto"/>
        </w:rPr>
        <w:t>The Company accounts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65"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color w:val="auto"/>
        </w:rPr>
        <w:t>The Company classifies equity-based compensation expense in its consolidated statements of (loss) income in the same manner in which the award recipient’s salary and related costs are classified.</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08" w:lineRule="exact"/>
        <w:rPr>
          <w:sz w:val="20"/>
          <w:szCs w:val="20"/>
          <w:color w:val="auto"/>
        </w:rPr>
      </w:pPr>
    </w:p>
    <w:p>
      <w:pPr>
        <w:ind w:left="460" w:right="40" w:firstLine="413"/>
        <w:spacing w:after="0" w:line="293" w:lineRule="auto"/>
        <w:rPr>
          <w:sz w:val="20"/>
          <w:szCs w:val="20"/>
          <w:color w:val="auto"/>
        </w:rPr>
      </w:pPr>
      <w:r>
        <w:rPr>
          <w:rFonts w:ascii="Arial" w:cs="Arial" w:eastAsia="Arial" w:hAnsi="Arial"/>
          <w:sz w:val="15"/>
          <w:szCs w:val="15"/>
          <w:color w:val="auto"/>
        </w:rPr>
        <w:t>In May 2014, the FASB issued ASC 606—</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5"/>
          <w:szCs w:val="15"/>
          <w:i w:val="1"/>
          <w:iCs w:val="1"/>
          <w:color w:val="auto"/>
        </w:rPr>
        <w:t>Other Assets and Deferred Costs – Contracts with Customers</w:t>
      </w:r>
      <w:r>
        <w:rPr>
          <w:rFonts w:ascii="Arial" w:cs="Arial" w:eastAsia="Arial" w:hAnsi="Arial"/>
          <w:sz w:val="15"/>
          <w:szCs w:val="15"/>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55" w:lineRule="exact"/>
        <w:rPr>
          <w:sz w:val="20"/>
          <w:szCs w:val="20"/>
          <w:color w:val="auto"/>
        </w:rPr>
      </w:pPr>
    </w:p>
    <w:p>
      <w:pPr>
        <w:ind w:left="460" w:right="40" w:firstLine="413"/>
        <w:spacing w:after="0" w:line="340" w:lineRule="auto"/>
        <w:rPr>
          <w:sz w:val="20"/>
          <w:szCs w:val="20"/>
          <w:color w:val="auto"/>
        </w:rPr>
      </w:pPr>
      <w:r>
        <w:rPr>
          <w:rFonts w:ascii="Arial" w:cs="Arial" w:eastAsia="Arial" w:hAnsi="Arial"/>
          <w:sz w:val="15"/>
          <w:szCs w:val="15"/>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19"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 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780"/>
          </w:cols>
          <w:pgMar w:left="320" w:top="440" w:right="79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cumulative effect of applying the new guidance was recorded as an adjustment to members’ capital as of the adoption date.</w:t>
      </w:r>
    </w:p>
    <w:p>
      <w:pPr>
        <w:spacing w:after="0" w:line="210"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As a result of applying the modified retrospective method to adopt the new revenue guidance, the following adjustments were made to the consolidated balance sheet as of January 1, 2019.</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color w:val="auto"/>
              </w:rPr>
              <w:t>As reported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color w:val="auto"/>
                <w:w w:val="96"/>
              </w:rPr>
              <w:t>ASC 606</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w w:val="95"/>
              </w:rPr>
              <w:t>As Adjusted</w:t>
            </w: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3"/>
                <w:szCs w:val="13"/>
                <w:color w:val="auto"/>
              </w:rPr>
              <w:t>December 31, 2018</w:t>
            </w:r>
          </w:p>
        </w:tc>
        <w:tc>
          <w:tcPr>
            <w:tcW w:w="34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Adjustments</w:t>
            </w:r>
          </w:p>
        </w:tc>
        <w:tc>
          <w:tcPr>
            <w:tcW w:w="3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w w:val="96"/>
              </w:rPr>
              <w:t>January 1, 2019</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Consolidated Balance Sheet:</w:t>
            </w:r>
          </w:p>
        </w:tc>
        <w:tc>
          <w:tcPr>
            <w:tcW w:w="1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74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14,932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367</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15,299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contract costs</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1,346</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Total current assets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35,176</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1,713</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36,889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 net of current portion</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2,973</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340"/>
              <w:spacing w:after="0"/>
              <w:rPr>
                <w:sz w:val="20"/>
                <w:szCs w:val="20"/>
                <w:color w:val="auto"/>
              </w:rPr>
            </w:pPr>
            <w:r>
              <w:rPr>
                <w:rFonts w:ascii="Arial" w:cs="Arial" w:eastAsia="Arial" w:hAnsi="Arial"/>
                <w:sz w:val="17"/>
                <w:szCs w:val="17"/>
                <w:color w:val="auto"/>
              </w:rPr>
              <w:t>Total assets</w:t>
            </w: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vMerge w:val="continue"/>
          </w:tcPr>
          <w:p>
            <w:pPr>
              <w:spacing w:after="0"/>
              <w:rPr>
                <w:sz w:val="18"/>
                <w:szCs w:val="18"/>
                <w:color w:val="auto"/>
              </w:rPr>
            </w:pPr>
          </w:p>
        </w:tc>
        <w:tc>
          <w:tcPr>
            <w:tcW w:w="174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87,061</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4,686</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32,187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(729)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31,458</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36,676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(729)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36,676</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(729)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03"/>
        </w:trPr>
        <w:tc>
          <w:tcPr>
            <w:tcW w:w="4660" w:type="dxa"/>
            <w:vAlign w:val="bottom"/>
          </w:tcPr>
          <w:p>
            <w:pPr>
              <w:ind w:left="340"/>
              <w:spacing w:after="0"/>
              <w:rPr>
                <w:sz w:val="20"/>
                <w:szCs w:val="20"/>
                <w:color w:val="auto"/>
              </w:rPr>
            </w:pPr>
            <w:r>
              <w:rPr>
                <w:rFonts w:ascii="Arial" w:cs="Arial" w:eastAsia="Arial" w:hAnsi="Arial"/>
                <w:sz w:val="17"/>
                <w:szCs w:val="17"/>
                <w:color w:val="auto"/>
              </w:rPr>
              <w:t>Members’ capital</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50,385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5,415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55,800</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87,061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4,686</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7"/>
          <w:szCs w:val="17"/>
          <w:i w:val="1"/>
          <w:iCs w:val="1"/>
          <w:color w:val="auto"/>
        </w:rPr>
        <w:t>,</w:t>
      </w:r>
      <w:r>
        <w:rPr>
          <w:rFonts w:ascii="Arial" w:cs="Arial" w:eastAsia="Arial" w:hAnsi="Arial"/>
          <w:sz w:val="17"/>
          <w:szCs w:val="17"/>
          <w:color w:val="auto"/>
        </w:rPr>
        <w:t xml:space="preserve"> the previous revenue recognition standard, been in effect:</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color w:val="auto"/>
              </w:rPr>
              <w:t>As Reported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As Adjusted</w:t>
            </w:r>
          </w:p>
        </w:tc>
        <w:tc>
          <w:tcPr>
            <w:tcW w:w="0" w:type="dxa"/>
            <w:vAlign w:val="bottom"/>
          </w:tcPr>
          <w:p>
            <w:pPr>
              <w:spacing w:after="0"/>
              <w:rPr>
                <w:sz w:val="1"/>
                <w:szCs w:val="1"/>
                <w:color w:val="auto"/>
              </w:rPr>
            </w:pPr>
          </w:p>
        </w:tc>
      </w:tr>
      <w:tr>
        <w:trPr>
          <w:trHeight w:val="139"/>
        </w:trPr>
        <w:tc>
          <w:tcPr>
            <w:tcW w:w="6120" w:type="dxa"/>
            <w:vAlign w:val="bottom"/>
          </w:tcPr>
          <w:p>
            <w:pPr>
              <w:spacing w:after="0"/>
              <w:rPr>
                <w:sz w:val="12"/>
                <w:szCs w:val="12"/>
                <w:color w:val="auto"/>
              </w:rPr>
            </w:pPr>
          </w:p>
        </w:tc>
        <w:tc>
          <w:tcPr>
            <w:tcW w:w="104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December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ind w:left="20"/>
              <w:spacing w:after="0" w:line="139" w:lineRule="exact"/>
              <w:rPr>
                <w:sz w:val="20"/>
                <w:szCs w:val="20"/>
                <w:color w:val="auto"/>
              </w:rPr>
            </w:pPr>
            <w:r>
              <w:rPr>
                <w:rFonts w:ascii="Arial" w:cs="Arial" w:eastAsia="Arial" w:hAnsi="Arial"/>
                <w:sz w:val="13"/>
                <w:szCs w:val="13"/>
                <w:color w:val="auto"/>
                <w:w w:val="97"/>
              </w:rPr>
              <w:t>December 31,</w:t>
            </w:r>
          </w:p>
        </w:tc>
        <w:tc>
          <w:tcPr>
            <w:tcW w:w="0" w:type="dxa"/>
            <w:vAlign w:val="bottom"/>
          </w:tcPr>
          <w:p>
            <w:pPr>
              <w:spacing w:after="0"/>
              <w:rPr>
                <w:sz w:val="1"/>
                <w:szCs w:val="1"/>
                <w:color w:val="auto"/>
              </w:rPr>
            </w:pPr>
          </w:p>
        </w:tc>
      </w:tr>
      <w:tr>
        <w:trPr>
          <w:trHeight w:val="158"/>
        </w:trPr>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color w:val="auto"/>
              </w:rPr>
              <w:t>2019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3"/>
                <w:szCs w:val="13"/>
                <w:color w:val="auto"/>
              </w:rPr>
              <w:t>Adjustments</w:t>
            </w:r>
          </w:p>
        </w:tc>
        <w:tc>
          <w:tcPr>
            <w:tcW w:w="10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Consolidated Balance Sheet:</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25,021</w:t>
            </w:r>
          </w:p>
        </w:tc>
        <w:tc>
          <w:tcPr>
            <w:tcW w:w="4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24,771</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contract assets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34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36,107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35,088</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 net of current portion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2,116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(2,116)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1,721,154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1,718,019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46,967</w:t>
            </w:r>
          </w:p>
        </w:tc>
        <w:tc>
          <w:tcPr>
            <w:tcW w:w="0" w:type="dxa"/>
            <w:vAlign w:val="bottom"/>
          </w:tcPr>
          <w:p>
            <w:pPr>
              <w:spacing w:after="0"/>
              <w:rPr>
                <w:sz w:val="1"/>
                <w:szCs w:val="1"/>
                <w:color w:val="auto"/>
              </w:rPr>
            </w:pPr>
          </w:p>
        </w:tc>
      </w:tr>
      <w:tr>
        <w:trPr>
          <w:trHeight w:val="203"/>
        </w:trPr>
        <w:tc>
          <w:tcPr>
            <w:tcW w:w="612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69,917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70,907</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504,914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505,904</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Members’ capital (deficit)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1,216,240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(4,125)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1,212,115</w:t>
            </w:r>
          </w:p>
        </w:tc>
        <w:tc>
          <w:tcPr>
            <w:tcW w:w="0" w:type="dxa"/>
            <w:vAlign w:val="bottom"/>
          </w:tcPr>
          <w:p>
            <w:pPr>
              <w:spacing w:after="0"/>
              <w:rPr>
                <w:sz w:val="1"/>
                <w:szCs w:val="1"/>
                <w:color w:val="auto"/>
              </w:rPr>
            </w:pPr>
          </w:p>
        </w:tc>
      </w:tr>
      <w:tr>
        <w:trPr>
          <w:trHeight w:val="25"/>
        </w:trPr>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 (deficit)</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1,721,154</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1,718,019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3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Predecessor Company</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tcPr>
          <w:p>
            <w:pPr>
              <w:jc w:val="right"/>
              <w:ind w:right="620"/>
              <w:spacing w:after="0" w:line="114" w:lineRule="exact"/>
              <w:rPr>
                <w:sz w:val="20"/>
                <w:szCs w:val="20"/>
                <w:color w:val="auto"/>
              </w:rPr>
            </w:pPr>
            <w:r>
              <w:rPr>
                <w:rFonts w:ascii="Arial" w:cs="Arial" w:eastAsia="Arial" w:hAnsi="Arial"/>
                <w:sz w:val="13"/>
                <w:szCs w:val="13"/>
                <w:color w:val="auto"/>
              </w:rPr>
              <w:t>As Reported</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jc w:val="right"/>
              <w:ind w:right="217"/>
              <w:spacing w:after="0" w:line="114" w:lineRule="exact"/>
              <w:rPr>
                <w:sz w:val="20"/>
                <w:szCs w:val="20"/>
                <w:color w:val="auto"/>
              </w:rPr>
            </w:pPr>
            <w:r>
              <w:rPr>
                <w:rFonts w:ascii="Arial" w:cs="Arial" w:eastAsia="Arial" w:hAnsi="Arial"/>
                <w:sz w:val="13"/>
                <w:szCs w:val="13"/>
                <w:color w:val="auto"/>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gridSpan w:val="3"/>
          </w:tcPr>
          <w:p>
            <w:pPr>
              <w:spacing w:after="0" w:line="139" w:lineRule="exact"/>
              <w:rPr>
                <w:sz w:val="20"/>
                <w:szCs w:val="20"/>
                <w:color w:val="auto"/>
              </w:rPr>
            </w:pPr>
            <w:r>
              <w:rPr>
                <w:rFonts w:ascii="Arial" w:cs="Arial" w:eastAsia="Arial" w:hAnsi="Arial"/>
                <w:sz w:val="13"/>
                <w:szCs w:val="13"/>
                <w:color w:val="auto"/>
              </w:rPr>
              <w:t>Period from January 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3"/>
          </w:tcPr>
          <w:p>
            <w:pPr>
              <w:spacing w:after="0" w:line="139" w:lineRule="exact"/>
              <w:rPr>
                <w:sz w:val="20"/>
                <w:szCs w:val="20"/>
                <w:color w:val="auto"/>
              </w:rPr>
            </w:pPr>
            <w:r>
              <w:rPr>
                <w:rFonts w:ascii="Arial" w:cs="Arial" w:eastAsia="Arial" w:hAnsi="Arial"/>
                <w:sz w:val="13"/>
                <w:szCs w:val="13"/>
                <w:color w:val="auto"/>
              </w:rPr>
              <w:t>Period from January 1,</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3"/>
                <w:szCs w:val="13"/>
                <w:color w:val="auto"/>
                <w:w w:val="96"/>
              </w:rPr>
              <w:t>2019 to July 15, 2019</w:t>
            </w:r>
          </w:p>
        </w:tc>
        <w:tc>
          <w:tcPr>
            <w:tcW w:w="5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3"/>
                <w:szCs w:val="13"/>
                <w:color w:val="auto"/>
              </w:rPr>
              <w:t>Adjustments</w:t>
            </w:r>
          </w:p>
        </w:tc>
        <w:tc>
          <w:tcPr>
            <w:tcW w:w="1340" w:type="dxa"/>
            <w:vAlign w:val="bottom"/>
            <w:gridSpan w:val="3"/>
          </w:tcPr>
          <w:p>
            <w:pPr>
              <w:ind w:left="20"/>
              <w:spacing w:after="0"/>
              <w:rPr>
                <w:sz w:val="20"/>
                <w:szCs w:val="20"/>
                <w:color w:val="auto"/>
              </w:rPr>
            </w:pPr>
            <w:r>
              <w:rPr>
                <w:rFonts w:ascii="Arial" w:cs="Arial" w:eastAsia="Arial" w:hAnsi="Arial"/>
                <w:sz w:val="13"/>
                <w:szCs w:val="13"/>
                <w:color w:val="auto"/>
              </w:rPr>
              <w:t>2019 to July 15, 2019</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45,458</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(79)</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45,379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7"/>
                <w:szCs w:val="17"/>
                <w:color w:val="auto"/>
              </w:rPr>
              <w:t>Total cost of revenue</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5,328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40,130</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(79)</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40,051</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7"/>
                <w:szCs w:val="17"/>
                <w:color w:val="auto"/>
              </w:rPr>
              <w:t>Sales and marketing</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16,039</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1,416</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17,455</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27,097</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28,513</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340"/>
              <w:spacing w:after="0"/>
              <w:rPr>
                <w:sz w:val="20"/>
                <w:szCs w:val="20"/>
                <w:color w:val="auto"/>
              </w:rPr>
            </w:pPr>
            <w:r>
              <w:rPr>
                <w:rFonts w:ascii="Arial" w:cs="Arial" w:eastAsia="Arial" w:hAnsi="Arial"/>
                <w:sz w:val="17"/>
                <w:szCs w:val="17"/>
                <w:color w:val="auto"/>
              </w:rPr>
              <w:t>Income (loss) from operations</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13,033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7"/>
                <w:szCs w:val="17"/>
                <w:color w:val="auto"/>
              </w:rPr>
              <w:t>(1,495)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11,538</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(165)</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680"/>
              <w:spacing w:after="0"/>
              <w:rPr>
                <w:sz w:val="20"/>
                <w:szCs w:val="20"/>
                <w:color w:val="auto"/>
              </w:rPr>
            </w:pPr>
            <w:r>
              <w:rPr>
                <w:rFonts w:ascii="Arial" w:cs="Arial" w:eastAsia="Arial" w:hAnsi="Arial"/>
                <w:sz w:val="17"/>
                <w:szCs w:val="17"/>
                <w:color w:val="auto"/>
              </w:rPr>
              <w:t>Net income (loss)</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12,868</w:t>
            </w:r>
          </w:p>
        </w:tc>
        <w:tc>
          <w:tcPr>
            <w:tcW w:w="7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860"/>
              <w:spacing w:after="0"/>
              <w:rPr>
                <w:sz w:val="20"/>
                <w:szCs w:val="20"/>
                <w:color w:val="auto"/>
              </w:rPr>
            </w:pPr>
            <w:r>
              <w:rPr>
                <w:rFonts w:ascii="Arial" w:cs="Arial" w:eastAsia="Arial" w:hAnsi="Arial"/>
                <w:sz w:val="17"/>
                <w:szCs w:val="17"/>
                <w:color w:val="auto"/>
              </w:rPr>
              <w:t>(1,495)</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11,373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1100"/>
              <w:spacing w:after="0"/>
              <w:rPr>
                <w:sz w:val="20"/>
                <w:szCs w:val="20"/>
                <w:color w:val="auto"/>
              </w:rPr>
            </w:pPr>
            <w:r>
              <w:rPr>
                <w:rFonts w:ascii="Arial" w:cs="Arial" w:eastAsia="Arial" w:hAnsi="Arial"/>
                <w:sz w:val="17"/>
                <w:szCs w:val="17"/>
                <w:color w:val="auto"/>
                <w:w w:val="97"/>
              </w:rPr>
              <w:t>F-22</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Successor Company</w:t>
            </w: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tcPr>
          <w:p>
            <w:pPr>
              <w:jc w:val="center"/>
              <w:ind w:right="520"/>
              <w:spacing w:after="0" w:line="114" w:lineRule="exact"/>
              <w:rPr>
                <w:sz w:val="20"/>
                <w:szCs w:val="20"/>
                <w:color w:val="auto"/>
              </w:rPr>
            </w:pPr>
            <w:r>
              <w:rPr>
                <w:rFonts w:ascii="Arial" w:cs="Arial" w:eastAsia="Arial" w:hAnsi="Arial"/>
                <w:sz w:val="13"/>
                <w:szCs w:val="13"/>
                <w:color w:val="auto"/>
                <w:w w:val="94"/>
              </w:rPr>
              <w:t>As Reported</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99"/>
              <w:spacing w:after="0" w:line="114" w:lineRule="exact"/>
              <w:rPr>
                <w:sz w:val="20"/>
                <w:szCs w:val="20"/>
                <w:color w:val="auto"/>
              </w:rPr>
            </w:pPr>
            <w:r>
              <w:rPr>
                <w:rFonts w:ascii="Arial" w:cs="Arial" w:eastAsia="Arial" w:hAnsi="Arial"/>
                <w:sz w:val="13"/>
                <w:szCs w:val="13"/>
                <w:color w:val="auto"/>
                <w:w w:val="95"/>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1540" w:type="dxa"/>
            <w:vAlign w:val="bottom"/>
            <w:gridSpan w:val="3"/>
          </w:tcPr>
          <w:p>
            <w:pPr>
              <w:jc w:val="center"/>
              <w:ind w:right="320"/>
              <w:spacing w:after="0" w:line="139" w:lineRule="exact"/>
              <w:rPr>
                <w:sz w:val="20"/>
                <w:szCs w:val="20"/>
                <w:color w:val="auto"/>
              </w:rPr>
            </w:pPr>
            <w:r>
              <w:rPr>
                <w:rFonts w:ascii="Arial" w:cs="Arial" w:eastAsia="Arial" w:hAnsi="Arial"/>
                <w:sz w:val="13"/>
                <w:szCs w:val="13"/>
                <w:color w:val="auto"/>
                <w:w w:val="95"/>
              </w:rPr>
              <w:t>Period from July 16,</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3"/>
                <w:szCs w:val="13"/>
                <w:color w:val="auto"/>
                <w:w w:val="95"/>
              </w:rPr>
              <w:t>Period from July 16,</w:t>
            </w: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1540" w:type="dxa"/>
            <w:vAlign w:val="bottom"/>
            <w:gridSpan w:val="3"/>
          </w:tcPr>
          <w:p>
            <w:pPr>
              <w:jc w:val="center"/>
              <w:ind w:right="340"/>
              <w:spacing w:after="0" w:line="139" w:lineRule="exact"/>
              <w:rPr>
                <w:sz w:val="20"/>
                <w:szCs w:val="20"/>
                <w:color w:val="auto"/>
              </w:rPr>
            </w:pPr>
            <w:r>
              <w:rPr>
                <w:rFonts w:ascii="Arial" w:cs="Arial" w:eastAsia="Arial" w:hAnsi="Arial"/>
                <w:sz w:val="13"/>
                <w:szCs w:val="13"/>
                <w:color w:val="auto"/>
                <w:w w:val="93"/>
              </w:rPr>
              <w:t>2019 to December 31,</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3"/>
                <w:szCs w:val="13"/>
                <w:color w:val="auto"/>
                <w:w w:val="91"/>
              </w:rPr>
              <w:t>2019 to December 31,</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79"/>
              <w:spacing w:after="0"/>
              <w:rPr>
                <w:sz w:val="20"/>
                <w:szCs w:val="20"/>
                <w:color w:val="auto"/>
              </w:rPr>
            </w:pPr>
            <w:r>
              <w:rPr>
                <w:rFonts w:ascii="Arial" w:cs="Arial" w:eastAsia="Arial" w:hAnsi="Arial"/>
                <w:sz w:val="13"/>
                <w:szCs w:val="13"/>
                <w:color w:val="auto"/>
                <w:w w:val="89"/>
              </w:rPr>
              <w:t>2019</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3"/>
                <w:szCs w:val="13"/>
                <w:color w:val="auto"/>
              </w:rPr>
              <w:t>Adjustments</w:t>
            </w: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40,045</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(66)</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39,979</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7"/>
                <w:szCs w:val="17"/>
                <w:color w:val="auto"/>
              </w:rPr>
              <w:t>Total cost of revenue</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13,282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13,282</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26,763</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(66)</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26,697</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Sales and marketing</w:t>
            </w:r>
          </w:p>
        </w:tc>
        <w:tc>
          <w:tcPr>
            <w:tcW w:w="18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10,814</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7"/>
                <w:szCs w:val="17"/>
                <w:color w:val="auto"/>
              </w:rPr>
              <w:t>2,885</w:t>
            </w: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13,699</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57,825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2,885</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60,710</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340"/>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(31,062)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7"/>
                <w:szCs w:val="17"/>
                <w:color w:val="auto"/>
              </w:rPr>
              <w:t>(2,951)</w:t>
            </w: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(34,013)</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(18,204)</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(18,204)</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68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(49,266)</w:t>
            </w:r>
          </w:p>
        </w:tc>
        <w:tc>
          <w:tcPr>
            <w:tcW w:w="6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780"/>
              <w:spacing w:after="0"/>
              <w:rPr>
                <w:sz w:val="20"/>
                <w:szCs w:val="20"/>
                <w:color w:val="auto"/>
              </w:rPr>
            </w:pPr>
            <w:r>
              <w:rPr>
                <w:rFonts w:ascii="Arial" w:cs="Arial" w:eastAsia="Arial" w:hAnsi="Arial"/>
                <w:sz w:val="17"/>
                <w:szCs w:val="17"/>
                <w:color w:val="auto"/>
              </w:rPr>
              <w:t>(2,951)</w:t>
            </w:r>
          </w:p>
        </w:tc>
        <w:tc>
          <w:tcPr>
            <w:tcW w:w="180" w:type="dxa"/>
            <w:vAlign w:val="bottom"/>
          </w:tcPr>
          <w:p>
            <w:pPr>
              <w:jc w:val="right"/>
              <w:ind w:right="4"/>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(52,217)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In January 2017, the FASB issued ASU No. 2017-04</w:t>
      </w:r>
      <w:r>
        <w:rPr>
          <w:rFonts w:ascii="Arial" w:cs="Arial" w:eastAsia="Arial" w:hAnsi="Arial"/>
          <w:sz w:val="17"/>
          <w:szCs w:val="17"/>
          <w:i w:val="1"/>
          <w:iCs w:val="1"/>
          <w:color w:val="auto"/>
        </w:rPr>
        <w:t>—Goodwill and Other (Topic 350) – Simplifying the Test for Goodwill Impairment.</w:t>
      </w:r>
      <w:r>
        <w:rPr>
          <w:rFonts w:ascii="Arial" w:cs="Arial" w:eastAsia="Arial" w:hAnsi="Arial"/>
          <w:sz w:val="17"/>
          <w:szCs w:val="17"/>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79" w:lineRule="exact"/>
        <w:rPr>
          <w:sz w:val="20"/>
          <w:szCs w:val="20"/>
          <w:color w:val="auto"/>
        </w:rPr>
      </w:pPr>
    </w:p>
    <w:p>
      <w:pPr>
        <w:ind w:left="460" w:right="40" w:firstLine="413"/>
        <w:spacing w:after="0" w:line="290"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This standard aligns most of the guidance on share-based payments to nonemployees with share-based payments</w:t>
      </w:r>
    </w:p>
    <w:p>
      <w:pPr>
        <w:ind w:left="460" w:right="100"/>
        <w:spacing w:after="0" w:line="253" w:lineRule="auto"/>
        <w:rPr>
          <w:sz w:val="20"/>
          <w:szCs w:val="20"/>
          <w:color w:val="auto"/>
        </w:rPr>
      </w:pPr>
      <w:r>
        <w:rPr>
          <w:rFonts w:ascii="Arial" w:cs="Arial" w:eastAsia="Arial" w:hAnsi="Arial"/>
          <w:sz w:val="17"/>
          <w:szCs w:val="17"/>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82"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08" w:lineRule="exact"/>
        <w:rPr>
          <w:sz w:val="20"/>
          <w:szCs w:val="20"/>
          <w:color w:val="auto"/>
        </w:rPr>
      </w:pPr>
    </w:p>
    <w:p>
      <w:pPr>
        <w:ind w:left="460" w:right="100" w:firstLine="413"/>
        <w:spacing w:after="0" w:line="291" w:lineRule="auto"/>
        <w:rPr>
          <w:sz w:val="20"/>
          <w:szCs w:val="20"/>
          <w:color w:val="auto"/>
        </w:rPr>
      </w:pPr>
      <w:r>
        <w:rPr>
          <w:rFonts w:ascii="Arial" w:cs="Arial" w:eastAsia="Arial" w:hAnsi="Arial"/>
          <w:sz w:val="15"/>
          <w:szCs w:val="15"/>
          <w:color w:val="auto"/>
        </w:rPr>
        <w:t>In February 2016, the FASB issued ASU 2016-02—</w:t>
      </w:r>
      <w:r>
        <w:rPr>
          <w:rFonts w:ascii="Arial" w:cs="Arial" w:eastAsia="Arial" w:hAnsi="Arial"/>
          <w:sz w:val="15"/>
          <w:szCs w:val="15"/>
          <w:i w:val="1"/>
          <w:iCs w:val="1"/>
          <w:color w:val="auto"/>
        </w:rPr>
        <w:t>Leases</w:t>
      </w:r>
      <w:r>
        <w:rPr>
          <w:rFonts w:ascii="Arial" w:cs="Arial" w:eastAsia="Arial" w:hAnsi="Arial"/>
          <w:sz w:val="15"/>
          <w:szCs w:val="15"/>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57"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Instruments—Credit Losses (Topic 326)—Measurement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81" w:lineRule="exact"/>
        <w:rPr>
          <w:sz w:val="20"/>
          <w:szCs w:val="20"/>
          <w:color w:val="auto"/>
        </w:rPr>
      </w:pPr>
    </w:p>
    <w:p>
      <w:pPr>
        <w:ind w:left="460" w:right="20" w:firstLine="413"/>
        <w:spacing w:after="0" w:line="311" w:lineRule="auto"/>
        <w:rPr>
          <w:sz w:val="20"/>
          <w:szCs w:val="20"/>
          <w:color w:val="auto"/>
        </w:rPr>
      </w:pPr>
      <w:r>
        <w:rPr>
          <w:rFonts w:ascii="Arial" w:cs="Arial" w:eastAsia="Arial" w:hAnsi="Arial"/>
          <w:sz w:val="15"/>
          <w:szCs w:val="15"/>
          <w:color w:val="auto"/>
        </w:rPr>
        <w:t>In August 2018, the FASB issued ASU No. 2018-15—</w:t>
      </w:r>
      <w:r>
        <w:rPr>
          <w:rFonts w:ascii="Arial" w:cs="Arial" w:eastAsia="Arial" w:hAnsi="Arial"/>
          <w:sz w:val="15"/>
          <w:szCs w:val="15"/>
          <w:i w:val="1"/>
          <w:iCs w:val="1"/>
          <w:color w:val="auto"/>
        </w:rPr>
        <w:t>Intangibles—Goodwill and Other—Internal-Use Software (Subtopic 350-40),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 for Implementation Costs Incurred in a Cloud Computing Arrangement That Is a Service Contract</w:t>
      </w:r>
      <w:r>
        <w:rPr>
          <w:rFonts w:ascii="Arial" w:cs="Arial" w:eastAsia="Arial" w:hAnsi="Arial"/>
          <w:sz w:val="15"/>
          <w:szCs w:val="15"/>
          <w:color w:val="auto"/>
        </w:rPr>
        <w:t>. This standard aligns the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capitalizing implementation costs incurred in a hosting arrangement that is a service contract with the requirements for capitalizing</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780"/>
          </w:cols>
          <w:pgMar w:left="320" w:top="440" w:right="79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320"/>
        <w:spacing w:after="0" w:line="303" w:lineRule="auto"/>
        <w:rPr>
          <w:sz w:val="20"/>
          <w:szCs w:val="20"/>
          <w:color w:val="auto"/>
        </w:rPr>
      </w:pPr>
      <w:r>
        <w:rPr>
          <w:rFonts w:ascii="Arial" w:cs="Arial" w:eastAsia="Arial" w:hAnsi="Arial"/>
          <w:sz w:val="16"/>
          <w:szCs w:val="16"/>
          <w:color w:val="auto"/>
        </w:rPr>
        <w:t>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43"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7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10" w:lineRule="exact"/>
        <w:rPr>
          <w:sz w:val="20"/>
          <w:szCs w:val="20"/>
          <w:color w:val="auto"/>
        </w:rPr>
      </w:pPr>
    </w:p>
    <w:p>
      <w:pPr>
        <w:ind w:left="860" w:hanging="403"/>
        <w:spacing w:after="0"/>
        <w:tabs>
          <w:tab w:leader="none" w:pos="86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14"/>
        </w:trPr>
        <w:tc>
          <w:tcPr>
            <w:tcW w:w="760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2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124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$ 18,307</w:t>
            </w:r>
          </w:p>
        </w:tc>
        <w:tc>
          <w:tcPr>
            <w:tcW w:w="80" w:type="dxa"/>
            <w:vAlign w:val="bottom"/>
            <w:shd w:val="clear" w:color="auto" w:fill="CCEEFF"/>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Equity issuance</w:t>
            </w:r>
          </w:p>
        </w:tc>
        <w:tc>
          <w:tcPr>
            <w:tcW w:w="580" w:type="dxa"/>
            <w:vAlign w:val="bottom"/>
          </w:tcPr>
          <w:p>
            <w:pPr>
              <w:jc w:val="right"/>
              <w:spacing w:after="0"/>
              <w:rPr>
                <w:sz w:val="20"/>
                <w:szCs w:val="20"/>
                <w:color w:val="auto"/>
              </w:rPr>
            </w:pPr>
            <w:r>
              <w:rPr>
                <w:rFonts w:ascii="Arial" w:cs="Arial" w:eastAsia="Arial" w:hAnsi="Arial"/>
                <w:sz w:val="17"/>
                <w:szCs w:val="17"/>
                <w:color w:val="auto"/>
              </w:rPr>
              <w:t>25,439</w:t>
            </w:r>
          </w:p>
        </w:tc>
        <w:tc>
          <w:tcPr>
            <w:tcW w:w="80" w:type="dxa"/>
            <w:vAlign w:val="bottom"/>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80" w:type="dxa"/>
            <w:vAlign w:val="bottom"/>
            <w:shd w:val="clear" w:color="auto" w:fill="CCEEFF"/>
          </w:tcPr>
          <w:p>
            <w:pPr>
              <w:spacing w:after="0"/>
              <w:rPr>
                <w:sz w:val="17"/>
                <w:szCs w:val="17"/>
                <w:color w:val="auto"/>
              </w:rPr>
            </w:pPr>
          </w:p>
        </w:tc>
      </w:tr>
      <w:tr>
        <w:trPr>
          <w:trHeight w:val="208"/>
        </w:trPr>
        <w:tc>
          <w:tcPr>
            <w:tcW w:w="124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$ 46,346</w:t>
            </w:r>
          </w:p>
        </w:tc>
        <w:tc>
          <w:tcPr>
            <w:tcW w:w="80" w:type="dxa"/>
            <w:vAlign w:val="bottom"/>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Cash consideration for the acquisition was primarily provided through borrowings under the Company’s credit facility.</w:t>
      </w:r>
    </w:p>
    <w:p>
      <w:pPr>
        <w:spacing w:after="0" w:line="210"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460" w:right="120"/>
        <w:spacing w:after="0" w:line="257" w:lineRule="auto"/>
        <w:rPr>
          <w:sz w:val="20"/>
          <w:szCs w:val="20"/>
          <w:color w:val="auto"/>
        </w:rPr>
      </w:pPr>
      <w:r>
        <w:rPr>
          <w:rFonts w:ascii="Arial" w:cs="Arial" w:eastAsia="Arial" w:hAnsi="Arial"/>
          <w:sz w:val="17"/>
          <w:szCs w:val="17"/>
          <w:color w:val="auto"/>
        </w:rPr>
        <w:t>$5.0 million and $0 to $10 million based on ARR of below $8.5 million to over $9.5 million and below $12.0 million to over $16.0 million for each of the twelve month periods ending December 31, 2020 and 2021, respectively.</w:t>
      </w:r>
    </w:p>
    <w:p>
      <w:pPr>
        <w:spacing w:after="0" w:line="177" w:lineRule="exact"/>
        <w:rPr>
          <w:sz w:val="20"/>
          <w:szCs w:val="20"/>
          <w:color w:val="auto"/>
        </w:rPr>
      </w:pPr>
    </w:p>
    <w:p>
      <w:pPr>
        <w:ind w:left="460" w:right="420" w:firstLine="413"/>
        <w:spacing w:after="0" w:line="340" w:lineRule="auto"/>
        <w:rPr>
          <w:sz w:val="20"/>
          <w:szCs w:val="20"/>
          <w:color w:val="auto"/>
        </w:rPr>
      </w:pPr>
      <w:r>
        <w:rPr>
          <w:rFonts w:ascii="Arial" w:cs="Arial" w:eastAsia="Arial" w:hAnsi="Arial"/>
          <w:sz w:val="15"/>
          <w:szCs w:val="15"/>
          <w:color w:val="auto"/>
        </w:rPr>
        <w:t>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5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740"/>
          </w:cols>
          <w:pgMar w:left="320" w:top="440" w:right="83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84" w:lineRule="exact"/>
        <w:rPr>
          <w:sz w:val="20"/>
          <w:szCs w:val="20"/>
          <w:color w:val="auto"/>
        </w:rPr>
      </w:pPr>
    </w:p>
    <w:tbl>
      <w:tblPr>
        <w:tblLayout w:type="fixed"/>
        <w:tblInd w:w="2120" w:type="dxa"/>
        <w:tblCellMar>
          <w:top w:w="0" w:type="dxa"/>
          <w:left w:w="0" w:type="dxa"/>
          <w:bottom w:w="0" w:type="dxa"/>
          <w:right w:w="0" w:type="dxa"/>
        </w:tblCellMar>
      </w:tblPr>
      <w:tr>
        <w:trPr>
          <w:trHeight w:val="158"/>
        </w:trPr>
        <w:tc>
          <w:tcPr>
            <w:tcW w:w="596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Arial" w:cs="Arial" w:eastAsia="Arial" w:hAnsi="Arial"/>
                <w:sz w:val="13"/>
                <w:szCs w:val="13"/>
                <w:color w:val="auto"/>
              </w:rPr>
              <w:t>October 27, 2020</w:t>
            </w:r>
          </w:p>
        </w:tc>
      </w:tr>
      <w:tr>
        <w:trPr>
          <w:trHeight w:val="195"/>
        </w:trPr>
        <w:tc>
          <w:tcPr>
            <w:tcW w:w="59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18,900</w:t>
            </w:r>
          </w:p>
        </w:tc>
        <w:tc>
          <w:tcPr>
            <w:tcW w:w="8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8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(2,137)</w:t>
            </w: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(2,884)</w:t>
            </w:r>
          </w:p>
        </w:tc>
      </w:tr>
      <w:tr>
        <w:trPr>
          <w:trHeight w:val="208"/>
        </w:trPr>
        <w:tc>
          <w:tcPr>
            <w:tcW w:w="596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46,346</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60" w:firstLine="413"/>
        <w:spacing w:after="0" w:line="253" w:lineRule="auto"/>
        <w:rPr>
          <w:sz w:val="20"/>
          <w:szCs w:val="20"/>
          <w:color w:val="auto"/>
        </w:rPr>
      </w:pPr>
      <w:r>
        <w:rPr>
          <w:rFonts w:ascii="Arial" w:cs="Arial" w:eastAsia="Arial" w:hAnsi="Arial"/>
          <w:sz w:val="17"/>
          <w:szCs w:val="17"/>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 on determination of fair value.</w:t>
      </w:r>
    </w:p>
    <w:p>
      <w:pPr>
        <w:spacing w:after="0" w:line="182"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1" w:lineRule="exact"/>
        <w:rPr>
          <w:sz w:val="20"/>
          <w:szCs w:val="20"/>
          <w:color w:val="auto"/>
        </w:rPr>
      </w:pPr>
    </w:p>
    <w:p>
      <w:pPr>
        <w:jc w:val="both"/>
        <w:ind w:left="460" w:right="60" w:firstLine="413"/>
        <w:spacing w:after="0" w:line="260" w:lineRule="auto"/>
        <w:rPr>
          <w:sz w:val="20"/>
          <w:szCs w:val="20"/>
          <w:color w:val="auto"/>
        </w:rPr>
      </w:pPr>
      <w:r>
        <w:rPr>
          <w:rFonts w:ascii="Arial" w:cs="Arial" w:eastAsia="Arial" w:hAnsi="Arial"/>
          <w:sz w:val="17"/>
          <w:szCs w:val="17"/>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75"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65" w:lineRule="exact"/>
        <w:rPr>
          <w:sz w:val="20"/>
          <w:szCs w:val="20"/>
          <w:color w:val="auto"/>
        </w:rPr>
      </w:pPr>
    </w:p>
    <w:p>
      <w:pPr>
        <w:ind w:left="460" w:right="180" w:firstLine="413"/>
        <w:spacing w:after="0" w:line="256" w:lineRule="auto"/>
        <w:rPr>
          <w:sz w:val="20"/>
          <w:szCs w:val="20"/>
          <w:color w:val="auto"/>
        </w:rPr>
      </w:pPr>
      <w:r>
        <w:rPr>
          <w:rFonts w:ascii="Arial" w:cs="Arial" w:eastAsia="Arial" w:hAnsi="Arial"/>
          <w:sz w:val="17"/>
          <w:szCs w:val="17"/>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780"/>
          </w:cols>
          <w:pgMar w:left="320" w:top="440" w:right="79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80" w:firstLine="413"/>
        <w:spacing w:after="0" w:line="303" w:lineRule="auto"/>
        <w:rPr>
          <w:sz w:val="20"/>
          <w:szCs w:val="20"/>
          <w:color w:val="auto"/>
        </w:rPr>
      </w:pPr>
      <w:r>
        <w:rPr>
          <w:rFonts w:ascii="Arial" w:cs="Arial" w:eastAsia="Arial" w:hAnsi="Arial"/>
          <w:sz w:val="16"/>
          <w:szCs w:val="16"/>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43"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income (loss).</w:t>
      </w:r>
    </w:p>
    <w:p>
      <w:pPr>
        <w:spacing w:after="0" w:line="165" w:lineRule="exact"/>
        <w:rPr>
          <w:sz w:val="20"/>
          <w:szCs w:val="20"/>
          <w:color w:val="auto"/>
        </w:rPr>
      </w:pPr>
    </w:p>
    <w:p>
      <w:pPr>
        <w:ind w:left="460" w:right="520" w:firstLine="413"/>
        <w:spacing w:after="0" w:line="260" w:lineRule="auto"/>
        <w:rPr>
          <w:sz w:val="20"/>
          <w:szCs w:val="20"/>
          <w:color w:val="auto"/>
        </w:rPr>
      </w:pPr>
      <w:r>
        <w:rPr>
          <w:rFonts w:ascii="Arial" w:cs="Arial" w:eastAsia="Arial" w:hAnsi="Arial"/>
          <w:sz w:val="17"/>
          <w:szCs w:val="17"/>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Unaudited Pro Forma Supplementary Data</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tcPr>
          <w:p>
            <w:pPr>
              <w:jc w:val="right"/>
              <w:ind w:right="1180"/>
              <w:spacing w:after="0"/>
              <w:rPr>
                <w:sz w:val="20"/>
                <w:szCs w:val="20"/>
                <w:color w:val="auto"/>
              </w:rPr>
            </w:pPr>
            <w:r>
              <w:rPr>
                <w:rFonts w:ascii="Arial" w:cs="Arial" w:eastAsia="Arial" w:hAnsi="Arial"/>
                <w:sz w:val="13"/>
                <w:szCs w:val="13"/>
                <w:color w:val="auto"/>
                <w:w w:val="98"/>
              </w:rPr>
              <w:t>Year Ended</w:t>
            </w:r>
          </w:p>
        </w:tc>
        <w:tc>
          <w:tcPr>
            <w:tcW w:w="16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color w:val="auto"/>
              </w:rPr>
              <w:t>Year Ended</w:t>
            </w:r>
          </w:p>
        </w:tc>
      </w:tr>
      <w:tr>
        <w:trPr>
          <w:trHeight w:val="158"/>
        </w:trPr>
        <w:tc>
          <w:tcPr>
            <w:tcW w:w="4660" w:type="dxa"/>
            <w:vAlign w:val="bottom"/>
          </w:tcPr>
          <w:p>
            <w:pPr>
              <w:spacing w:after="0"/>
              <w:rPr>
                <w:sz w:val="20"/>
                <w:szCs w:val="20"/>
                <w:color w:val="auto"/>
              </w:rPr>
            </w:pPr>
            <w:r>
              <w:rPr>
                <w:rFonts w:ascii="Arial" w:cs="Arial" w:eastAsia="Arial" w:hAnsi="Arial"/>
                <w:sz w:val="13"/>
                <w:szCs w:val="13"/>
                <w:color w:val="auto"/>
              </w:rPr>
              <w:t>(in thousands)</w:t>
            </w:r>
          </w:p>
        </w:tc>
        <w:tc>
          <w:tcPr>
            <w:tcW w:w="2020" w:type="dxa"/>
            <w:vAlign w:val="bottom"/>
            <w:gridSpan w:val="3"/>
          </w:tcPr>
          <w:p>
            <w:pPr>
              <w:spacing w:after="0"/>
              <w:rPr>
                <w:sz w:val="20"/>
                <w:szCs w:val="20"/>
                <w:color w:val="auto"/>
              </w:rPr>
            </w:pPr>
            <w:r>
              <w:rPr>
                <w:rFonts w:ascii="Arial" w:cs="Arial" w:eastAsia="Arial" w:hAnsi="Arial"/>
                <w:sz w:val="13"/>
                <w:szCs w:val="13"/>
                <w:color w:val="auto"/>
              </w:rPr>
              <w:t>December 31, 2020</w:t>
            </w:r>
          </w:p>
        </w:tc>
        <w:tc>
          <w:tcPr>
            <w:tcW w:w="1160" w:type="dxa"/>
            <w:vAlign w:val="bottom"/>
            <w:gridSpan w:val="3"/>
          </w:tcPr>
          <w:p>
            <w:pPr>
              <w:spacing w:after="0"/>
              <w:rPr>
                <w:sz w:val="20"/>
                <w:szCs w:val="20"/>
                <w:color w:val="auto"/>
              </w:rPr>
            </w:pPr>
            <w:r>
              <w:rPr>
                <w:rFonts w:ascii="Arial" w:cs="Arial" w:eastAsia="Arial" w:hAnsi="Arial"/>
                <w:sz w:val="13"/>
                <w:szCs w:val="13"/>
                <w:color w:val="auto"/>
                <w:w w:val="99"/>
              </w:rPr>
              <w:t>December 31, 2019</w:t>
            </w:r>
          </w:p>
        </w:tc>
      </w:tr>
      <w:tr>
        <w:trPr>
          <w:trHeight w:val="195"/>
        </w:trPr>
        <w:tc>
          <w:tcPr>
            <w:tcW w:w="4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122,333</w:t>
            </w:r>
          </w:p>
        </w:tc>
        <w:tc>
          <w:tcPr>
            <w:tcW w:w="9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87,157</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4660" w:type="dxa"/>
            <w:vAlign w:val="bottom"/>
          </w:tcPr>
          <w:p>
            <w:pPr>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8"/>
                <w:szCs w:val="18"/>
                <w:color w:val="auto"/>
              </w:rPr>
            </w:pPr>
          </w:p>
        </w:tc>
        <w:tc>
          <w:tcPr>
            <w:tcW w:w="1880" w:type="dxa"/>
            <w:vAlign w:val="bottom"/>
            <w:gridSpan w:val="2"/>
          </w:tcPr>
          <w:p>
            <w:pPr>
              <w:jc w:val="right"/>
              <w:ind w:right="900"/>
              <w:spacing w:after="0"/>
              <w:rPr>
                <w:sz w:val="20"/>
                <w:szCs w:val="20"/>
                <w:color w:val="auto"/>
              </w:rPr>
            </w:pPr>
            <w:r>
              <w:rPr>
                <w:rFonts w:ascii="Arial" w:cs="Arial" w:eastAsia="Arial" w:hAnsi="Arial"/>
                <w:sz w:val="17"/>
                <w:szCs w:val="17"/>
                <w:color w:val="auto"/>
              </w:rPr>
              <w:t>(58,350)</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(97,134)</w:t>
            </w:r>
          </w:p>
        </w:tc>
      </w:tr>
    </w:tbl>
    <w:p>
      <w:pPr>
        <w:spacing w:after="0" w:line="17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unaudited pro forma supplementary data presented in the table above shows the effect of the Monocl and Definitive Holdco Acquisitions, as if</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transactions had occurred at the beginning of fiscal year 2019. The pro forma net loss includes adjustments to amortization expense for the valuation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other intangible assets of $0.8 million and $1.2 million and interest expense related to incremental borrowings used to finance the transaction of</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 million and $1.2 million for the years ended December 31, 2020 and 2019, respectively. Acquisition expenses of $0.4 million were excluded from</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 forma net loss for the year ended December 31, 2020 and included in the pro forma net loss for the year-ended December 31, 2019. The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unaudited pro forma supplementary data is provided for informational purposes only and should not be construed to be indicative of the Company’s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results of operations had the acquisition been consummated on the date assumed or of the Company’s results of operations for any future date.</w:t>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2019 acquisitions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Definitive Holdco (“Definitive Holdco Acquisition”)</w:t>
      </w:r>
    </w:p>
    <w:p>
      <w:pPr>
        <w:spacing w:after="0" w:line="108" w:lineRule="exact"/>
        <w:rPr>
          <w:sz w:val="20"/>
          <w:szCs w:val="20"/>
          <w:color w:val="auto"/>
        </w:rPr>
      </w:pPr>
    </w:p>
    <w:p>
      <w:pPr>
        <w:jc w:val="both"/>
        <w:ind w:left="460" w:right="380" w:firstLine="413"/>
        <w:spacing w:after="0" w:line="260" w:lineRule="auto"/>
        <w:rPr>
          <w:sz w:val="20"/>
          <w:szCs w:val="20"/>
          <w:color w:val="auto"/>
        </w:rPr>
      </w:pPr>
      <w:r>
        <w:rPr>
          <w:rFonts w:ascii="Arial" w:cs="Arial" w:eastAsia="Arial" w:hAnsi="Arial"/>
          <w:sz w:val="17"/>
          <w:szCs w:val="17"/>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75" w:lineRule="exact"/>
        <w:rPr>
          <w:sz w:val="20"/>
          <w:szCs w:val="20"/>
          <w:color w:val="auto"/>
        </w:rPr>
      </w:pPr>
    </w:p>
    <w:p>
      <w:pPr>
        <w:ind w:left="460" w:right="840" w:firstLine="413"/>
        <w:spacing w:after="0" w:line="272" w:lineRule="auto"/>
        <w:rPr>
          <w:sz w:val="20"/>
          <w:szCs w:val="20"/>
          <w:color w:val="auto"/>
        </w:rPr>
      </w:pPr>
      <w:r>
        <w:rPr>
          <w:rFonts w:ascii="Arial" w:cs="Arial" w:eastAsia="Arial" w:hAnsi="Arial"/>
          <w:sz w:val="17"/>
          <w:szCs w:val="17"/>
          <w:color w:val="auto"/>
        </w:rPr>
        <w:t>For purposes of the Agreement, affiliated legal entities of Advent include Advent IX Funds, AIDH Holdings, Inc. (“AIDH Holdings”), AIDH TopCo, AIDH Buyer, and AIDH Finance Sub, LLC (“AIDH Finance Sub”).</w:t>
      </w:r>
    </w:p>
    <w:p>
      <w:pPr>
        <w:spacing w:after="0" w:line="165" w:lineRule="exact"/>
        <w:rPr>
          <w:sz w:val="20"/>
          <w:szCs w:val="20"/>
          <w:color w:val="auto"/>
        </w:rPr>
      </w:pPr>
    </w:p>
    <w:p>
      <w:pPr>
        <w:jc w:val="both"/>
        <w:ind w:left="460" w:right="160" w:firstLine="413"/>
        <w:spacing w:after="0" w:line="260" w:lineRule="auto"/>
        <w:rPr>
          <w:sz w:val="20"/>
          <w:szCs w:val="20"/>
          <w:color w:val="auto"/>
        </w:rPr>
      </w:pPr>
      <w:r>
        <w:rPr>
          <w:rFonts w:ascii="Arial" w:cs="Arial" w:eastAsia="Arial" w:hAnsi="Arial"/>
          <w:sz w:val="17"/>
          <w:szCs w:val="17"/>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transactions outlined in the Agreement were executed as follows:</w:t>
      </w:r>
    </w:p>
    <w:p>
      <w:pPr>
        <w:spacing w:after="0" w:line="108" w:lineRule="exact"/>
        <w:rPr>
          <w:sz w:val="20"/>
          <w:szCs w:val="20"/>
          <w:color w:val="auto"/>
        </w:rPr>
      </w:pPr>
    </w:p>
    <w:p>
      <w:pPr>
        <w:ind w:left="460" w:right="320" w:firstLine="410"/>
        <w:spacing w:after="0" w:line="277" w:lineRule="auto"/>
        <w:tabs>
          <w:tab w:leader="none" w:pos="116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780"/>
          </w:cols>
          <w:pgMar w:left="320" w:top="440" w:right="79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0" w:firstLine="410"/>
        <w:spacing w:after="0" w:line="272" w:lineRule="auto"/>
        <w:tabs>
          <w:tab w:leader="none" w:pos="116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64" w:lineRule="exact"/>
        <w:rPr>
          <w:rFonts w:ascii="Arial" w:cs="Arial" w:eastAsia="Arial" w:hAnsi="Arial"/>
          <w:sz w:val="17"/>
          <w:szCs w:val="17"/>
          <w:color w:val="auto"/>
        </w:rPr>
      </w:pPr>
    </w:p>
    <w:p>
      <w:pPr>
        <w:ind w:left="460" w:firstLine="410"/>
        <w:spacing w:after="0" w:line="260" w:lineRule="auto"/>
        <w:tabs>
          <w:tab w:leader="none" w:pos="116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214"/>
        </w:trPr>
        <w:tc>
          <w:tcPr>
            <w:tcW w:w="732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2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124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1,129,346</w:t>
            </w:r>
          </w:p>
        </w:tc>
      </w:tr>
      <w:tr>
        <w:trPr>
          <w:trHeight w:val="203"/>
        </w:trPr>
        <w:tc>
          <w:tcPr>
            <w:tcW w:w="124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Common units issued</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570,266</w:t>
            </w:r>
          </w:p>
        </w:tc>
      </w:tr>
      <w:tr>
        <w:trPr>
          <w:trHeight w:val="25"/>
        </w:trPr>
        <w:tc>
          <w:tcPr>
            <w:tcW w:w="1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124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1,699,612</w:t>
            </w:r>
          </w:p>
        </w:tc>
      </w:tr>
      <w:tr>
        <w:trPr>
          <w:trHeight w:val="20"/>
        </w:trPr>
        <w:tc>
          <w:tcPr>
            <w:tcW w:w="12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Of the total cash consideration, $1,122.4 million was paid upon closing and $6.9 million in July 2020. Cash consideration for the acquisition was partly provided by net proceeds from the 2019 Term Loan, as outlined above.</w:t>
      </w:r>
    </w:p>
    <w:p>
      <w:pPr>
        <w:spacing w:after="0" w:line="165" w:lineRule="exact"/>
        <w:rPr>
          <w:sz w:val="20"/>
          <w:szCs w:val="20"/>
          <w:color w:val="auto"/>
        </w:rPr>
      </w:pPr>
    </w:p>
    <w:p>
      <w:pPr>
        <w:ind w:left="460" w:right="80" w:firstLine="413"/>
        <w:spacing w:after="0" w:line="303" w:lineRule="auto"/>
        <w:rPr>
          <w:sz w:val="20"/>
          <w:szCs w:val="20"/>
          <w:color w:val="auto"/>
        </w:rPr>
      </w:pPr>
      <w:r>
        <w:rPr>
          <w:rFonts w:ascii="Arial" w:cs="Arial" w:eastAsia="Arial" w:hAnsi="Arial"/>
          <w:sz w:val="16"/>
          <w:szCs w:val="16"/>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31"/>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87"/>
              </w:rPr>
              <w:t>Predecessor</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gridSpan w:val="6"/>
            <w:vMerge w:val="restart"/>
          </w:tcPr>
          <w:p>
            <w:pPr>
              <w:ind w:left="200"/>
              <w:spacing w:after="0"/>
              <w:rPr>
                <w:sz w:val="20"/>
                <w:szCs w:val="20"/>
                <w:color w:val="auto"/>
              </w:rPr>
            </w:pPr>
            <w:r>
              <w:rPr>
                <w:rFonts w:ascii="Arial" w:cs="Arial" w:eastAsia="Arial" w:hAnsi="Arial"/>
                <w:sz w:val="13"/>
                <w:szCs w:val="13"/>
                <w:b w:val="1"/>
                <w:bCs w:val="1"/>
                <w:color w:val="auto"/>
              </w:rPr>
              <w:t>Successor Company</w:t>
            </w:r>
          </w:p>
        </w:tc>
        <w:tc>
          <w:tcPr>
            <w:tcW w:w="0" w:type="dxa"/>
            <w:vAlign w:val="bottom"/>
          </w:tcPr>
          <w:p>
            <w:pPr>
              <w:spacing w:after="0" w:line="20" w:lineRule="exact"/>
              <w:rPr>
                <w:sz w:val="1"/>
                <w:szCs w:val="1"/>
                <w:color w:val="auto"/>
              </w:rPr>
            </w:pPr>
          </w:p>
        </w:tc>
      </w:tr>
      <w:tr>
        <w:trPr>
          <w:trHeight w:val="119"/>
        </w:trPr>
        <w:tc>
          <w:tcPr>
            <w:tcW w:w="37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Company</w:t>
            </w:r>
          </w:p>
        </w:tc>
        <w:tc>
          <w:tcPr>
            <w:tcW w:w="26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7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7"/>
              </w:rPr>
              <w:t>Carrying</w:t>
            </w:r>
          </w:p>
        </w:tc>
        <w:tc>
          <w:tcPr>
            <w:tcW w:w="280" w:type="dxa"/>
            <w:vAlign w:val="bottom"/>
          </w:tcPr>
          <w:p>
            <w:pPr>
              <w:spacing w:after="0"/>
              <w:rPr>
                <w:sz w:val="9"/>
                <w:szCs w:val="9"/>
                <w:color w:val="auto"/>
              </w:rPr>
            </w:pPr>
          </w:p>
        </w:tc>
        <w:tc>
          <w:tcPr>
            <w:tcW w:w="260" w:type="dxa"/>
            <w:vAlign w:val="bottom"/>
            <w:tcBorders>
              <w:left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37"/>
              <w:spacing w:after="0" w:line="114" w:lineRule="exact"/>
              <w:rPr>
                <w:sz w:val="20"/>
                <w:szCs w:val="20"/>
                <w:color w:val="auto"/>
              </w:rPr>
            </w:pPr>
            <w:r>
              <w:rPr>
                <w:rFonts w:ascii="Arial" w:cs="Arial" w:eastAsia="Arial" w:hAnsi="Arial"/>
                <w:sz w:val="13"/>
                <w:szCs w:val="13"/>
                <w:color w:val="auto"/>
                <w:w w:val="99"/>
              </w:rPr>
              <w:t>Final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gridSpan w:val="3"/>
          </w:tcPr>
          <w:p>
            <w:pPr>
              <w:jc w:val="center"/>
              <w:ind w:right="280"/>
              <w:spacing w:after="0" w:line="139" w:lineRule="exact"/>
              <w:rPr>
                <w:sz w:val="20"/>
                <w:szCs w:val="20"/>
                <w:color w:val="auto"/>
              </w:rPr>
            </w:pPr>
            <w:r>
              <w:rPr>
                <w:rFonts w:ascii="Arial" w:cs="Arial" w:eastAsia="Arial" w:hAnsi="Arial"/>
                <w:sz w:val="13"/>
                <w:szCs w:val="13"/>
                <w:color w:val="auto"/>
                <w:w w:val="89"/>
              </w:rPr>
              <w:t>Values as of</w:t>
            </w:r>
          </w:p>
        </w:tc>
        <w:tc>
          <w:tcPr>
            <w:tcW w:w="2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w w:val="94"/>
              </w:rPr>
              <w:t>Fair Value</w:t>
            </w:r>
          </w:p>
        </w:tc>
        <w:tc>
          <w:tcPr>
            <w:tcW w:w="60" w:type="dxa"/>
            <w:vAlign w:val="bottom"/>
          </w:tcPr>
          <w:p>
            <w:pPr>
              <w:spacing w:after="0"/>
              <w:rPr>
                <w:sz w:val="12"/>
                <w:szCs w:val="12"/>
                <w:color w:val="auto"/>
              </w:rPr>
            </w:pPr>
          </w:p>
        </w:tc>
        <w:tc>
          <w:tcPr>
            <w:tcW w:w="880" w:type="dxa"/>
            <w:vAlign w:val="bottom"/>
            <w:gridSpan w:val="3"/>
          </w:tcPr>
          <w:p>
            <w:pPr>
              <w:jc w:val="center"/>
              <w:ind w:right="100"/>
              <w:spacing w:after="0" w:line="139" w:lineRule="exact"/>
              <w:rPr>
                <w:sz w:val="20"/>
                <w:szCs w:val="20"/>
                <w:color w:val="auto"/>
              </w:rPr>
            </w:pPr>
            <w:r>
              <w:rPr>
                <w:rFonts w:ascii="Arial" w:cs="Arial" w:eastAsia="Arial" w:hAnsi="Arial"/>
                <w:sz w:val="13"/>
                <w:szCs w:val="13"/>
                <w:color w:val="auto"/>
                <w:w w:val="98"/>
              </w:rPr>
              <w:t>Allocations</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3"/>
                <w:szCs w:val="13"/>
                <w:color w:val="auto"/>
                <w:w w:val="93"/>
              </w:rPr>
              <w:t>July 15, 2019</w:t>
            </w:r>
          </w:p>
        </w:tc>
        <w:tc>
          <w:tcPr>
            <w:tcW w:w="260" w:type="dxa"/>
            <w:vAlign w:val="bottom"/>
            <w:tcBorders>
              <w:left w:val="single" w:sz="8" w:color="auto"/>
            </w:tcBorders>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w w:val="97"/>
              </w:rPr>
              <w:t>Adjustments</w:t>
            </w:r>
          </w:p>
        </w:tc>
        <w:tc>
          <w:tcPr>
            <w:tcW w:w="6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color w:val="auto"/>
                <w:w w:val="95"/>
              </w:rPr>
              <w:t>July 16, 2019</w:t>
            </w:r>
          </w:p>
        </w:tc>
        <w:tc>
          <w:tcPr>
            <w:tcW w:w="0" w:type="dxa"/>
            <w:vAlign w:val="bottom"/>
          </w:tcPr>
          <w:p>
            <w:pPr>
              <w:spacing w:after="0"/>
              <w:rPr>
                <w:sz w:val="1"/>
                <w:szCs w:val="1"/>
                <w:color w:val="auto"/>
              </w:rPr>
            </w:pPr>
          </w:p>
        </w:tc>
      </w:tr>
      <w:tr>
        <w:trPr>
          <w:trHeight w:val="195"/>
        </w:trPr>
        <w:tc>
          <w:tcPr>
            <w:tcW w:w="3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w:t>
            </w:r>
          </w:p>
        </w:tc>
        <w:tc>
          <w:tcPr>
            <w:tcW w:w="2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left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Accounts receivable</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12,747</w:t>
            </w:r>
          </w:p>
        </w:tc>
        <w:tc>
          <w:tcPr>
            <w:tcW w:w="2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5,735</w:t>
            </w:r>
          </w:p>
        </w:tc>
        <w:tc>
          <w:tcPr>
            <w:tcW w:w="2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(5,735)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1,539</w:t>
            </w:r>
          </w:p>
        </w:tc>
        <w:tc>
          <w:tcPr>
            <w:tcW w:w="2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1,689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w:t>
            </w:r>
          </w:p>
        </w:tc>
        <w:tc>
          <w:tcPr>
            <w:tcW w:w="2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2,201</w:t>
            </w:r>
          </w:p>
        </w:tc>
        <w:tc>
          <w:tcPr>
            <w:tcW w:w="2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19,108</w:t>
            </w:r>
          </w:p>
        </w:tc>
        <w:tc>
          <w:tcPr>
            <w:tcW w:w="2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456,292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(5,477)</w:t>
            </w:r>
          </w:p>
        </w:tc>
        <w:tc>
          <w:tcPr>
            <w:tcW w:w="2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684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(4,793)</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(38,278)</w:t>
            </w:r>
          </w:p>
        </w:tc>
        <w:tc>
          <w:tcPr>
            <w:tcW w:w="2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7"/>
                <w:szCs w:val="17"/>
                <w:color w:val="auto"/>
              </w:rPr>
              <w:t>Total assets acquired and liabilities assumed</w:t>
            </w: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14,682</w:t>
            </w:r>
          </w:p>
        </w:tc>
        <w:tc>
          <w:tcPr>
            <w:tcW w:w="2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457,669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472,351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82,767</w:t>
            </w:r>
          </w:p>
        </w:tc>
        <w:tc>
          <w:tcPr>
            <w:tcW w:w="3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1,144,494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1,227,261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7"/>
                <w:szCs w:val="17"/>
                <w:color w:val="auto"/>
              </w:rPr>
              <w:t>Total purchase price</w:t>
            </w: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8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1,699,612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700" w:type="dxa"/>
            <w:vAlign w:val="bottom"/>
            <w:gridSpan w:val="2"/>
            <w:vMerge w:val="restart"/>
          </w:tcPr>
          <w:p>
            <w:pPr>
              <w:jc w:val="right"/>
              <w:ind w:right="1511"/>
              <w:spacing w:after="0"/>
              <w:rPr>
                <w:sz w:val="20"/>
                <w:szCs w:val="20"/>
                <w:color w:val="auto"/>
              </w:rPr>
            </w:pPr>
            <w:r>
              <w:rPr>
                <w:rFonts w:ascii="Arial" w:cs="Arial" w:eastAsia="Arial" w:hAnsi="Arial"/>
                <w:sz w:val="17"/>
                <w:szCs w:val="17"/>
                <w:color w:val="auto"/>
              </w:rPr>
              <w:t>F-27</w:t>
            </w: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780" w:type="dxa"/>
            <w:vAlign w:val="bottom"/>
          </w:tcPr>
          <w:p>
            <w:pPr>
              <w:spacing w:after="0"/>
              <w:rPr>
                <w:sz w:val="24"/>
                <w:szCs w:val="24"/>
                <w:color w:val="auto"/>
              </w:rPr>
            </w:pPr>
          </w:p>
        </w:tc>
        <w:tc>
          <w:tcPr>
            <w:tcW w:w="27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0" w:right="81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311" w:lineRule="auto"/>
        <w:rPr>
          <w:sz w:val="20"/>
          <w:szCs w:val="20"/>
          <w:color w:val="auto"/>
        </w:rPr>
      </w:pPr>
      <w:r>
        <w:rPr>
          <w:rFonts w:ascii="Arial" w:cs="Arial" w:eastAsia="Arial" w:hAnsi="Arial"/>
          <w:sz w:val="15"/>
          <w:szCs w:val="15"/>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Predecessor</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Debt</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80" w:type="dxa"/>
            <w:vAlign w:val="bottom"/>
            <w:tcBorders>
              <w:left w:val="single" w:sz="8" w:color="auto"/>
            </w:tcBorders>
          </w:tcPr>
          <w:p>
            <w:pPr>
              <w:spacing w:after="0"/>
              <w:rPr>
                <w:sz w:val="12"/>
                <w:szCs w:val="12"/>
                <w:color w:val="auto"/>
              </w:rPr>
            </w:pPr>
          </w:p>
        </w:tc>
        <w:tc>
          <w:tcPr>
            <w:tcW w:w="8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4"/>
              </w:rPr>
              <w:t>Financing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6"/>
              </w:rPr>
              <w:t>Fair Value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85"/>
              </w:rPr>
              <w:t>Successor</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July 15,</w:t>
            </w:r>
          </w:p>
        </w:tc>
        <w:tc>
          <w:tcPr>
            <w:tcW w:w="28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39" w:lineRule="exact"/>
              <w:rPr>
                <w:sz w:val="20"/>
                <w:szCs w:val="20"/>
                <w:color w:val="auto"/>
              </w:rPr>
            </w:pPr>
            <w:r>
              <w:rPr>
                <w:rFonts w:ascii="Arial" w:cs="Arial" w:eastAsia="Arial" w:hAnsi="Arial"/>
                <w:sz w:val="13"/>
                <w:szCs w:val="13"/>
                <w:b w:val="1"/>
                <w:bCs w:val="1"/>
                <w:color w:val="auto"/>
                <w:w w:val="92"/>
              </w:rPr>
              <w:t>/ Finance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38"/>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3"/>
                <w:szCs w:val="13"/>
                <w:color w:val="auto"/>
              </w:rPr>
            </w:pPr>
          </w:p>
        </w:tc>
        <w:tc>
          <w:tcPr>
            <w:tcW w:w="28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Merger</w:t>
            </w:r>
          </w:p>
        </w:tc>
        <w:tc>
          <w:tcPr>
            <w:tcW w:w="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6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July 16,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w:t>
            </w:r>
          </w:p>
        </w:tc>
        <w:tc>
          <w:tcPr>
            <w:tcW w:w="1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left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Accounts receivable</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12,747</w:t>
            </w:r>
          </w:p>
        </w:tc>
        <w:tc>
          <w:tcPr>
            <w:tcW w:w="28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1,539</w:t>
            </w:r>
          </w:p>
        </w:tc>
        <w:tc>
          <w:tcPr>
            <w:tcW w:w="2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5,735</w:t>
            </w:r>
          </w:p>
        </w:tc>
        <w:tc>
          <w:tcPr>
            <w:tcW w:w="28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(5,735)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2,201</w:t>
            </w:r>
          </w:p>
        </w:tc>
        <w:tc>
          <w:tcPr>
            <w:tcW w:w="2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Intangible assets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19,108</w:t>
            </w:r>
          </w:p>
        </w:tc>
        <w:tc>
          <w:tcPr>
            <w:tcW w:w="28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456,292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82,767</w:t>
            </w:r>
          </w:p>
        </w:tc>
        <w:tc>
          <w:tcPr>
            <w:tcW w:w="2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1,144,494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1,227,261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Other assets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49</w:t>
            </w:r>
          </w:p>
        </w:tc>
        <w:tc>
          <w:tcPr>
            <w:tcW w:w="240" w:type="dxa"/>
            <w:vAlign w:val="bottom"/>
          </w:tcPr>
          <w:p>
            <w:pPr>
              <w:spacing w:after="0"/>
              <w:rPr>
                <w:sz w:val="17"/>
                <w:szCs w:val="17"/>
                <w:color w:val="auto"/>
              </w:rPr>
            </w:pPr>
          </w:p>
        </w:tc>
        <w:tc>
          <w:tcPr>
            <w:tcW w:w="28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14,589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14,638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141,204</w:t>
            </w:r>
          </w:p>
        </w:tc>
        <w:tc>
          <w:tcPr>
            <w:tcW w:w="240" w:type="dxa"/>
            <w:vAlign w:val="bottom"/>
            <w:shd w:val="clear" w:color="auto" w:fill="CCEEFF"/>
          </w:tcPr>
          <w:p>
            <w:pPr>
              <w:spacing w:after="0"/>
              <w:rPr>
                <w:sz w:val="17"/>
                <w:szCs w:val="17"/>
                <w:color w:val="auto"/>
              </w:rPr>
            </w:pPr>
          </w:p>
        </w:tc>
        <w:tc>
          <w:tcPr>
            <w:tcW w:w="2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1,595,201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1,751,010</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7"/>
                <w:szCs w:val="17"/>
                <w:color w:val="auto"/>
              </w:rPr>
              <w:t>Accounts payable and accrued expenses</w:t>
            </w: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5,477</w:t>
            </w:r>
          </w:p>
        </w:tc>
        <w:tc>
          <w:tcPr>
            <w:tcW w:w="24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10,407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(684)</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15,200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38,278</w:t>
            </w:r>
          </w:p>
        </w:tc>
        <w:tc>
          <w:tcPr>
            <w:tcW w:w="2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Term Loan</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8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436,553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436,553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43,755</w:t>
            </w:r>
          </w:p>
        </w:tc>
        <w:tc>
          <w:tcPr>
            <w:tcW w:w="240" w:type="dxa"/>
            <w:vAlign w:val="bottom"/>
            <w:shd w:val="clear" w:color="auto" w:fill="CCEEFF"/>
          </w:tcPr>
          <w:p>
            <w:pPr>
              <w:spacing w:after="0"/>
              <w:rPr>
                <w:sz w:val="17"/>
                <w:szCs w:val="17"/>
                <w:color w:val="auto"/>
              </w:rPr>
            </w:pPr>
          </w:p>
        </w:tc>
        <w:tc>
          <w:tcPr>
            <w:tcW w:w="2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446,960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(6,962)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483,753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Members’ Capital</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97,449</w:t>
            </w:r>
          </w:p>
        </w:tc>
        <w:tc>
          <w:tcPr>
            <w:tcW w:w="240" w:type="dxa"/>
            <w:vAlign w:val="bottom"/>
          </w:tcPr>
          <w:p>
            <w:pPr>
              <w:spacing w:after="0"/>
              <w:rPr>
                <w:sz w:val="17"/>
                <w:szCs w:val="17"/>
                <w:color w:val="auto"/>
              </w:rPr>
            </w:pPr>
          </w:p>
        </w:tc>
        <w:tc>
          <w:tcPr>
            <w:tcW w:w="28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(432,355)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1,602,163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1,267,257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141,204</w:t>
            </w:r>
          </w:p>
        </w:tc>
        <w:tc>
          <w:tcPr>
            <w:tcW w:w="240" w:type="dxa"/>
            <w:vAlign w:val="bottom"/>
            <w:shd w:val="clear" w:color="auto" w:fill="CCEEFF"/>
          </w:tcPr>
          <w:p>
            <w:pPr>
              <w:spacing w:after="0"/>
              <w:rPr>
                <w:sz w:val="17"/>
                <w:szCs w:val="17"/>
                <w:color w:val="auto"/>
              </w:rPr>
            </w:pPr>
          </w:p>
        </w:tc>
        <w:tc>
          <w:tcPr>
            <w:tcW w:w="2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1,595,201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1,751,010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75"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75" w:lineRule="exact"/>
        <w:rPr>
          <w:sz w:val="20"/>
          <w:szCs w:val="20"/>
          <w:color w:val="auto"/>
        </w:rPr>
      </w:pPr>
    </w:p>
    <w:p>
      <w:pPr>
        <w:jc w:val="both"/>
        <w:ind w:left="460" w:right="300" w:firstLine="413"/>
        <w:spacing w:after="0" w:line="260" w:lineRule="auto"/>
        <w:rPr>
          <w:sz w:val="20"/>
          <w:szCs w:val="20"/>
          <w:color w:val="auto"/>
        </w:rPr>
      </w:pPr>
      <w:r>
        <w:rPr>
          <w:rFonts w:ascii="Arial" w:cs="Arial" w:eastAsia="Arial" w:hAnsi="Arial"/>
          <w:sz w:val="17"/>
          <w:szCs w:val="17"/>
          <w:color w:val="auto"/>
        </w:rPr>
        <w:t>The Company performed an ASC 805 fair valuation of the acquired identifiable intangible assets as of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75"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1"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1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800"/>
          </w:cols>
          <w:pgMar w:left="320" w:top="440" w:right="77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79"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reconciles the purchase price to the capital contribution made by Sponsor as July 16, 2019 (in thousands):</w:t>
      </w:r>
    </w:p>
    <w:p>
      <w:pPr>
        <w:spacing w:after="0" w:line="248"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1,699,612</w:t>
            </w:r>
          </w:p>
        </w:tc>
        <w:tc>
          <w:tcPr>
            <w:tcW w:w="80" w:type="dxa"/>
            <w:vAlign w:val="bottom"/>
            <w:shd w:val="clear" w:color="auto" w:fill="CCEEFF"/>
          </w:tcPr>
          <w:p>
            <w:pPr>
              <w:spacing w:after="0"/>
              <w:rPr>
                <w:sz w:val="17"/>
                <w:szCs w:val="17"/>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Transaction costs paid from proceeds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4,004</w:t>
            </w:r>
          </w:p>
        </w:tc>
        <w:tc>
          <w:tcPr>
            <w:tcW w:w="80" w:type="dxa"/>
            <w:vAlign w:val="bottom"/>
          </w:tcPr>
          <w:p>
            <w:pPr>
              <w:spacing w:after="0"/>
              <w:rPr>
                <w:sz w:val="17"/>
                <w:szCs w:val="17"/>
                <w:color w:val="auto"/>
              </w:rPr>
            </w:pPr>
          </w:p>
        </w:tc>
      </w:tr>
      <w:tr>
        <w:trPr>
          <w:trHeight w:val="203"/>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Debt Financing</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436,359</w:t>
            </w:r>
          </w:p>
        </w:tc>
        <w:tc>
          <w:tcPr>
            <w:tcW w:w="80" w:type="dxa"/>
            <w:vAlign w:val="bottom"/>
            <w:shd w:val="clear" w:color="auto" w:fill="CCEEFF"/>
          </w:tcPr>
          <w:p>
            <w:pPr>
              <w:spacing w:after="0"/>
              <w:rPr>
                <w:sz w:val="17"/>
                <w:szCs w:val="17"/>
                <w:color w:val="auto"/>
              </w:rPr>
            </w:pPr>
          </w:p>
        </w:tc>
      </w:tr>
      <w:tr>
        <w:trPr>
          <w:trHeight w:val="208"/>
        </w:trPr>
        <w:tc>
          <w:tcPr>
            <w:tcW w:w="608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1,267,257</w:t>
            </w:r>
          </w:p>
        </w:tc>
        <w:tc>
          <w:tcPr>
            <w:tcW w:w="8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60" w:right="420" w:firstLine="413"/>
        <w:spacing w:after="0" w:line="287" w:lineRule="auto"/>
        <w:rPr>
          <w:sz w:val="20"/>
          <w:szCs w:val="20"/>
          <w:color w:val="auto"/>
        </w:rPr>
      </w:pPr>
      <w:r>
        <w:rPr>
          <w:rFonts w:ascii="Arial" w:cs="Arial" w:eastAsia="Arial" w:hAnsi="Arial"/>
          <w:sz w:val="15"/>
          <w:szCs w:val="15"/>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w:t>
      </w:r>
    </w:p>
    <w:p>
      <w:pPr>
        <w:spacing w:after="0" w:line="1" w:lineRule="exact"/>
        <w:rPr>
          <w:sz w:val="20"/>
          <w:szCs w:val="20"/>
          <w:color w:val="auto"/>
        </w:rPr>
      </w:pPr>
    </w:p>
    <w:p>
      <w:pPr>
        <w:jc w:val="both"/>
        <w:ind w:left="460" w:right="260"/>
        <w:spacing w:after="0" w:line="253" w:lineRule="auto"/>
        <w:rPr>
          <w:sz w:val="20"/>
          <w:szCs w:val="20"/>
          <w:color w:val="auto"/>
        </w:rPr>
      </w:pPr>
      <w:r>
        <w:rPr>
          <w:rFonts w:ascii="Arial" w:cs="Arial" w:eastAsia="Arial" w:hAnsi="Arial"/>
          <w:sz w:val="17"/>
          <w:szCs w:val="17"/>
          <w:color w:val="auto"/>
        </w:rPr>
        <w:t>$45.5 million, 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Unaudited Pro Forma Supplementary Data</w:t>
      </w:r>
    </w:p>
    <w:p>
      <w:pPr>
        <w:spacing w:after="0" w:line="219"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w w:val="98"/>
              </w:rPr>
              <w:t>Year Ended</w:t>
            </w:r>
          </w:p>
        </w:tc>
      </w:tr>
      <w:tr>
        <w:trPr>
          <w:trHeight w:val="158"/>
        </w:trPr>
        <w:tc>
          <w:tcPr>
            <w:tcW w:w="5840" w:type="dxa"/>
            <w:vAlign w:val="bottom"/>
          </w:tcPr>
          <w:p>
            <w:pPr>
              <w:spacing w:after="0"/>
              <w:rPr>
                <w:sz w:val="20"/>
                <w:szCs w:val="20"/>
                <w:color w:val="auto"/>
              </w:rPr>
            </w:pPr>
            <w:r>
              <w:rPr>
                <w:rFonts w:ascii="Arial" w:cs="Arial" w:eastAsia="Arial" w:hAnsi="Arial"/>
                <w:sz w:val="13"/>
                <w:szCs w:val="13"/>
                <w:color w:val="auto"/>
              </w:rPr>
              <w:t>(in thousands)</w:t>
            </w:r>
          </w:p>
        </w:tc>
        <w:tc>
          <w:tcPr>
            <w:tcW w:w="1180" w:type="dxa"/>
            <w:vAlign w:val="bottom"/>
            <w:gridSpan w:val="3"/>
          </w:tcPr>
          <w:p>
            <w:pPr>
              <w:spacing w:after="0"/>
              <w:rPr>
                <w:sz w:val="20"/>
                <w:szCs w:val="20"/>
                <w:color w:val="auto"/>
              </w:rPr>
            </w:pPr>
            <w:r>
              <w:rPr>
                <w:rFonts w:ascii="Arial" w:cs="Arial" w:eastAsia="Arial" w:hAnsi="Arial"/>
                <w:sz w:val="13"/>
                <w:szCs w:val="13"/>
                <w:color w:val="auto"/>
              </w:rPr>
              <w:t>December 31, 2019</w:t>
            </w:r>
          </w:p>
        </w:tc>
      </w:tr>
      <w:tr>
        <w:trPr>
          <w:trHeight w:val="195"/>
        </w:trPr>
        <w:tc>
          <w:tcPr>
            <w:tcW w:w="58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84,122</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584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(92,228)</w:t>
            </w:r>
          </w:p>
        </w:tc>
      </w:tr>
    </w:tbl>
    <w:p>
      <w:pPr>
        <w:spacing w:after="0" w:line="178"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6"/>
          <w:szCs w:val="16"/>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6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HIMSS</w:t>
      </w:r>
    </w:p>
    <w:p>
      <w:pPr>
        <w:spacing w:after="0" w:line="108"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On January 15, 2019, the Predecessor Company acquired substantially all of the assets and assumed substantially all of the liabilities of HIMSS for a total purchase price of $29.8 million. The Company recognized</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720"/>
          </w:cols>
          <w:pgMar w:left="320" w:top="440" w:right="85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20"/>
        <w:spacing w:after="0" w:line="270" w:lineRule="auto"/>
        <w:rPr>
          <w:sz w:val="20"/>
          <w:szCs w:val="20"/>
          <w:color w:val="auto"/>
        </w:rPr>
      </w:pPr>
      <w:r>
        <w:rPr>
          <w:rFonts w:ascii="Arial" w:cs="Arial" w:eastAsia="Arial" w:hAnsi="Arial"/>
          <w:sz w:val="16"/>
          <w:szCs w:val="16"/>
          <w:color w:val="auto"/>
        </w:rPr>
        <w:t>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HSE</w:t>
      </w:r>
    </w:p>
    <w:p>
      <w:pPr>
        <w:spacing w:after="0" w:line="108"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1" w:lineRule="exact"/>
        <w:rPr>
          <w:sz w:val="20"/>
          <w:szCs w:val="20"/>
          <w:color w:val="auto"/>
        </w:rPr>
      </w:pPr>
    </w:p>
    <w:p>
      <w:pPr>
        <w:ind w:left="460" w:right="40"/>
        <w:spacing w:after="0" w:line="268" w:lineRule="auto"/>
        <w:rPr>
          <w:sz w:val="20"/>
          <w:szCs w:val="20"/>
          <w:color w:val="auto"/>
        </w:rPr>
      </w:pPr>
      <w:r>
        <w:rPr>
          <w:rFonts w:ascii="Arial" w:cs="Arial" w:eastAsia="Arial" w:hAnsi="Arial"/>
          <w:sz w:val="16"/>
          <w:szCs w:val="16"/>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310" w:lineRule="exact"/>
        <w:rPr>
          <w:sz w:val="20"/>
          <w:szCs w:val="20"/>
          <w:color w:val="auto"/>
        </w:rPr>
      </w:pPr>
    </w:p>
    <w:p>
      <w:pPr>
        <w:ind w:left="860" w:hanging="403"/>
        <w:spacing w:after="0"/>
        <w:tabs>
          <w:tab w:leader="none" w:pos="860"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65" w:lineRule="exact"/>
        <w:rPr>
          <w:sz w:val="20"/>
          <w:szCs w:val="20"/>
          <w:color w:val="auto"/>
        </w:rPr>
      </w:pPr>
    </w:p>
    <w:p>
      <w:pPr>
        <w:ind w:left="460" w:right="80" w:firstLine="413"/>
        <w:spacing w:after="0" w:line="340" w:lineRule="auto"/>
        <w:rPr>
          <w:sz w:val="20"/>
          <w:szCs w:val="20"/>
          <w:color w:val="auto"/>
        </w:rPr>
      </w:pPr>
      <w:r>
        <w:rPr>
          <w:rFonts w:ascii="Arial" w:cs="Arial" w:eastAsia="Arial" w:hAnsi="Arial"/>
          <w:sz w:val="15"/>
          <w:szCs w:val="15"/>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26"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4"/>
            <w:vMerge w:val="restart"/>
          </w:tcPr>
          <w:p>
            <w:pPr>
              <w:jc w:val="right"/>
              <w:ind w:right="222"/>
              <w:spacing w:after="0"/>
              <w:rPr>
                <w:sz w:val="20"/>
                <w:szCs w:val="20"/>
                <w:color w:val="auto"/>
              </w:rPr>
            </w:pPr>
            <w:r>
              <w:rPr>
                <w:rFonts w:ascii="Arial" w:cs="Arial" w:eastAsia="Arial" w:hAnsi="Arial"/>
                <w:sz w:val="13"/>
                <w:szCs w:val="13"/>
                <w:b w:val="1"/>
                <w:bCs w:val="1"/>
                <w:color w:val="auto"/>
              </w:rPr>
              <w:t>Successor Company</w:t>
            </w: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3"/>
                <w:szCs w:val="13"/>
                <w:color w:val="auto"/>
                <w:w w:val="95"/>
              </w:rPr>
              <w:t>Period from</w:t>
            </w:r>
          </w:p>
        </w:tc>
        <w:tc>
          <w:tcPr>
            <w:tcW w:w="2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6"/>
              <w:spacing w:after="0" w:line="114" w:lineRule="exact"/>
              <w:rPr>
                <w:sz w:val="20"/>
                <w:szCs w:val="20"/>
                <w:color w:val="auto"/>
              </w:rPr>
            </w:pPr>
            <w:r>
              <w:rPr>
                <w:rFonts w:ascii="Arial" w:cs="Arial" w:eastAsia="Arial" w:hAnsi="Arial"/>
                <w:sz w:val="13"/>
                <w:szCs w:val="13"/>
                <w:color w:val="auto"/>
                <w:w w:val="95"/>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0"/>
              </w:rPr>
              <w:t>Year Ended</w:t>
            </w:r>
          </w:p>
        </w:tc>
        <w:tc>
          <w:tcPr>
            <w:tcW w:w="1000" w:type="dxa"/>
            <w:vAlign w:val="bottom"/>
            <w:gridSpan w:val="3"/>
          </w:tcPr>
          <w:p>
            <w:pPr>
              <w:jc w:val="center"/>
              <w:ind w:left="44"/>
              <w:spacing w:after="0" w:line="139" w:lineRule="exact"/>
              <w:rPr>
                <w:sz w:val="20"/>
                <w:szCs w:val="20"/>
                <w:color w:val="auto"/>
              </w:rPr>
            </w:pPr>
            <w:r>
              <w:rPr>
                <w:rFonts w:ascii="Arial" w:cs="Arial" w:eastAsia="Arial" w:hAnsi="Arial"/>
                <w:sz w:val="13"/>
                <w:szCs w:val="13"/>
                <w:color w:val="auto"/>
                <w:w w:val="95"/>
              </w:rPr>
              <w:t>July 16, 2019 to</w:t>
            </w:r>
          </w:p>
        </w:tc>
        <w:tc>
          <w:tcPr>
            <w:tcW w:w="260" w:type="dxa"/>
            <w:vAlign w:val="bottom"/>
            <w:tcBorders>
              <w:right w:val="single" w:sz="8" w:color="auto"/>
            </w:tcBorders>
          </w:tcPr>
          <w:p>
            <w:pPr>
              <w:spacing w:after="0"/>
              <w:rPr>
                <w:sz w:val="12"/>
                <w:szCs w:val="12"/>
                <w:color w:val="auto"/>
              </w:rPr>
            </w:pPr>
          </w:p>
        </w:tc>
        <w:tc>
          <w:tcPr>
            <w:tcW w:w="1120" w:type="dxa"/>
            <w:vAlign w:val="bottom"/>
            <w:gridSpan w:val="4"/>
          </w:tcPr>
          <w:p>
            <w:pPr>
              <w:jc w:val="center"/>
              <w:ind w:left="84"/>
              <w:spacing w:after="0" w:line="139" w:lineRule="exact"/>
              <w:rPr>
                <w:sz w:val="20"/>
                <w:szCs w:val="20"/>
                <w:color w:val="auto"/>
              </w:rPr>
            </w:pPr>
            <w:r>
              <w:rPr>
                <w:rFonts w:ascii="Arial" w:cs="Arial" w:eastAsia="Arial" w:hAnsi="Arial"/>
                <w:sz w:val="13"/>
                <w:szCs w:val="13"/>
                <w:color w:val="auto"/>
                <w:w w:val="90"/>
              </w:rPr>
              <w:t>January 1, 2019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440" w:type="dxa"/>
            <w:vAlign w:val="bottom"/>
            <w:gridSpan w:val="3"/>
          </w:tcPr>
          <w:p>
            <w:pPr>
              <w:jc w:val="center"/>
              <w:ind w:left="2561"/>
              <w:spacing w:after="0" w:line="139" w:lineRule="exact"/>
              <w:rPr>
                <w:sz w:val="20"/>
                <w:szCs w:val="20"/>
                <w:color w:val="auto"/>
              </w:rPr>
            </w:pPr>
            <w:r>
              <w:rPr>
                <w:rFonts w:ascii="Arial" w:cs="Arial" w:eastAsia="Arial" w:hAnsi="Arial"/>
                <w:sz w:val="13"/>
                <w:szCs w:val="13"/>
                <w:color w:val="auto"/>
                <w:w w:val="93"/>
              </w:rPr>
              <w:t>December 31,</w:t>
            </w:r>
          </w:p>
        </w:tc>
        <w:tc>
          <w:tcPr>
            <w:tcW w:w="1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3"/>
              </w:rPr>
              <w:t>December 31,</w:t>
            </w:r>
          </w:p>
        </w:tc>
        <w:tc>
          <w:tcPr>
            <w:tcW w:w="2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39" w:lineRule="exact"/>
              <w:rPr>
                <w:sz w:val="20"/>
                <w:szCs w:val="20"/>
                <w:color w:val="auto"/>
              </w:rPr>
            </w:pPr>
            <w:r>
              <w:rPr>
                <w:rFonts w:ascii="Arial" w:cs="Arial" w:eastAsia="Arial" w:hAnsi="Arial"/>
                <w:sz w:val="13"/>
                <w:szCs w:val="13"/>
                <w:color w:val="auto"/>
                <w:w w:val="94"/>
              </w:rPr>
              <w:t>to July 15,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color w:val="auto"/>
                <w:w w:val="89"/>
              </w:rPr>
              <w:t>2020</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color w:val="auto"/>
                <w:w w:val="96"/>
              </w:rPr>
              <w:t>2019</w:t>
            </w:r>
          </w:p>
        </w:tc>
        <w:tc>
          <w:tcPr>
            <w:tcW w:w="260" w:type="dxa"/>
            <w:vAlign w:val="bottom"/>
            <w:tcBorders>
              <w:bottom w:val="single" w:sz="8" w:color="CCEEFF"/>
              <w:right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color w:val="auto"/>
                <w:w w:val="96"/>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Platform subscriptions</w:t>
            </w:r>
          </w:p>
        </w:tc>
        <w:tc>
          <w:tcPr>
            <w:tcW w:w="2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117,080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39,872</w:t>
            </w:r>
          </w:p>
        </w:tc>
        <w:tc>
          <w:tcPr>
            <w:tcW w:w="26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Professional services</w:t>
            </w:r>
          </w:p>
        </w:tc>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118,317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6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20" w:type="dxa"/>
            <w:vAlign w:val="bottom"/>
            <w:gridSpan w:val="2"/>
          </w:tcPr>
          <w:p>
            <w:pPr>
              <w:jc w:val="right"/>
              <w:ind w:right="1109"/>
              <w:spacing w:after="0"/>
              <w:rPr>
                <w:sz w:val="20"/>
                <w:szCs w:val="20"/>
                <w:color w:val="auto"/>
              </w:rPr>
            </w:pPr>
            <w:r>
              <w:rPr>
                <w:rFonts w:ascii="Arial" w:cs="Arial" w:eastAsia="Arial" w:hAnsi="Arial"/>
                <w:sz w:val="17"/>
                <w:szCs w:val="17"/>
                <w:color w:val="auto"/>
              </w:rPr>
              <w:t>F-30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 (in thousands):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4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6"/>
            <w:vMerge w:val="restart"/>
          </w:tcPr>
          <w:p>
            <w:pPr>
              <w:ind w:left="440"/>
              <w:spacing w:after="0"/>
              <w:rPr>
                <w:sz w:val="20"/>
                <w:szCs w:val="20"/>
                <w:color w:val="auto"/>
              </w:rPr>
            </w:pPr>
            <w:r>
              <w:rPr>
                <w:rFonts w:ascii="Arial" w:cs="Arial" w:eastAsia="Arial" w:hAnsi="Arial"/>
                <w:sz w:val="13"/>
                <w:szCs w:val="13"/>
                <w:b w:val="1"/>
                <w:bCs w:val="1"/>
                <w:color w:val="auto"/>
                <w:w w:val="90"/>
              </w:rPr>
              <w:t>Successor Company</w:t>
            </w: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4"/>
            <w:vMerge w:val="restart"/>
          </w:tcPr>
          <w:p>
            <w:pPr>
              <w:jc w:val="right"/>
              <w:ind w:right="34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19"/>
        </w:trPr>
        <w:tc>
          <w:tcPr>
            <w:tcW w:w="4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Company</w:t>
            </w:r>
          </w:p>
        </w:tc>
        <w:tc>
          <w:tcPr>
            <w:tcW w:w="0" w:type="dxa"/>
            <w:vAlign w:val="bottom"/>
          </w:tcPr>
          <w:p>
            <w:pPr>
              <w:spacing w:after="0"/>
              <w:rPr>
                <w:sz w:val="1"/>
                <w:szCs w:val="1"/>
                <w:color w:val="auto"/>
              </w:rPr>
            </w:pPr>
          </w:p>
        </w:tc>
      </w:tr>
      <w:tr>
        <w:trPr>
          <w:trHeight w:val="114"/>
        </w:trPr>
        <w:tc>
          <w:tcPr>
            <w:tcW w:w="42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4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color w:val="auto"/>
              </w:rPr>
              <w:t>December 31,</w:t>
            </w: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color w:val="auto"/>
              </w:rPr>
              <w:t>December 31,</w:t>
            </w: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rPr>
              <w:t>July 16,</w:t>
            </w:r>
          </w:p>
        </w:tc>
        <w:tc>
          <w:tcPr>
            <w:tcW w:w="26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top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rPr>
              <w:t>July 15,</w:t>
            </w:r>
          </w:p>
        </w:tc>
        <w:tc>
          <w:tcPr>
            <w:tcW w:w="5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88"/>
              </w:rPr>
              <w:t>January 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61"/>
              <w:spacing w:after="0"/>
              <w:rPr>
                <w:sz w:val="20"/>
                <w:szCs w:val="20"/>
                <w:color w:val="auto"/>
              </w:rPr>
            </w:pPr>
            <w:r>
              <w:rPr>
                <w:rFonts w:ascii="Arial" w:cs="Arial" w:eastAsia="Arial" w:hAnsi="Arial"/>
                <w:sz w:val="13"/>
                <w:szCs w:val="13"/>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9"/>
              <w:spacing w:after="0"/>
              <w:rPr>
                <w:sz w:val="20"/>
                <w:szCs w:val="20"/>
                <w:color w:val="auto"/>
              </w:rPr>
            </w:pPr>
            <w:r>
              <w:rPr>
                <w:rFonts w:ascii="Arial" w:cs="Arial" w:eastAsia="Arial" w:hAnsi="Arial"/>
                <w:sz w:val="13"/>
                <w:szCs w:val="13"/>
                <w:color w:val="auto"/>
              </w:rPr>
              <w:t>2019</w:t>
            </w:r>
          </w:p>
        </w:tc>
        <w:tc>
          <w:tcPr>
            <w:tcW w:w="120" w:type="dxa"/>
            <w:vAlign w:val="bottom"/>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color w:val="auto"/>
                <w:w w:val="89"/>
              </w:rPr>
              <w:t>2019</w:t>
            </w:r>
          </w:p>
        </w:tc>
        <w:tc>
          <w:tcPr>
            <w:tcW w:w="2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ind w:right="84"/>
              <w:spacing w:after="0"/>
              <w:rPr>
                <w:sz w:val="20"/>
                <w:szCs w:val="20"/>
                <w:color w:val="auto"/>
              </w:rPr>
            </w:pPr>
            <w:r>
              <w:rPr>
                <w:rFonts w:ascii="Arial" w:cs="Arial" w:eastAsia="Arial" w:hAnsi="Arial"/>
                <w:sz w:val="13"/>
                <w:szCs w:val="13"/>
                <w:color w:val="auto"/>
              </w:rPr>
              <w:t>2019</w:t>
            </w:r>
          </w:p>
        </w:tc>
        <w:tc>
          <w:tcPr>
            <w:tcW w:w="140" w:type="dxa"/>
            <w:vAlign w:val="bottom"/>
          </w:tcPr>
          <w:p>
            <w:pPr>
              <w:spacing w:after="0"/>
              <w:rPr>
                <w:sz w:val="13"/>
                <w:szCs w:val="13"/>
                <w:color w:val="auto"/>
              </w:rPr>
            </w:pPr>
          </w:p>
        </w:tc>
        <w:tc>
          <w:tcPr>
            <w:tcW w:w="560" w:type="dxa"/>
            <w:vAlign w:val="bottom"/>
          </w:tcPr>
          <w:p>
            <w:pPr>
              <w:jc w:val="right"/>
              <w:ind w:right="61"/>
              <w:spacing w:after="0"/>
              <w:rPr>
                <w:sz w:val="20"/>
                <w:szCs w:val="20"/>
                <w:color w:val="auto"/>
              </w:rPr>
            </w:pPr>
            <w:r>
              <w:rPr>
                <w:rFonts w:ascii="Arial" w:cs="Arial" w:eastAsia="Arial" w:hAnsi="Arial"/>
                <w:sz w:val="13"/>
                <w:szCs w:val="13"/>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2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Accounts receivables, net</w:t>
            </w:r>
          </w:p>
        </w:tc>
        <w:tc>
          <w:tcPr>
            <w:tcW w:w="1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25,021</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$12,747</w:t>
            </w:r>
          </w:p>
        </w:tc>
        <w:tc>
          <w:tcPr>
            <w:tcW w:w="26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$12,747</w:t>
            </w: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$15,299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2,947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769</w:t>
            </w:r>
          </w:p>
        </w:tc>
        <w:tc>
          <w:tcPr>
            <w:tcW w:w="40" w:type="dxa"/>
            <w:vAlign w:val="bottom"/>
          </w:tcPr>
          <w:p>
            <w:pPr>
              <w:spacing w:after="0"/>
              <w:rPr>
                <w:sz w:val="17"/>
                <w:szCs w:val="17"/>
                <w:color w:val="auto"/>
              </w:rPr>
            </w:pPr>
          </w:p>
        </w:tc>
        <w:tc>
          <w:tcPr>
            <w:tcW w:w="80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1,906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2,116</w:t>
            </w:r>
          </w:p>
        </w:tc>
        <w:tc>
          <w:tcPr>
            <w:tcW w:w="4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7"/>
                <w:szCs w:val="17"/>
                <w:color w:val="auto"/>
              </w:rPr>
              <w:t>Deferred revenues</w:t>
            </w:r>
          </w:p>
        </w:tc>
        <w:tc>
          <w:tcPr>
            <w:tcW w:w="2100" w:type="dxa"/>
            <w:vAlign w:val="bottom"/>
            <w:gridSpan w:val="2"/>
          </w:tcPr>
          <w:p>
            <w:pPr>
              <w:ind w:left="19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61,200</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46,125</w:t>
            </w:r>
          </w:p>
        </w:tc>
        <w:tc>
          <w:tcPr>
            <w:tcW w:w="84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7"/>
                <w:szCs w:val="17"/>
                <w:color w:val="auto"/>
                <w:w w:val="87"/>
              </w:rPr>
              <w:t>$32,000</w:t>
            </w:r>
          </w:p>
        </w:tc>
        <w:tc>
          <w:tcPr>
            <w:tcW w:w="2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$38,278</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$31,458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summary of the activity impacting the deferred contract costs during the year ended December 31, 2020 and the periods from July 16, to</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2019 (Successor) and January 1, 2019 to July 15, 2019 (Predecessor) is presented below (in thousands):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gridSpan w:val="6"/>
            <w:vMerge w:val="restart"/>
          </w:tcPr>
          <w:p>
            <w:pPr>
              <w:jc w:val="right"/>
              <w:ind w:right="980"/>
              <w:spacing w:after="0"/>
              <w:rPr>
                <w:sz w:val="20"/>
                <w:szCs w:val="20"/>
                <w:color w:val="auto"/>
              </w:rPr>
            </w:pPr>
            <w:r>
              <w:rPr>
                <w:rFonts w:ascii="Arial" w:cs="Arial" w:eastAsia="Arial" w:hAnsi="Arial"/>
                <w:sz w:val="13"/>
                <w:szCs w:val="13"/>
                <w:b w:val="1"/>
                <w:bCs w:val="1"/>
                <w:color w:val="auto"/>
              </w:rPr>
              <w:t>Successor Company</w:t>
            </w: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line="20" w:lineRule="exact"/>
              <w:rPr>
                <w:sz w:val="1"/>
                <w:szCs w:val="1"/>
                <w:color w:val="auto"/>
              </w:rPr>
            </w:pPr>
          </w:p>
        </w:tc>
      </w:tr>
      <w:tr>
        <w:trPr>
          <w:trHeight w:val="119"/>
        </w:trPr>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40" w:type="dxa"/>
            <w:vAlign w:val="bottom"/>
            <w:gridSpan w:val="6"/>
            <w:vMerge w:val="continue"/>
          </w:tcPr>
          <w:p>
            <w:pPr>
              <w:spacing w:after="0"/>
              <w:rPr>
                <w:sz w:val="10"/>
                <w:szCs w:val="10"/>
                <w:color w:val="auto"/>
              </w:rPr>
            </w:pPr>
          </w:p>
        </w:tc>
        <w:tc>
          <w:tcPr>
            <w:tcW w:w="7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6"/>
            <w:vMerge w:val="continue"/>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Company</w:t>
            </w:r>
          </w:p>
        </w:tc>
        <w:tc>
          <w:tcPr>
            <w:tcW w:w="0" w:type="dxa"/>
            <w:vAlign w:val="bottom"/>
          </w:tcPr>
          <w:p>
            <w:pPr>
              <w:spacing w:after="0"/>
              <w:rPr>
                <w:sz w:val="1"/>
                <w:szCs w:val="1"/>
                <w:color w:val="auto"/>
              </w:rPr>
            </w:pPr>
          </w:p>
        </w:tc>
      </w:tr>
      <w:tr>
        <w:trPr>
          <w:trHeight w:val="114"/>
        </w:trPr>
        <w:tc>
          <w:tcPr>
            <w:tcW w:w="58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19"/>
              <w:spacing w:after="0" w:line="114" w:lineRule="exact"/>
              <w:rPr>
                <w:sz w:val="20"/>
                <w:szCs w:val="20"/>
                <w:color w:val="auto"/>
              </w:rPr>
            </w:pPr>
            <w:r>
              <w:rPr>
                <w:rFonts w:ascii="Arial" w:cs="Arial" w:eastAsia="Arial" w:hAnsi="Arial"/>
                <w:sz w:val="13"/>
                <w:szCs w:val="13"/>
                <w:color w:val="auto"/>
                <w:w w:val="95"/>
              </w:rPr>
              <w:t>Period from</w:t>
            </w:r>
          </w:p>
        </w:tc>
        <w:tc>
          <w:tcPr>
            <w:tcW w:w="520" w:type="dxa"/>
            <w:vAlign w:val="bottom"/>
          </w:tcPr>
          <w:p>
            <w:pPr>
              <w:spacing w:after="0"/>
              <w:rPr>
                <w:sz w:val="9"/>
                <w:szCs w:val="9"/>
                <w:color w:val="auto"/>
              </w:rPr>
            </w:pPr>
          </w:p>
        </w:tc>
        <w:tc>
          <w:tcPr>
            <w:tcW w:w="760" w:type="dxa"/>
            <w:vAlign w:val="bottom"/>
            <w:tcBorders>
              <w:left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860" w:type="dxa"/>
            <w:vAlign w:val="bottom"/>
          </w:tcPr>
          <w:p>
            <w:pPr>
              <w:spacing w:after="0"/>
              <w:rPr>
                <w:sz w:val="12"/>
                <w:szCs w:val="12"/>
                <w:color w:val="auto"/>
              </w:rPr>
            </w:pPr>
          </w:p>
        </w:tc>
        <w:tc>
          <w:tcPr>
            <w:tcW w:w="1200" w:type="dxa"/>
            <w:vAlign w:val="bottom"/>
            <w:gridSpan w:val="4"/>
          </w:tcPr>
          <w:p>
            <w:pPr>
              <w:ind w:left="60"/>
              <w:spacing w:after="0" w:line="139" w:lineRule="exact"/>
              <w:rPr>
                <w:sz w:val="20"/>
                <w:szCs w:val="20"/>
                <w:color w:val="auto"/>
              </w:rPr>
            </w:pPr>
            <w:r>
              <w:rPr>
                <w:rFonts w:ascii="Arial" w:cs="Arial" w:eastAsia="Arial" w:hAnsi="Arial"/>
                <w:sz w:val="13"/>
                <w:szCs w:val="13"/>
                <w:color w:val="auto"/>
              </w:rPr>
              <w:t>Year Ended</w:t>
            </w:r>
          </w:p>
        </w:tc>
        <w:tc>
          <w:tcPr>
            <w:tcW w:w="1400" w:type="dxa"/>
            <w:vAlign w:val="bottom"/>
            <w:gridSpan w:val="3"/>
          </w:tcPr>
          <w:p>
            <w:pPr>
              <w:spacing w:after="0" w:line="139" w:lineRule="exact"/>
              <w:rPr>
                <w:sz w:val="20"/>
                <w:szCs w:val="20"/>
                <w:color w:val="auto"/>
              </w:rPr>
            </w:pPr>
            <w:r>
              <w:rPr>
                <w:rFonts w:ascii="Arial" w:cs="Arial" w:eastAsia="Arial" w:hAnsi="Arial"/>
                <w:sz w:val="13"/>
                <w:szCs w:val="13"/>
                <w:color w:val="auto"/>
              </w:rPr>
              <w:t>July 16, 2019 to</w:t>
            </w:r>
          </w:p>
        </w:tc>
        <w:tc>
          <w:tcPr>
            <w:tcW w:w="7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39" w:lineRule="exact"/>
              <w:rPr>
                <w:sz w:val="20"/>
                <w:szCs w:val="20"/>
                <w:color w:val="auto"/>
              </w:rPr>
            </w:pPr>
            <w:r>
              <w:rPr>
                <w:rFonts w:ascii="Arial" w:cs="Arial" w:eastAsia="Arial" w:hAnsi="Arial"/>
                <w:sz w:val="13"/>
                <w:szCs w:val="13"/>
                <w:color w:val="auto"/>
                <w:w w:val="98"/>
              </w:rPr>
              <w:t>Period from</w:t>
            </w:r>
          </w:p>
        </w:tc>
        <w:tc>
          <w:tcPr>
            <w:tcW w:w="0" w:type="dxa"/>
            <w:vAlign w:val="bottom"/>
          </w:tcPr>
          <w:p>
            <w:pPr>
              <w:spacing w:after="0"/>
              <w:rPr>
                <w:sz w:val="1"/>
                <w:szCs w:val="1"/>
                <w:color w:val="auto"/>
              </w:rPr>
            </w:pPr>
          </w:p>
        </w:tc>
      </w:tr>
      <w:tr>
        <w:trPr>
          <w:trHeight w:val="139"/>
        </w:trPr>
        <w:tc>
          <w:tcPr>
            <w:tcW w:w="5860" w:type="dxa"/>
            <w:vAlign w:val="bottom"/>
          </w:tcPr>
          <w:p>
            <w:pPr>
              <w:spacing w:after="0"/>
              <w:rPr>
                <w:sz w:val="12"/>
                <w:szCs w:val="12"/>
                <w:color w:val="auto"/>
              </w:rPr>
            </w:pPr>
          </w:p>
        </w:tc>
        <w:tc>
          <w:tcPr>
            <w:tcW w:w="1200" w:type="dxa"/>
            <w:vAlign w:val="bottom"/>
            <w:gridSpan w:val="4"/>
          </w:tcPr>
          <w:p>
            <w:pPr>
              <w:spacing w:after="0" w:line="139" w:lineRule="exact"/>
              <w:rPr>
                <w:sz w:val="20"/>
                <w:szCs w:val="20"/>
                <w:color w:val="auto"/>
              </w:rPr>
            </w:pPr>
            <w:r>
              <w:rPr>
                <w:rFonts w:ascii="Arial" w:cs="Arial" w:eastAsia="Arial" w:hAnsi="Arial"/>
                <w:sz w:val="13"/>
                <w:szCs w:val="13"/>
                <w:color w:val="auto"/>
              </w:rPr>
              <w:t>December 31,</w:t>
            </w:r>
          </w:p>
        </w:tc>
        <w:tc>
          <w:tcPr>
            <w:tcW w:w="1400" w:type="dxa"/>
            <w:vAlign w:val="bottom"/>
            <w:gridSpan w:val="3"/>
          </w:tcPr>
          <w:p>
            <w:pPr>
              <w:jc w:val="center"/>
              <w:ind w:right="520"/>
              <w:spacing w:after="0" w:line="139" w:lineRule="exact"/>
              <w:rPr>
                <w:sz w:val="20"/>
                <w:szCs w:val="20"/>
                <w:color w:val="auto"/>
              </w:rPr>
            </w:pPr>
            <w:r>
              <w:rPr>
                <w:rFonts w:ascii="Arial" w:cs="Arial" w:eastAsia="Arial" w:hAnsi="Arial"/>
                <w:sz w:val="13"/>
                <w:szCs w:val="13"/>
                <w:color w:val="auto"/>
                <w:w w:val="93"/>
              </w:rPr>
              <w:t>December 31,</w:t>
            </w:r>
          </w:p>
        </w:tc>
        <w:tc>
          <w:tcPr>
            <w:tcW w:w="760" w:type="dxa"/>
            <w:vAlign w:val="bottom"/>
            <w:tcBorders>
              <w:left w:val="single" w:sz="8" w:color="auto"/>
            </w:tcBorders>
          </w:tcPr>
          <w:p>
            <w:pPr>
              <w:spacing w:after="0"/>
              <w:rPr>
                <w:sz w:val="12"/>
                <w:szCs w:val="12"/>
                <w:color w:val="auto"/>
              </w:rPr>
            </w:pPr>
          </w:p>
        </w:tc>
        <w:tc>
          <w:tcPr>
            <w:tcW w:w="112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January 1, 2019 to</w:t>
            </w:r>
          </w:p>
        </w:tc>
        <w:tc>
          <w:tcPr>
            <w:tcW w:w="0" w:type="dxa"/>
            <w:vAlign w:val="bottom"/>
          </w:tcPr>
          <w:p>
            <w:pPr>
              <w:spacing w:after="0"/>
              <w:rPr>
                <w:sz w:val="1"/>
                <w:szCs w:val="1"/>
                <w:color w:val="auto"/>
              </w:rPr>
            </w:pPr>
          </w:p>
        </w:tc>
      </w:tr>
      <w:tr>
        <w:trPr>
          <w:trHeight w:val="158"/>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9"/>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9"/>
              <w:spacing w:after="0"/>
              <w:rPr>
                <w:sz w:val="20"/>
                <w:szCs w:val="20"/>
                <w:color w:val="auto"/>
              </w:rPr>
            </w:pPr>
            <w:r>
              <w:rPr>
                <w:rFonts w:ascii="Arial" w:cs="Arial" w:eastAsia="Arial" w:hAnsi="Arial"/>
                <w:sz w:val="13"/>
                <w:szCs w:val="13"/>
                <w:color w:val="auto"/>
                <w:w w:val="96"/>
              </w:rPr>
              <w:t>2019</w:t>
            </w:r>
          </w:p>
        </w:tc>
        <w:tc>
          <w:tcPr>
            <w:tcW w:w="520" w:type="dxa"/>
            <w:vAlign w:val="bottom"/>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July 15, 2019</w:t>
            </w:r>
          </w:p>
        </w:tc>
        <w:tc>
          <w:tcPr>
            <w:tcW w:w="0" w:type="dxa"/>
            <w:vAlign w:val="bottom"/>
          </w:tcPr>
          <w:p>
            <w:pPr>
              <w:spacing w:after="0"/>
              <w:rPr>
                <w:sz w:val="1"/>
                <w:szCs w:val="1"/>
                <w:color w:val="auto"/>
              </w:rPr>
            </w:pPr>
          </w:p>
        </w:tc>
      </w:tr>
      <w:tr>
        <w:trPr>
          <w:trHeight w:val="195"/>
        </w:trPr>
        <w:tc>
          <w:tcPr>
            <w:tcW w:w="58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5,735</w:t>
            </w:r>
          </w:p>
        </w:tc>
        <w:tc>
          <w:tcPr>
            <w:tcW w:w="5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left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Adoption of ASC 606</w:t>
            </w:r>
          </w:p>
        </w:tc>
        <w:tc>
          <w:tcPr>
            <w:tcW w:w="160" w:type="dxa"/>
            <w:vAlign w:val="bottom"/>
          </w:tcPr>
          <w:p>
            <w:pPr>
              <w:spacing w:after="0"/>
              <w:rPr>
                <w:sz w:val="17"/>
                <w:szCs w:val="17"/>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7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4,320</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amortized</w:t>
            </w: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(189)</w:t>
            </w:r>
          </w:p>
        </w:tc>
        <w:tc>
          <w:tcPr>
            <w:tcW w:w="7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Additional amounts deferred</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7,684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3,074</w:t>
            </w:r>
          </w:p>
        </w:tc>
        <w:tc>
          <w:tcPr>
            <w:tcW w:w="7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adjustment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(5,735)</w:t>
            </w:r>
          </w:p>
        </w:tc>
        <w:tc>
          <w:tcPr>
            <w:tcW w:w="7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2,885</w:t>
            </w:r>
          </w:p>
        </w:tc>
        <w:tc>
          <w:tcPr>
            <w:tcW w:w="520" w:type="dxa"/>
            <w:vAlign w:val="bottom"/>
          </w:tcPr>
          <w:p>
            <w:pPr>
              <w:spacing w:after="0"/>
              <w:rPr>
                <w:sz w:val="18"/>
                <w:szCs w:val="18"/>
                <w:color w:val="auto"/>
              </w:rPr>
            </w:pPr>
          </w:p>
        </w:tc>
        <w:tc>
          <w:tcPr>
            <w:tcW w:w="760" w:type="dxa"/>
            <w:vAlign w:val="bottom"/>
            <w:tcBorders>
              <w:left w:val="single" w:sz="8" w:color="auto"/>
            </w:tcBorders>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5,735</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Current</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2,947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769</w:t>
            </w:r>
          </w:p>
        </w:tc>
        <w:tc>
          <w:tcPr>
            <w:tcW w:w="7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520" w:type="dxa"/>
            <w:vAlign w:val="bottom"/>
            <w:shd w:val="clear" w:color="auto" w:fill="CCEEFF"/>
          </w:tcPr>
          <w:p>
            <w:pPr>
              <w:spacing w:after="0"/>
              <w:rPr>
                <w:sz w:val="17"/>
                <w:szCs w:val="17"/>
                <w:color w:val="auto"/>
              </w:rPr>
            </w:pPr>
          </w:p>
        </w:tc>
        <w:tc>
          <w:tcPr>
            <w:tcW w:w="760" w:type="dxa"/>
            <w:vAlign w:val="bottom"/>
            <w:tcBorders>
              <w:lef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60" w:type="dxa"/>
            <w:vAlign w:val="bottom"/>
          </w:tcPr>
          <w:p>
            <w:pPr>
              <w:spacing w:after="0"/>
              <w:rPr>
                <w:sz w:val="20"/>
                <w:szCs w:val="20"/>
                <w:color w:val="auto"/>
              </w:rPr>
            </w:pPr>
            <w:r>
              <w:rPr>
                <w:rFonts w:ascii="Arial" w:cs="Arial" w:eastAsia="Arial" w:hAnsi="Arial"/>
                <w:sz w:val="17"/>
                <w:szCs w:val="17"/>
                <w:color w:val="auto"/>
              </w:rPr>
              <w:t>Total deferred contract costs (deferred commissions)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8,899</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2,885</w:t>
            </w:r>
          </w:p>
        </w:tc>
        <w:tc>
          <w:tcPr>
            <w:tcW w:w="880" w:type="dxa"/>
            <w:vAlign w:val="bottom"/>
            <w:tcBorders>
              <w:left w:val="single" w:sz="8" w:color="auto"/>
            </w:tcBorders>
            <w:gridSpan w:val="2"/>
          </w:tcPr>
          <w:p>
            <w:pPr>
              <w:ind w:left="7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 summary of the activity impacting deferred revenue balances during the year ended December 31, 2020 and the periods from July 16, 2019 to</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2019 and January 1, 2019 to July 15, 2019, is presented below (in thousands):</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gridSpan w:val="6"/>
            <w:vMerge w:val="restart"/>
          </w:tcPr>
          <w:p>
            <w:pPr>
              <w:jc w:val="right"/>
              <w:ind w:right="600"/>
              <w:spacing w:after="0"/>
              <w:rPr>
                <w:sz w:val="20"/>
                <w:szCs w:val="20"/>
                <w:color w:val="auto"/>
              </w:rPr>
            </w:pPr>
            <w:r>
              <w:rPr>
                <w:rFonts w:ascii="Arial" w:cs="Arial" w:eastAsia="Arial" w:hAnsi="Arial"/>
                <w:sz w:val="13"/>
                <w:szCs w:val="13"/>
                <w:b w:val="1"/>
                <w:bCs w:val="1"/>
                <w:color w:val="auto"/>
              </w:rPr>
              <w:t>Successor Company</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6"/>
            <w:vMerge w:val="continue"/>
          </w:tcPr>
          <w:p>
            <w:pPr>
              <w:spacing w:after="0"/>
              <w:rPr>
                <w:sz w:val="10"/>
                <w:szCs w:val="10"/>
                <w:color w:val="auto"/>
              </w:rPr>
            </w:pPr>
          </w:p>
        </w:tc>
        <w:tc>
          <w:tcPr>
            <w:tcW w:w="2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vMerge w:val="continue"/>
          </w:tcPr>
          <w:p>
            <w:pPr>
              <w:spacing w:after="0"/>
              <w:rPr>
                <w:sz w:val="13"/>
                <w:szCs w:val="13"/>
                <w:color w:val="auto"/>
              </w:rPr>
            </w:pPr>
          </w:p>
        </w:tc>
        <w:tc>
          <w:tcPr>
            <w:tcW w:w="24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0"/>
              <w:spacing w:after="0" w:line="114" w:lineRule="exact"/>
              <w:rPr>
                <w:sz w:val="20"/>
                <w:szCs w:val="20"/>
                <w:color w:val="auto"/>
              </w:rPr>
            </w:pPr>
            <w:r>
              <w:rPr>
                <w:rFonts w:ascii="Arial" w:cs="Arial" w:eastAsia="Arial" w:hAnsi="Arial"/>
                <w:sz w:val="13"/>
                <w:szCs w:val="13"/>
                <w:color w:val="auto"/>
                <w:w w:val="95"/>
              </w:rPr>
              <w:t>Period from</w:t>
            </w:r>
          </w:p>
        </w:tc>
        <w:tc>
          <w:tcPr>
            <w:tcW w:w="260" w:type="dxa"/>
            <w:vAlign w:val="bottom"/>
          </w:tcPr>
          <w:p>
            <w:pPr>
              <w:spacing w:after="0"/>
              <w:rPr>
                <w:sz w:val="9"/>
                <w:szCs w:val="9"/>
                <w:color w:val="auto"/>
              </w:rPr>
            </w:pPr>
          </w:p>
        </w:tc>
        <w:tc>
          <w:tcPr>
            <w:tcW w:w="240" w:type="dxa"/>
            <w:vAlign w:val="bottom"/>
            <w:tcBorders>
              <w:lef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39" w:lineRule="exact"/>
              <w:rPr>
                <w:sz w:val="20"/>
                <w:szCs w:val="20"/>
                <w:color w:val="auto"/>
              </w:rPr>
            </w:pPr>
            <w:r>
              <w:rPr>
                <w:rFonts w:ascii="Arial" w:cs="Arial" w:eastAsia="Arial" w:hAnsi="Arial"/>
                <w:sz w:val="13"/>
                <w:szCs w:val="13"/>
                <w:color w:val="auto"/>
                <w:w w:val="96"/>
              </w:rPr>
              <w:t>Year Ended</w:t>
            </w:r>
          </w:p>
        </w:tc>
        <w:tc>
          <w:tcPr>
            <w:tcW w:w="1200" w:type="dxa"/>
            <w:vAlign w:val="bottom"/>
            <w:gridSpan w:val="4"/>
          </w:tcPr>
          <w:p>
            <w:pPr>
              <w:jc w:val="center"/>
              <w:ind w:right="200"/>
              <w:spacing w:after="0" w:line="139" w:lineRule="exact"/>
              <w:rPr>
                <w:sz w:val="20"/>
                <w:szCs w:val="20"/>
                <w:color w:val="auto"/>
              </w:rPr>
            </w:pPr>
            <w:r>
              <w:rPr>
                <w:rFonts w:ascii="Arial" w:cs="Arial" w:eastAsia="Arial" w:hAnsi="Arial"/>
                <w:sz w:val="13"/>
                <w:szCs w:val="13"/>
                <w:color w:val="auto"/>
                <w:w w:val="95"/>
              </w:rPr>
              <w:t>July 16, 2019 to</w:t>
            </w:r>
          </w:p>
        </w:tc>
        <w:tc>
          <w:tcPr>
            <w:tcW w:w="2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5"/>
              </w:rPr>
              <w:t>Period from</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80" w:type="dxa"/>
            <w:vAlign w:val="bottom"/>
            <w:gridSpan w:val="4"/>
          </w:tcPr>
          <w:p>
            <w:pPr>
              <w:spacing w:after="0" w:line="139" w:lineRule="exact"/>
              <w:rPr>
                <w:sz w:val="20"/>
                <w:szCs w:val="20"/>
                <w:color w:val="auto"/>
              </w:rPr>
            </w:pPr>
            <w:r>
              <w:rPr>
                <w:rFonts w:ascii="Arial" w:cs="Arial" w:eastAsia="Arial" w:hAnsi="Arial"/>
                <w:sz w:val="13"/>
                <w:szCs w:val="13"/>
                <w:color w:val="auto"/>
              </w:rPr>
              <w:t>December 31,</w:t>
            </w:r>
          </w:p>
        </w:tc>
        <w:tc>
          <w:tcPr>
            <w:tcW w:w="60" w:type="dxa"/>
            <w:vAlign w:val="bottom"/>
          </w:tcPr>
          <w:p>
            <w:pPr>
              <w:spacing w:after="0"/>
              <w:rPr>
                <w:sz w:val="12"/>
                <w:szCs w:val="12"/>
                <w:color w:val="auto"/>
              </w:rPr>
            </w:pPr>
          </w:p>
        </w:tc>
        <w:tc>
          <w:tcPr>
            <w:tcW w:w="1140" w:type="dxa"/>
            <w:vAlign w:val="bottom"/>
            <w:gridSpan w:val="3"/>
          </w:tcPr>
          <w:p>
            <w:pPr>
              <w:jc w:val="center"/>
              <w:ind w:right="260"/>
              <w:spacing w:after="0" w:line="139" w:lineRule="exact"/>
              <w:rPr>
                <w:sz w:val="20"/>
                <w:szCs w:val="20"/>
                <w:color w:val="auto"/>
              </w:rPr>
            </w:pPr>
            <w:r>
              <w:rPr>
                <w:rFonts w:ascii="Arial" w:cs="Arial" w:eastAsia="Arial" w:hAnsi="Arial"/>
                <w:sz w:val="13"/>
                <w:szCs w:val="13"/>
                <w:color w:val="auto"/>
                <w:w w:val="93"/>
              </w:rPr>
              <w:t>December 31,</w:t>
            </w:r>
          </w:p>
        </w:tc>
        <w:tc>
          <w:tcPr>
            <w:tcW w:w="1340" w:type="dxa"/>
            <w:vAlign w:val="bottom"/>
            <w:tcBorders>
              <w:left w:val="single" w:sz="8" w:color="auto"/>
            </w:tcBorders>
            <w:gridSpan w:val="4"/>
          </w:tcPr>
          <w:p>
            <w:pPr>
              <w:jc w:val="center"/>
              <w:ind w:left="64"/>
              <w:spacing w:after="0" w:line="139" w:lineRule="exact"/>
              <w:rPr>
                <w:sz w:val="20"/>
                <w:szCs w:val="20"/>
                <w:color w:val="auto"/>
              </w:rPr>
            </w:pPr>
            <w:r>
              <w:rPr>
                <w:rFonts w:ascii="Arial" w:cs="Arial" w:eastAsia="Arial" w:hAnsi="Arial"/>
                <w:sz w:val="13"/>
                <w:szCs w:val="13"/>
                <w:color w:val="auto"/>
                <w:w w:val="92"/>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60"/>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0"/>
              <w:spacing w:after="0"/>
              <w:rPr>
                <w:sz w:val="20"/>
                <w:szCs w:val="20"/>
                <w:color w:val="auto"/>
              </w:rPr>
            </w:pPr>
            <w:r>
              <w:rPr>
                <w:rFonts w:ascii="Arial" w:cs="Arial" w:eastAsia="Arial" w:hAnsi="Arial"/>
                <w:sz w:val="13"/>
                <w:szCs w:val="13"/>
                <w:color w:val="auto"/>
                <w:w w:val="96"/>
              </w:rPr>
              <w:t>2019</w:t>
            </w:r>
          </w:p>
        </w:tc>
        <w:tc>
          <w:tcPr>
            <w:tcW w:w="260" w:type="dxa"/>
            <w:vAlign w:val="bottom"/>
          </w:tcPr>
          <w:p>
            <w:pPr>
              <w:spacing w:after="0"/>
              <w:rPr>
                <w:sz w:val="13"/>
                <w:szCs w:val="13"/>
                <w:color w:val="auto"/>
              </w:rPr>
            </w:pPr>
          </w:p>
        </w:tc>
        <w:tc>
          <w:tcPr>
            <w:tcW w:w="24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38,278</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left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32,187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Adoption of ASC 606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Acquisition adjustment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(6,278)</w:t>
            </w:r>
          </w:p>
        </w:tc>
        <w:tc>
          <w:tcPr>
            <w:tcW w:w="24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Revenue recognized</w:t>
            </w: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(118,317)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(40,045)</w:t>
            </w:r>
          </w:p>
        </w:tc>
        <w:tc>
          <w:tcPr>
            <w:tcW w:w="24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133,392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54,170</w:t>
            </w:r>
          </w:p>
        </w:tc>
        <w:tc>
          <w:tcPr>
            <w:tcW w:w="26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7"/>
                <w:szCs w:val="17"/>
                <w:color w:val="auto"/>
              </w:rPr>
              <w:t>Balance at end of period</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61,200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46,125</w:t>
            </w:r>
          </w:p>
        </w:tc>
        <w:tc>
          <w:tcPr>
            <w:tcW w:w="260" w:type="dxa"/>
            <w:vAlign w:val="bottom"/>
          </w:tcPr>
          <w:p>
            <w:pPr>
              <w:spacing w:after="0"/>
              <w:rPr>
                <w:sz w:val="18"/>
                <w:szCs w:val="18"/>
                <w:color w:val="auto"/>
              </w:rPr>
            </w:pPr>
          </w:p>
        </w:tc>
        <w:tc>
          <w:tcPr>
            <w:tcW w:w="34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5460" w:right="4120" w:hanging="5003"/>
        <w:spacing w:after="0" w:line="485" w:lineRule="auto"/>
        <w:tabs>
          <w:tab w:leader="none" w:pos="858" w:val="left"/>
        </w:tabs>
        <w:numPr>
          <w:ilvl w:val="0"/>
          <w:numId w:val="177"/>
        </w:numPr>
        <w:rPr>
          <w:rFonts w:ascii="Arial" w:cs="Arial" w:eastAsia="Arial" w:hAnsi="Arial"/>
          <w:sz w:val="13"/>
          <w:szCs w:val="13"/>
          <w:color w:val="auto"/>
        </w:rPr>
      </w:pPr>
      <w:r>
        <w:rPr>
          <w:rFonts w:ascii="Arial" w:cs="Arial" w:eastAsia="Arial" w:hAnsi="Arial"/>
          <w:sz w:val="16"/>
          <w:szCs w:val="16"/>
          <w:color w:val="auto"/>
        </w:rPr>
        <w:t>Amounts include total revenue deferred and recognized during each respective period. F-31</w:t>
      </w:r>
    </w:p>
    <w:p>
      <w:pPr>
        <w:sectPr>
          <w:pgSz w:w="11900" w:h="16838" w:orient="portrait"/>
          <w:cols w:equalWidth="0" w:num="1">
            <w:col w:w="10800"/>
          </w:cols>
          <w:pgMar w:left="320" w:top="440" w:right="77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remaining performance obligations consisted of the following (in thousands):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6"/>
          </w:tcPr>
          <w:p>
            <w:pPr>
              <w:ind w:left="380"/>
              <w:spacing w:after="0"/>
              <w:rPr>
                <w:sz w:val="20"/>
                <w:szCs w:val="20"/>
                <w:color w:val="auto"/>
              </w:rPr>
            </w:pPr>
            <w:r>
              <w:rPr>
                <w:rFonts w:ascii="Arial" w:cs="Arial" w:eastAsia="Arial" w:hAnsi="Arial"/>
                <w:sz w:val="13"/>
                <w:szCs w:val="13"/>
                <w:b w:val="1"/>
                <w:bCs w:val="1"/>
                <w:color w:val="auto"/>
              </w:rPr>
              <w:t>Successor 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10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color w:val="auto"/>
              </w:rPr>
              <w:t>December 31,</w:t>
            </w:r>
          </w:p>
        </w:tc>
        <w:tc>
          <w:tcPr>
            <w:tcW w:w="3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w w:val="90"/>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color w:val="auto"/>
              </w:rPr>
              <w:t>2020</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color w:val="auto"/>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w:t>
            </w:r>
            <w:r>
              <w:rPr>
                <w:rFonts w:ascii="Arial" w:cs="Arial" w:eastAsia="Arial" w:hAnsi="Arial"/>
                <w:sz w:val="14"/>
                <w:szCs w:val="14"/>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114,284</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Noncurrent</w:t>
            </w: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color w:val="auto"/>
              </w:rPr>
              <w:t>58,250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40,475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172,534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122,766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8" w:lineRule="exact"/>
        <w:rPr>
          <w:sz w:val="20"/>
          <w:szCs w:val="20"/>
          <w:color w:val="auto"/>
        </w:rPr>
      </w:pPr>
    </w:p>
    <w:p>
      <w:pPr>
        <w:ind w:left="860" w:right="360" w:hanging="403"/>
        <w:spacing w:after="0" w:line="272" w:lineRule="auto"/>
        <w:tabs>
          <w:tab w:leader="none" w:pos="8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above table has been corrected for certain errors. Previously reported current, noncurrent and total amounts were $121,623, $51,368, and $172,991 respectively for 2020 and $90,237, $32,957, and $123,194 respectively for 2019.</w:t>
      </w:r>
    </w:p>
    <w:p>
      <w:pPr>
        <w:spacing w:after="0" w:line="304" w:lineRule="exact"/>
        <w:rPr>
          <w:sz w:val="20"/>
          <w:szCs w:val="20"/>
          <w:color w:val="auto"/>
        </w:rPr>
      </w:pPr>
    </w:p>
    <w:p>
      <w:pPr>
        <w:ind w:left="860" w:hanging="403"/>
        <w:spacing w:after="0"/>
        <w:tabs>
          <w:tab w:leader="none" w:pos="86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 (in thousands):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b w:val="1"/>
                <w:bCs w:val="1"/>
                <w:color w:val="auto"/>
                <w:w w:val="90"/>
              </w:rPr>
              <w:t>Successor Company</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gridSpan w:val="3"/>
          </w:tcPr>
          <w:p>
            <w:pPr>
              <w:spacing w:after="0" w:line="114" w:lineRule="exact"/>
              <w:rPr>
                <w:sz w:val="20"/>
                <w:szCs w:val="20"/>
                <w:color w:val="auto"/>
              </w:rPr>
            </w:pPr>
            <w:r>
              <w:rPr>
                <w:rFonts w:ascii="Arial" w:cs="Arial" w:eastAsia="Arial" w:hAnsi="Arial"/>
                <w:sz w:val="13"/>
                <w:szCs w:val="13"/>
                <w:color w:val="auto"/>
              </w:rPr>
              <w:t>December 31,</w:t>
            </w:r>
          </w:p>
        </w:tc>
        <w:tc>
          <w:tcPr>
            <w:tcW w:w="340" w:type="dxa"/>
            <w:vAlign w:val="bottom"/>
          </w:tcPr>
          <w:p>
            <w:pPr>
              <w:spacing w:after="0"/>
              <w:rPr>
                <w:sz w:val="9"/>
                <w:szCs w:val="9"/>
                <w:color w:val="auto"/>
              </w:rPr>
            </w:pPr>
          </w:p>
        </w:tc>
        <w:tc>
          <w:tcPr>
            <w:tcW w:w="7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88"/>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8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color w:val="auto"/>
              </w:rPr>
              <w:t>2020</w:t>
            </w:r>
          </w:p>
        </w:tc>
        <w:tc>
          <w:tcPr>
            <w:tcW w:w="4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w w:val="89"/>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Accounts receivable</w:t>
            </w: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25,220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Unbilled receivable</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329</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33,964</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25,471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Less: allowance for doubtful accounts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(856)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33,108</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25,021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860" w:hanging="403"/>
        <w:spacing w:after="0"/>
        <w:tabs>
          <w:tab w:leader="none" w:pos="86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Property and Equipment</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consisted of the following (in thousands):</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w w:val="90"/>
              </w:rPr>
              <w:t>Successor Company</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180" w:type="dxa"/>
            <w:vAlign w:val="bottom"/>
            <w:gridSpan w:val="3"/>
          </w:tcPr>
          <w:p>
            <w:pPr>
              <w:jc w:val="right"/>
              <w:ind w:right="440"/>
              <w:spacing w:after="0" w:line="114" w:lineRule="exact"/>
              <w:rPr>
                <w:sz w:val="20"/>
                <w:szCs w:val="20"/>
                <w:color w:val="auto"/>
              </w:rPr>
            </w:pPr>
            <w:r>
              <w:rPr>
                <w:rFonts w:ascii="Arial" w:cs="Arial" w:eastAsia="Arial" w:hAnsi="Arial"/>
                <w:sz w:val="13"/>
                <w:szCs w:val="13"/>
                <w:color w:val="auto"/>
                <w:w w:val="88"/>
              </w:rPr>
              <w:t>December 31,</w:t>
            </w:r>
          </w:p>
        </w:tc>
        <w:tc>
          <w:tcPr>
            <w:tcW w:w="1140" w:type="dxa"/>
            <w:vAlign w:val="bottom"/>
            <w:gridSpan w:val="3"/>
          </w:tcPr>
          <w:p>
            <w:pPr>
              <w:ind w:left="380"/>
              <w:spacing w:after="0" w:line="114" w:lineRule="exact"/>
              <w:rPr>
                <w:sz w:val="20"/>
                <w:szCs w:val="20"/>
                <w:color w:val="auto"/>
              </w:rPr>
            </w:pPr>
            <w:r>
              <w:rPr>
                <w:rFonts w:ascii="Arial" w:cs="Arial" w:eastAsia="Arial" w:hAnsi="Arial"/>
                <w:sz w:val="13"/>
                <w:szCs w:val="13"/>
                <w:color w:val="auto"/>
                <w:w w:val="90"/>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0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color w:val="auto"/>
              </w:rPr>
              <w:t>2020</w:t>
            </w:r>
          </w:p>
        </w:tc>
        <w:tc>
          <w:tcPr>
            <w:tcW w:w="4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Computers and software</w:t>
            </w:r>
          </w:p>
        </w:tc>
        <w:tc>
          <w:tcPr>
            <w:tcW w:w="23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1,109</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2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w:t>
            </w: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20"/>
              <w:spacing w:after="0"/>
              <w:rPr>
                <w:sz w:val="20"/>
                <w:szCs w:val="20"/>
                <w:color w:val="auto"/>
              </w:rPr>
            </w:pPr>
            <w:r>
              <w:rPr>
                <w:rFonts w:ascii="Arial" w:cs="Arial" w:eastAsia="Arial" w:hAnsi="Arial"/>
                <w:sz w:val="17"/>
                <w:szCs w:val="17"/>
                <w:color w:val="auto"/>
                <w:w w:val="96"/>
              </w:rPr>
              <w:t>Less: accumulated depreciation and amortization</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(2,911)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(1,759)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50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3,248</w:t>
            </w: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00" w:type="dxa"/>
            <w:vAlign w:val="bottom"/>
            <w:gridSpan w:val="2"/>
          </w:tcPr>
          <w:p>
            <w:pPr>
              <w:jc w:val="right"/>
              <w:ind w:right="1849"/>
              <w:spacing w:after="0"/>
              <w:rPr>
                <w:sz w:val="20"/>
                <w:szCs w:val="20"/>
                <w:color w:val="auto"/>
              </w:rPr>
            </w:pPr>
            <w:r>
              <w:rPr>
                <w:rFonts w:ascii="Arial" w:cs="Arial" w:eastAsia="Arial" w:hAnsi="Arial"/>
                <w:sz w:val="17"/>
                <w:szCs w:val="17"/>
                <w:color w:val="auto"/>
              </w:rPr>
              <w:t>F-32</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0" w:right="81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firstLine="413"/>
        <w:spacing w:after="0" w:line="340" w:lineRule="auto"/>
        <w:rPr>
          <w:sz w:val="20"/>
          <w:szCs w:val="20"/>
          <w:color w:val="auto"/>
        </w:rPr>
      </w:pPr>
      <w:r>
        <w:rPr>
          <w:rFonts w:ascii="Arial" w:cs="Arial" w:eastAsia="Arial" w:hAnsi="Arial"/>
          <w:sz w:val="15"/>
          <w:szCs w:val="15"/>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58" w:lineRule="exact"/>
        <w:rPr>
          <w:sz w:val="20"/>
          <w:szCs w:val="20"/>
          <w:color w:val="auto"/>
        </w:rPr>
      </w:pPr>
    </w:p>
    <w:p>
      <w:pPr>
        <w:ind w:left="860" w:hanging="403"/>
        <w:spacing w:after="0"/>
        <w:tabs>
          <w:tab w:leader="none" w:pos="86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The carrying amounts of goodwill and intangible assets, as of December 31, 2020 and 2019, consist of the following (in thousands):</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December 31, 2020 (Successor)</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3"/>
                <w:szCs w:val="13"/>
                <w:color w:val="auto"/>
                <w:w w:val="91"/>
              </w:rPr>
              <w:t>Gross Carrying</w:t>
            </w:r>
          </w:p>
        </w:tc>
        <w:tc>
          <w:tcPr>
            <w:tcW w:w="1740" w:type="dxa"/>
            <w:vAlign w:val="bottom"/>
            <w:gridSpan w:val="4"/>
          </w:tcPr>
          <w:p>
            <w:pPr>
              <w:ind w:left="480"/>
              <w:spacing w:after="0" w:line="114" w:lineRule="exact"/>
              <w:rPr>
                <w:sz w:val="20"/>
                <w:szCs w:val="20"/>
                <w:color w:val="auto"/>
              </w:rPr>
            </w:pPr>
            <w:r>
              <w:rPr>
                <w:rFonts w:ascii="Arial" w:cs="Arial" w:eastAsia="Arial" w:hAnsi="Arial"/>
                <w:sz w:val="13"/>
                <w:szCs w:val="13"/>
                <w:color w:val="auto"/>
              </w:rPr>
              <w:t>Accumulated</w:t>
            </w:r>
          </w:p>
        </w:tc>
        <w:tc>
          <w:tcPr>
            <w:tcW w:w="780" w:type="dxa"/>
            <w:vAlign w:val="bottom"/>
            <w:gridSpan w:val="2"/>
          </w:tcPr>
          <w:p>
            <w:pPr>
              <w:jc w:val="center"/>
              <w:spacing w:after="0" w:line="114" w:lineRule="exact"/>
              <w:rPr>
                <w:sz w:val="20"/>
                <w:szCs w:val="20"/>
                <w:color w:val="auto"/>
              </w:rPr>
            </w:pPr>
            <w:r>
              <w:rPr>
                <w:rFonts w:ascii="Arial" w:cs="Arial" w:eastAsia="Arial" w:hAnsi="Arial"/>
                <w:sz w:val="13"/>
                <w:szCs w:val="13"/>
                <w:color w:val="auto"/>
                <w:w w:val="95"/>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Amount</w:t>
            </w:r>
          </w:p>
        </w:tc>
        <w:tc>
          <w:tcPr>
            <w:tcW w:w="1740" w:type="dxa"/>
            <w:vAlign w:val="bottom"/>
            <w:gridSpan w:val="4"/>
          </w:tcPr>
          <w:p>
            <w:pPr>
              <w:ind w:left="480"/>
              <w:spacing w:after="0"/>
              <w:rPr>
                <w:sz w:val="20"/>
                <w:szCs w:val="20"/>
                <w:color w:val="auto"/>
              </w:rPr>
            </w:pPr>
            <w:r>
              <w:rPr>
                <w:rFonts w:ascii="Arial" w:cs="Arial" w:eastAsia="Arial" w:hAnsi="Arial"/>
                <w:sz w:val="13"/>
                <w:szCs w:val="13"/>
                <w:color w:val="auto"/>
              </w:rPr>
              <w:t>Amortization</w:t>
            </w:r>
          </w:p>
        </w:tc>
        <w:tc>
          <w:tcPr>
            <w:tcW w:w="8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Amount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370,030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(58,097)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7"/>
              </w:rPr>
              <w:t>(10,218)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35,500</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(2,952)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7"/>
              </w:rPr>
              <w:t>(17,782)</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499,286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(89,049)</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1,261,444</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8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$ 1,760,730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(89,049)</w:t>
            </w: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December 31, 2019 (Successor)</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3"/>
                <w:szCs w:val="13"/>
                <w:color w:val="auto"/>
                <w:w w:val="91"/>
              </w:rPr>
              <w:t>Gross Carrying</w:t>
            </w:r>
          </w:p>
        </w:tc>
        <w:tc>
          <w:tcPr>
            <w:tcW w:w="1740" w:type="dxa"/>
            <w:vAlign w:val="bottom"/>
            <w:gridSpan w:val="4"/>
          </w:tcPr>
          <w:p>
            <w:pPr>
              <w:ind w:left="480"/>
              <w:spacing w:after="0" w:line="114" w:lineRule="exact"/>
              <w:rPr>
                <w:sz w:val="20"/>
                <w:szCs w:val="20"/>
                <w:color w:val="auto"/>
              </w:rPr>
            </w:pPr>
            <w:r>
              <w:rPr>
                <w:rFonts w:ascii="Arial" w:cs="Arial" w:eastAsia="Arial" w:hAnsi="Arial"/>
                <w:sz w:val="13"/>
                <w:szCs w:val="13"/>
                <w:color w:val="auto"/>
              </w:rPr>
              <w:t>Accumulated</w:t>
            </w:r>
          </w:p>
        </w:tc>
        <w:tc>
          <w:tcPr>
            <w:tcW w:w="780" w:type="dxa"/>
            <w:vAlign w:val="bottom"/>
            <w:gridSpan w:val="2"/>
          </w:tcPr>
          <w:p>
            <w:pPr>
              <w:jc w:val="center"/>
              <w:spacing w:after="0" w:line="114" w:lineRule="exact"/>
              <w:rPr>
                <w:sz w:val="20"/>
                <w:szCs w:val="20"/>
                <w:color w:val="auto"/>
              </w:rPr>
            </w:pPr>
            <w:r>
              <w:rPr>
                <w:rFonts w:ascii="Arial" w:cs="Arial" w:eastAsia="Arial" w:hAnsi="Arial"/>
                <w:sz w:val="13"/>
                <w:szCs w:val="13"/>
                <w:color w:val="auto"/>
                <w:w w:val="95"/>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Amount</w:t>
            </w:r>
          </w:p>
        </w:tc>
        <w:tc>
          <w:tcPr>
            <w:tcW w:w="1740" w:type="dxa"/>
            <w:vAlign w:val="bottom"/>
            <w:gridSpan w:val="4"/>
          </w:tcPr>
          <w:p>
            <w:pPr>
              <w:ind w:left="480"/>
              <w:spacing w:after="0"/>
              <w:rPr>
                <w:sz w:val="20"/>
                <w:szCs w:val="20"/>
                <w:color w:val="auto"/>
              </w:rPr>
            </w:pPr>
            <w:r>
              <w:rPr>
                <w:rFonts w:ascii="Arial" w:cs="Arial" w:eastAsia="Arial" w:hAnsi="Arial"/>
                <w:sz w:val="13"/>
                <w:szCs w:val="13"/>
                <w:color w:val="auto"/>
              </w:rPr>
              <w:t>Amortization</w:t>
            </w:r>
          </w:p>
        </w:tc>
        <w:tc>
          <w:tcPr>
            <w:tcW w:w="8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Amount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358,130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(21,075)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337,055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48,500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(3,206)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34,100</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(928)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36,268</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(5,408)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476,998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(30,617)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1,233,173</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1,233,173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8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$ 1,710,171</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(30,617)</w:t>
            </w: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1,679,554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Amortization expense associated with finite-lived intangible assets was $58.4 million for the year ended December 31, 2020 (Successor), of which $19.4 million was included in cost of revenue for the said period. Amortization expense associated with finite-lived intangible assets was $30.6 million and $2.0 million for the periods from July 16, 2019 through December 31, 2019 (Successor), and January 1, 2019 through July 15, 2019 (Predecessor), respectively.</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Estimated total intangible amortization expense during the next five years and thereafter is as follows (in thousands):</w:t>
      </w:r>
    </w:p>
    <w:p>
      <w:pPr>
        <w:spacing w:after="0" w:line="248"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58,143</w:t>
            </w:r>
          </w:p>
        </w:tc>
      </w:tr>
      <w:tr>
        <w:trPr>
          <w:trHeight w:val="203"/>
        </w:trPr>
        <w:tc>
          <w:tcPr>
            <w:tcW w:w="2020" w:type="dxa"/>
            <w:vAlign w:val="bottom"/>
          </w:tcPr>
          <w:p>
            <w:pPr>
              <w:spacing w:after="0"/>
              <w:rPr>
                <w:sz w:val="20"/>
                <w:szCs w:val="20"/>
                <w:color w:val="auto"/>
              </w:rPr>
            </w:pPr>
            <w:r>
              <w:rPr>
                <w:rFonts w:ascii="Arial" w:cs="Arial" w:eastAsia="Arial" w:hAnsi="Arial"/>
                <w:sz w:val="17"/>
                <w:szCs w:val="17"/>
                <w:color w:val="auto"/>
              </w:rPr>
              <w:t>2022</w:t>
            </w: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53,653</w:t>
            </w:r>
          </w:p>
        </w:tc>
      </w:t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45,709</w:t>
            </w:r>
          </w:p>
        </w:tc>
      </w:tr>
      <w:tr>
        <w:trPr>
          <w:trHeight w:val="203"/>
        </w:trPr>
        <w:tc>
          <w:tcPr>
            <w:tcW w:w="2020" w:type="dxa"/>
            <w:vAlign w:val="bottom"/>
          </w:tcPr>
          <w:p>
            <w:pPr>
              <w:spacing w:after="0"/>
              <w:rPr>
                <w:sz w:val="20"/>
                <w:szCs w:val="20"/>
                <w:color w:val="auto"/>
              </w:rPr>
            </w:pPr>
            <w:r>
              <w:rPr>
                <w:rFonts w:ascii="Arial" w:cs="Arial" w:eastAsia="Arial" w:hAnsi="Arial"/>
                <w:sz w:val="17"/>
                <w:szCs w:val="17"/>
                <w:color w:val="auto"/>
              </w:rPr>
              <w:t>2024</w:t>
            </w: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42,485</w:t>
            </w:r>
          </w:p>
        </w:tc>
      </w:t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38,296</w:t>
            </w:r>
          </w:p>
        </w:tc>
      </w:tr>
      <w:tr>
        <w:trPr>
          <w:trHeight w:val="203"/>
        </w:trPr>
        <w:tc>
          <w:tcPr>
            <w:tcW w:w="2020" w:type="dxa"/>
            <w:vAlign w:val="bottom"/>
          </w:tcPr>
          <w:p>
            <w:pPr>
              <w:spacing w:after="0"/>
              <w:rPr>
                <w:sz w:val="20"/>
                <w:szCs w:val="20"/>
                <w:color w:val="auto"/>
              </w:rPr>
            </w:pPr>
            <w:r>
              <w:rPr>
                <w:rFonts w:ascii="Arial" w:cs="Arial" w:eastAsia="Arial" w:hAnsi="Arial"/>
                <w:sz w:val="17"/>
                <w:szCs w:val="17"/>
                <w:color w:val="auto"/>
              </w:rPr>
              <w:t>Thereafter</w:t>
            </w: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171,951</w:t>
            </w:r>
          </w:p>
        </w:tc>
      </w:tr>
      <w:tr>
        <w:trPr>
          <w:trHeight w:val="25"/>
        </w:trPr>
        <w:tc>
          <w:tcPr>
            <w:tcW w:w="20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410,237</w:t>
            </w:r>
          </w:p>
        </w:tc>
      </w:tr>
      <w:tr>
        <w:trPr>
          <w:trHeight w:val="20"/>
        </w:trPr>
        <w:tc>
          <w:tcPr>
            <w:tcW w:w="2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2"/>
        </w:trPr>
        <w:tc>
          <w:tcPr>
            <w:tcW w:w="2020" w:type="dxa"/>
            <w:vAlign w:val="bottom"/>
          </w:tcPr>
          <w:p>
            <w:pPr>
              <w:spacing w:after="0"/>
              <w:rPr>
                <w:sz w:val="24"/>
                <w:szCs w:val="24"/>
                <w:color w:val="auto"/>
              </w:rPr>
            </w:pPr>
          </w:p>
        </w:tc>
        <w:tc>
          <w:tcPr>
            <w:tcW w:w="4360" w:type="dxa"/>
            <w:vAlign w:val="bottom"/>
            <w:gridSpan w:val="2"/>
          </w:tcPr>
          <w:p>
            <w:pPr>
              <w:jc w:val="right"/>
              <w:ind w:right="2720"/>
              <w:spacing w:after="0"/>
              <w:rPr>
                <w:sz w:val="20"/>
                <w:szCs w:val="20"/>
                <w:color w:val="auto"/>
              </w:rPr>
            </w:pPr>
            <w:r>
              <w:rPr>
                <w:rFonts w:ascii="Arial" w:cs="Arial" w:eastAsia="Arial" w:hAnsi="Arial"/>
                <w:sz w:val="17"/>
                <w:szCs w:val="17"/>
                <w:color w:val="auto"/>
              </w:rPr>
              <w:t>F-33</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780"/>
          </w:cols>
          <w:pgMar w:left="320" w:top="440" w:right="79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changes in the carrying amount of goodwill for the year ended December 31, 2020 (Successor) and the periods from July 16, 2019 to</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2019 (Successor) and January 1, 2019 through July 15, 2019 (Predecessor) were as follows (in thousands):</w:t>
      </w:r>
    </w:p>
    <w:p>
      <w:pPr>
        <w:spacing w:after="0" w:line="236"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2019 (Predecessor)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63,623</w:t>
            </w: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HIMSS acquisition (Note 3)</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19,145</w:t>
            </w:r>
          </w:p>
        </w:tc>
      </w:tr>
      <w:tr>
        <w:trPr>
          <w:trHeight w:val="25"/>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15, 2019 (Predecessor)</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82,768</w:t>
            </w:r>
          </w:p>
        </w:tc>
      </w:tr>
      <w:tr>
        <w:trPr>
          <w:trHeight w:val="215"/>
        </w:trPr>
        <w:tc>
          <w:tcPr>
            <w:tcW w:w="6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Definitive Holdco Acquisition (Note 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92"/>
              </w:rPr>
              <w:t>1,144,494</w:t>
            </w: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16, 2019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1,227,262</w:t>
            </w: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HSE acquisition (Note 3)</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5,911</w:t>
            </w:r>
          </w:p>
        </w:tc>
      </w:tr>
      <w:tr>
        <w:trPr>
          <w:trHeight w:val="25"/>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2019 (Successor)</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1,233,173</w:t>
            </w: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Monocl acquisition (Note 3)</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28,271</w:t>
            </w:r>
          </w:p>
        </w:tc>
      </w:tr>
      <w:tr>
        <w:trPr>
          <w:trHeight w:val="25"/>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2020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1,261,444</w:t>
            </w: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Company determined it had one reporting unit. The Company performed its annual impairment assessment in the fourth quarter of 2020 and 2019 and determined there was no impairment in 2020 or 2019.</w:t>
      </w:r>
    </w:p>
    <w:p>
      <w:pPr>
        <w:spacing w:after="0" w:line="304" w:lineRule="exact"/>
        <w:rPr>
          <w:sz w:val="20"/>
          <w:szCs w:val="20"/>
          <w:color w:val="auto"/>
        </w:rPr>
      </w:pPr>
    </w:p>
    <w:p>
      <w:pPr>
        <w:ind w:left="860" w:hanging="403"/>
        <w:spacing w:after="0"/>
        <w:tabs>
          <w:tab w:leader="none" w:pos="86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December 31, 2020 and 2019, respectively (in thousands):</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w w:val="94"/>
              </w:rPr>
              <w:t>December 31, 2020 (Successor)</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40" w:type="dxa"/>
            <w:vAlign w:val="bottom"/>
            <w:gridSpan w:val="4"/>
          </w:tcPr>
          <w:p>
            <w:pPr>
              <w:jc w:val="center"/>
              <w:spacing w:after="0" w:line="114" w:lineRule="exact"/>
              <w:rPr>
                <w:sz w:val="20"/>
                <w:szCs w:val="20"/>
                <w:color w:val="auto"/>
              </w:rPr>
            </w:pPr>
            <w:r>
              <w:rPr>
                <w:rFonts w:ascii="Arial" w:cs="Arial" w:eastAsia="Arial" w:hAnsi="Arial"/>
                <w:sz w:val="13"/>
                <w:szCs w:val="13"/>
                <w:color w:val="auto"/>
                <w:w w:val="93"/>
              </w:rPr>
              <w:t>Unamortized debt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gridSpan w:val="3"/>
          </w:tcPr>
          <w:p>
            <w:pPr>
              <w:jc w:val="center"/>
              <w:ind w:right="580"/>
              <w:spacing w:after="0" w:line="139" w:lineRule="exact"/>
              <w:rPr>
                <w:sz w:val="20"/>
                <w:szCs w:val="20"/>
                <w:color w:val="auto"/>
              </w:rPr>
            </w:pPr>
            <w:r>
              <w:rPr>
                <w:rFonts w:ascii="Arial" w:cs="Arial" w:eastAsia="Arial" w:hAnsi="Arial"/>
                <w:sz w:val="13"/>
                <w:szCs w:val="13"/>
                <w:color w:val="auto"/>
                <w:w w:val="90"/>
              </w:rPr>
              <w:t>issuance costs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21"/>
              <w:spacing w:after="0"/>
              <w:rPr>
                <w:sz w:val="20"/>
                <w:szCs w:val="20"/>
                <w:color w:val="auto"/>
              </w:rPr>
            </w:pPr>
            <w:r>
              <w:rPr>
                <w:rFonts w:ascii="Arial" w:cs="Arial" w:eastAsia="Arial" w:hAnsi="Arial"/>
                <w:sz w:val="13"/>
                <w:szCs w:val="13"/>
                <w:color w:val="auto"/>
              </w:rPr>
              <w:t>Principal</w:t>
            </w:r>
          </w:p>
        </w:tc>
        <w:tc>
          <w:tcPr>
            <w:tcW w:w="600" w:type="dxa"/>
            <w:vAlign w:val="bottom"/>
          </w:tcPr>
          <w:p>
            <w:pPr>
              <w:spacing w:after="0"/>
              <w:rPr>
                <w:sz w:val="13"/>
                <w:szCs w:val="13"/>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3"/>
                <w:szCs w:val="13"/>
                <w:color w:val="auto"/>
                <w:w w:val="92"/>
              </w:rPr>
              <w:t>financing costs</w:t>
            </w:r>
          </w:p>
        </w:tc>
        <w:tc>
          <w:tcPr>
            <w:tcW w:w="920" w:type="dxa"/>
            <w:vAlign w:val="bottom"/>
            <w:gridSpan w:val="4"/>
          </w:tcPr>
          <w:p>
            <w:pPr>
              <w:ind w:left="100"/>
              <w:spacing w:after="0"/>
              <w:rPr>
                <w:sz w:val="20"/>
                <w:szCs w:val="20"/>
                <w:color w:val="auto"/>
              </w:rPr>
            </w:pPr>
            <w:r>
              <w:rPr>
                <w:rFonts w:ascii="Arial" w:cs="Arial" w:eastAsia="Arial" w:hAnsi="Arial"/>
                <w:sz w:val="13"/>
                <w:szCs w:val="13"/>
                <w:color w:val="auto"/>
                <w:w w:val="96"/>
              </w:rPr>
              <w:t>Total debt, 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82"/>
              </w:rPr>
              <w:t>(10,865)</w:t>
            </w: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433,510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860" w:type="dxa"/>
            <w:vAlign w:val="bottom"/>
            <w:gridSpan w:val="2"/>
          </w:tcPr>
          <w:p>
            <w:pPr>
              <w:jc w:val="right"/>
              <w:ind w:right="11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180"/>
              <w:spacing w:after="0"/>
              <w:rPr>
                <w:sz w:val="20"/>
                <w:szCs w:val="20"/>
                <w:color w:val="auto"/>
              </w:rPr>
            </w:pPr>
            <w:r>
              <w:rPr>
                <w:rFonts w:ascii="Arial" w:cs="Arial" w:eastAsia="Arial" w:hAnsi="Arial"/>
                <w:sz w:val="17"/>
                <w:szCs w:val="17"/>
                <w:color w:val="auto"/>
              </w:rPr>
              <w:t>(10,865)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461,877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Less: current portion of long-term debt</w:t>
            </w: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4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457,197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w w:val="94"/>
              </w:rPr>
              <w:t>December 31, 2019 (Successor)</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40" w:type="dxa"/>
            <w:vAlign w:val="bottom"/>
            <w:gridSpan w:val="4"/>
          </w:tcPr>
          <w:p>
            <w:pPr>
              <w:jc w:val="center"/>
              <w:spacing w:after="0" w:line="114" w:lineRule="exact"/>
              <w:rPr>
                <w:sz w:val="20"/>
                <w:szCs w:val="20"/>
                <w:color w:val="auto"/>
              </w:rPr>
            </w:pPr>
            <w:r>
              <w:rPr>
                <w:rFonts w:ascii="Arial" w:cs="Arial" w:eastAsia="Arial" w:hAnsi="Arial"/>
                <w:sz w:val="13"/>
                <w:szCs w:val="13"/>
                <w:color w:val="auto"/>
                <w:w w:val="93"/>
              </w:rPr>
              <w:t>Unamortized debt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gridSpan w:val="3"/>
          </w:tcPr>
          <w:p>
            <w:pPr>
              <w:jc w:val="center"/>
              <w:ind w:right="580"/>
              <w:spacing w:after="0" w:line="139" w:lineRule="exact"/>
              <w:rPr>
                <w:sz w:val="20"/>
                <w:szCs w:val="20"/>
                <w:color w:val="auto"/>
              </w:rPr>
            </w:pPr>
            <w:r>
              <w:rPr>
                <w:rFonts w:ascii="Arial" w:cs="Arial" w:eastAsia="Arial" w:hAnsi="Arial"/>
                <w:sz w:val="13"/>
                <w:szCs w:val="13"/>
                <w:color w:val="auto"/>
                <w:w w:val="90"/>
              </w:rPr>
              <w:t>issuance costs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21"/>
              <w:spacing w:after="0"/>
              <w:rPr>
                <w:sz w:val="20"/>
                <w:szCs w:val="20"/>
                <w:color w:val="auto"/>
              </w:rPr>
            </w:pPr>
            <w:r>
              <w:rPr>
                <w:rFonts w:ascii="Arial" w:cs="Arial" w:eastAsia="Arial" w:hAnsi="Arial"/>
                <w:sz w:val="13"/>
                <w:szCs w:val="13"/>
                <w:color w:val="auto"/>
              </w:rPr>
              <w:t>Principal</w:t>
            </w:r>
          </w:p>
        </w:tc>
        <w:tc>
          <w:tcPr>
            <w:tcW w:w="600" w:type="dxa"/>
            <w:vAlign w:val="bottom"/>
          </w:tcPr>
          <w:p>
            <w:pPr>
              <w:spacing w:after="0"/>
              <w:rPr>
                <w:sz w:val="13"/>
                <w:szCs w:val="13"/>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3"/>
                <w:szCs w:val="13"/>
                <w:color w:val="auto"/>
                <w:w w:val="92"/>
              </w:rPr>
              <w:t>financing costs</w:t>
            </w:r>
          </w:p>
        </w:tc>
        <w:tc>
          <w:tcPr>
            <w:tcW w:w="920" w:type="dxa"/>
            <w:vAlign w:val="bottom"/>
            <w:gridSpan w:val="4"/>
          </w:tcPr>
          <w:p>
            <w:pPr>
              <w:ind w:left="100"/>
              <w:spacing w:after="0"/>
              <w:rPr>
                <w:sz w:val="20"/>
                <w:szCs w:val="20"/>
                <w:color w:val="auto"/>
              </w:rPr>
            </w:pPr>
            <w:r>
              <w:rPr>
                <w:rFonts w:ascii="Arial" w:cs="Arial" w:eastAsia="Arial" w:hAnsi="Arial"/>
                <w:sz w:val="13"/>
                <w:szCs w:val="13"/>
                <w:color w:val="auto"/>
                <w:w w:val="96"/>
              </w:rPr>
              <w:t>Total debt, 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$448,875</w:t>
            </w:r>
          </w:p>
        </w:tc>
        <w:tc>
          <w:tcPr>
            <w:tcW w:w="6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82"/>
              </w:rPr>
              <w:t>(12,567)</w:t>
            </w: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436,308</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451,916</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(12,567)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439,349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4,500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4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434,849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Term Loan Payable</w:t>
      </w:r>
    </w:p>
    <w:p>
      <w:pPr>
        <w:spacing w:after="0" w:line="108" w:lineRule="exact"/>
        <w:rPr>
          <w:sz w:val="20"/>
          <w:szCs w:val="20"/>
          <w:color w:val="auto"/>
        </w:rPr>
      </w:pPr>
    </w:p>
    <w:p>
      <w:pPr>
        <w:jc w:val="both"/>
        <w:ind w:left="460" w:right="100" w:firstLine="413"/>
        <w:spacing w:after="0" w:line="284"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640"/>
          </w:cols>
          <w:pgMar w:left="320" w:top="440" w:right="93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89" w:lineRule="auto"/>
        <w:rPr>
          <w:sz w:val="20"/>
          <w:szCs w:val="20"/>
          <w:color w:val="auto"/>
        </w:rPr>
      </w:pPr>
      <w:r>
        <w:rPr>
          <w:rFonts w:ascii="Arial" w:cs="Arial" w:eastAsia="Arial" w:hAnsi="Arial"/>
          <w:sz w:val="15"/>
          <w:szCs w:val="15"/>
          <w:color w:val="auto"/>
        </w:rPr>
        <w:t>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Delayed Draw Term Loan Payable</w:t>
      </w:r>
    </w:p>
    <w:p>
      <w:pPr>
        <w:spacing w:after="0" w:line="108" w:lineRule="exact"/>
        <w:rPr>
          <w:sz w:val="20"/>
          <w:szCs w:val="20"/>
          <w:color w:val="auto"/>
        </w:rPr>
      </w:pPr>
    </w:p>
    <w:p>
      <w:pPr>
        <w:ind w:left="460" w:right="40" w:firstLine="413"/>
        <w:spacing w:after="0" w:line="288" w:lineRule="auto"/>
        <w:rPr>
          <w:sz w:val="20"/>
          <w:szCs w:val="20"/>
          <w:color w:val="auto"/>
        </w:rPr>
      </w:pPr>
      <w:r>
        <w:rPr>
          <w:rFonts w:ascii="Arial" w:cs="Arial" w:eastAsia="Arial" w:hAnsi="Arial"/>
          <w:sz w:val="15"/>
          <w:szCs w:val="15"/>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60"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Revolving Line of Credit</w:t>
      </w:r>
    </w:p>
    <w:p>
      <w:pPr>
        <w:spacing w:after="0" w:line="108"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6"/>
          <w:szCs w:val="16"/>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69"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Line of Credit</w:t>
      </w:r>
    </w:p>
    <w:p>
      <w:pPr>
        <w:spacing w:after="0" w:line="108"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780"/>
          </w:cols>
          <w:pgMar w:left="320" w:top="440" w:right="79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Financing Costs</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Capitalized financing costs represent costs incurred by the Company to obtain financing and are amortized over the term of the applicable loan using the effective interest method.</w:t>
      </w:r>
    </w:p>
    <w:p>
      <w:pPr>
        <w:spacing w:after="0" w:line="16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14"/>
        </w:trPr>
        <w:tc>
          <w:tcPr>
            <w:tcW w:w="6520" w:type="dxa"/>
            <w:vAlign w:val="bottom"/>
            <w:gridSpan w:val="2"/>
          </w:tcPr>
          <w:p>
            <w:pPr>
              <w:spacing w:after="0"/>
              <w:rPr>
                <w:sz w:val="20"/>
                <w:szCs w:val="20"/>
                <w:color w:val="auto"/>
              </w:rPr>
            </w:pPr>
            <w:r>
              <w:rPr>
                <w:rFonts w:ascii="Arial" w:cs="Arial" w:eastAsia="Arial" w:hAnsi="Arial"/>
                <w:sz w:val="17"/>
                <w:szCs w:val="17"/>
                <w:color w:val="auto"/>
              </w:rPr>
              <w:t>Future principal payments as of December 31, 2020 are as follows (in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vMerge w:val="restart"/>
          </w:tcPr>
          <w:p>
            <w:pPr>
              <w:spacing w:after="0"/>
              <w:rPr>
                <w:sz w:val="19"/>
                <w:szCs w:val="19"/>
                <w:color w:val="auto"/>
              </w:rPr>
            </w:pPr>
          </w:p>
        </w:tc>
        <w:tc>
          <w:tcPr>
            <w:tcW w:w="5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40" w:type="dxa"/>
            <w:vAlign w:val="bottom"/>
            <w:vMerge w:val="continue"/>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2022</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2024</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Thereafter</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449,342</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472,742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860" w:hanging="403"/>
        <w:spacing w:after="0"/>
        <w:tabs>
          <w:tab w:leader="none" w:pos="86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08"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5" w:lineRule="exact"/>
        <w:rPr>
          <w:sz w:val="20"/>
          <w:szCs w:val="20"/>
          <w:color w:val="auto"/>
        </w:rPr>
      </w:pPr>
    </w:p>
    <w:p>
      <w:pPr>
        <w:ind w:left="460" w:right="100" w:firstLine="413"/>
        <w:spacing w:after="0" w:line="311"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0"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57"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w:t>
      </w:r>
    </w:p>
    <w:p>
      <w:pPr>
        <w:spacing w:after="0" w:line="11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720"/>
          </w:cols>
          <w:pgMar w:left="320" w:top="440" w:right="85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spacing w:after="0" w:line="286" w:lineRule="auto"/>
        <w:rPr>
          <w:sz w:val="20"/>
          <w:szCs w:val="20"/>
          <w:color w:val="auto"/>
        </w:rPr>
      </w:pPr>
      <w:r>
        <w:rPr>
          <w:rFonts w:ascii="Arial" w:cs="Arial" w:eastAsia="Arial" w:hAnsi="Arial"/>
          <w:sz w:val="15"/>
          <w:szCs w:val="15"/>
          <w:color w:val="auto"/>
        </w:rPr>
        <w:t>achievement would result in a higher fair value measurement. The fair value of the contingent 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w:t>
      </w:r>
    </w:p>
    <w:p>
      <w:pPr>
        <w:ind w:left="460" w:right="280"/>
        <w:spacing w:after="0" w:line="257" w:lineRule="auto"/>
        <w:rPr>
          <w:sz w:val="20"/>
          <w:szCs w:val="20"/>
          <w:color w:val="auto"/>
        </w:rPr>
      </w:pPr>
      <w:r>
        <w:rPr>
          <w:rFonts w:ascii="Arial" w:cs="Arial" w:eastAsia="Arial" w:hAnsi="Arial"/>
          <w:sz w:val="17"/>
          <w:szCs w:val="17"/>
          <w:color w:val="auto"/>
        </w:rPr>
        <w:t>$0.0 million (undiscounted) in earn-out payments. Assuming the achievement of the applicable performance criteria, these earn-out payments will be made over the next 2 years.</w:t>
      </w:r>
    </w:p>
    <w:p>
      <w:pPr>
        <w:spacing w:after="0" w:line="177"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 (in thousands):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gridSpan w:val="5"/>
            <w:vMerge w:val="restart"/>
          </w:tcPr>
          <w:p>
            <w:pPr>
              <w:ind w:left="400"/>
              <w:spacing w:after="0"/>
              <w:rPr>
                <w:sz w:val="20"/>
                <w:szCs w:val="20"/>
                <w:color w:val="auto"/>
              </w:rPr>
            </w:pPr>
            <w:r>
              <w:rPr>
                <w:rFonts w:ascii="Arial" w:cs="Arial" w:eastAsia="Arial" w:hAnsi="Arial"/>
                <w:sz w:val="13"/>
                <w:szCs w:val="13"/>
                <w:b w:val="1"/>
                <w:bCs w:val="1"/>
                <w:color w:val="auto"/>
              </w:rPr>
              <w:t>Successor Company</w:t>
            </w: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3"/>
                <w:szCs w:val="13"/>
                <w:color w:val="auto"/>
              </w:rPr>
              <w:t>Period from</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3"/>
                <w:szCs w:val="13"/>
                <w:color w:val="auto"/>
                <w:w w:val="95"/>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39" w:lineRule="exact"/>
              <w:rPr>
                <w:sz w:val="20"/>
                <w:szCs w:val="20"/>
                <w:color w:val="auto"/>
              </w:rPr>
            </w:pPr>
            <w:r>
              <w:rPr>
                <w:rFonts w:ascii="Arial" w:cs="Arial" w:eastAsia="Arial" w:hAnsi="Arial"/>
                <w:sz w:val="13"/>
                <w:szCs w:val="13"/>
                <w:color w:val="auto"/>
                <w:w w:val="98"/>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
              <w:spacing w:after="0" w:line="139" w:lineRule="exact"/>
              <w:rPr>
                <w:sz w:val="20"/>
                <w:szCs w:val="20"/>
                <w:color w:val="auto"/>
              </w:rPr>
            </w:pPr>
            <w:r>
              <w:rPr>
                <w:rFonts w:ascii="Arial" w:cs="Arial" w:eastAsia="Arial" w:hAnsi="Arial"/>
                <w:sz w:val="13"/>
                <w:szCs w:val="13"/>
                <w:color w:val="auto"/>
              </w:rPr>
              <w:t>July 16, 2019 to</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0"/>
              <w:spacing w:after="0" w:line="139" w:lineRule="exact"/>
              <w:rPr>
                <w:sz w:val="20"/>
                <w:szCs w:val="20"/>
                <w:color w:val="auto"/>
              </w:rPr>
            </w:pPr>
            <w:r>
              <w:rPr>
                <w:rFonts w:ascii="Arial" w:cs="Arial" w:eastAsia="Arial" w:hAnsi="Arial"/>
                <w:sz w:val="13"/>
                <w:szCs w:val="13"/>
                <w:color w:val="auto"/>
                <w:w w:val="92"/>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3"/>
                <w:szCs w:val="13"/>
                <w:color w:val="auto"/>
                <w:w w:val="91"/>
              </w:rPr>
              <w:t>December 31, 2020</w:t>
            </w:r>
          </w:p>
        </w:tc>
        <w:tc>
          <w:tcPr>
            <w:tcW w:w="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3"/>
                <w:szCs w:val="13"/>
                <w:color w:val="auto"/>
                <w:w w:val="91"/>
              </w:rPr>
              <w:t>December 31, 2019</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3"/>
                <w:szCs w:val="13"/>
                <w:color w:val="auto"/>
                <w:w w:val="95"/>
              </w:rPr>
              <w:t>to 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2,600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 and other adjustments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2,636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5,236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were as follows as of</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2020:</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23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1"/>
              </w:rPr>
              <w:t>Fair Value</w:t>
            </w:r>
          </w:p>
        </w:tc>
        <w:tc>
          <w:tcPr>
            <w:tcW w:w="500" w:type="dxa"/>
            <w:vAlign w:val="bottom"/>
            <w:tcBorders>
              <w:bottom w:val="single" w:sz="8" w:color="CCEEFF"/>
            </w:tcBorders>
          </w:tcPr>
          <w:p>
            <w:pPr>
              <w:spacing w:after="0"/>
              <w:rPr>
                <w:sz w:val="14"/>
                <w:szCs w:val="14"/>
                <w:color w:val="auto"/>
              </w:rPr>
            </w:pPr>
          </w:p>
        </w:tc>
        <w:tc>
          <w:tcPr>
            <w:tcW w:w="350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auto"/>
              </w:rPr>
              <w:t>Valuation Technique</w:t>
            </w:r>
          </w:p>
        </w:tc>
        <w:tc>
          <w:tcPr>
            <w:tcW w:w="3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Unobservable Inputs</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93"/>
              </w:rPr>
              <w:t>Discount Rate</w:t>
            </w:r>
          </w:p>
        </w:tc>
        <w:tc>
          <w:tcPr>
            <w:tcW w:w="320" w:type="dxa"/>
            <w:vAlign w:val="bottom"/>
            <w:tcBorders>
              <w:bottom w:val="single" w:sz="8" w:color="CCEEFF"/>
            </w:tcBorders>
          </w:tcPr>
          <w:p>
            <w:pPr>
              <w:spacing w:after="0"/>
              <w:rPr>
                <w:sz w:val="14"/>
                <w:szCs w:val="14"/>
                <w:color w:val="auto"/>
              </w:rPr>
            </w:pPr>
          </w:p>
        </w:tc>
      </w:tr>
      <w:tr>
        <w:trPr>
          <w:trHeight w:val="195"/>
        </w:trPr>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w w:val="98"/>
              </w:rPr>
              <w:t>$ 5,236</w:t>
            </w:r>
          </w:p>
        </w:tc>
        <w:tc>
          <w:tcPr>
            <w:tcW w:w="50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ind w:left="740"/>
              <w:spacing w:after="0"/>
              <w:rPr>
                <w:sz w:val="20"/>
                <w:szCs w:val="20"/>
                <w:color w:val="auto"/>
              </w:rPr>
            </w:pPr>
            <w:r>
              <w:rPr>
                <w:rFonts w:ascii="Arial" w:cs="Arial" w:eastAsia="Arial" w:hAnsi="Arial"/>
                <w:sz w:val="17"/>
                <w:szCs w:val="17"/>
                <w:color w:val="auto"/>
                <w:w w:val="87"/>
              </w:rPr>
              <w:t>Discount rate</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w:t>
            </w:r>
          </w:p>
        </w:tc>
      </w:tr>
    </w:tbl>
    <w:p>
      <w:pPr>
        <w:spacing w:after="0" w:line="190"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For discussion about the impairment testing of assets not measured at fair value on a recurring basis see Note 7.</w:t>
      </w:r>
      <w:r>
        <w:rPr>
          <w:rFonts w:ascii="Arial" w:cs="Arial" w:eastAsia="Arial" w:hAnsi="Arial"/>
          <w:sz w:val="17"/>
          <w:szCs w:val="17"/>
          <w:i w:val="1"/>
          <w:iCs w:val="1"/>
          <w:color w:val="auto"/>
        </w:rPr>
        <w:t xml:space="preserve"> Goodwill and Intangible Assets </w:t>
      </w:r>
      <w:r>
        <w:rPr>
          <w:rFonts w:ascii="Arial" w:cs="Arial" w:eastAsia="Arial" w:hAnsi="Arial"/>
          <w:sz w:val="17"/>
          <w:szCs w:val="17"/>
          <w:color w:val="auto"/>
        </w:rPr>
        <w:t>for additional details.</w:t>
      </w:r>
    </w:p>
    <w:p>
      <w:pPr>
        <w:spacing w:after="0" w:line="321" w:lineRule="exact"/>
        <w:rPr>
          <w:sz w:val="20"/>
          <w:szCs w:val="20"/>
          <w:color w:val="auto"/>
        </w:rPr>
      </w:pPr>
    </w:p>
    <w:p>
      <w:pPr>
        <w:ind w:left="860" w:hanging="403"/>
        <w:spacing w:after="0"/>
        <w:tabs>
          <w:tab w:leader="none" w:pos="86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 (in thousands):</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3"/>
                <w:szCs w:val="13"/>
                <w:b w:val="1"/>
                <w:bCs w:val="1"/>
                <w:color w:val="auto"/>
              </w:rPr>
              <w:t>Successor Company</w:t>
            </w: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32"/>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60" w:type="dxa"/>
            <w:vAlign w:val="bottom"/>
            <w:gridSpan w:val="2"/>
          </w:tcPr>
          <w:p>
            <w:pPr>
              <w:jc w:val="right"/>
              <w:spacing w:after="0" w:line="132" w:lineRule="exact"/>
              <w:rPr>
                <w:sz w:val="20"/>
                <w:szCs w:val="20"/>
                <w:color w:val="auto"/>
              </w:rPr>
            </w:pPr>
            <w:r>
              <w:rPr>
                <w:rFonts w:ascii="Arial" w:cs="Arial" w:eastAsia="Arial" w:hAnsi="Arial"/>
                <w:sz w:val="13"/>
                <w:szCs w:val="13"/>
                <w:color w:val="auto"/>
                <w:w w:val="91"/>
              </w:rPr>
              <w:t>December 31, 2020</w:t>
            </w:r>
          </w:p>
        </w:tc>
        <w:tc>
          <w:tcPr>
            <w:tcW w:w="2080" w:type="dxa"/>
            <w:vAlign w:val="bottom"/>
            <w:gridSpan w:val="3"/>
          </w:tcPr>
          <w:p>
            <w:pPr>
              <w:jc w:val="right"/>
              <w:spacing w:after="0" w:line="132" w:lineRule="exact"/>
              <w:rPr>
                <w:sz w:val="20"/>
                <w:szCs w:val="20"/>
                <w:color w:val="auto"/>
              </w:rPr>
            </w:pPr>
            <w:r>
              <w:rPr>
                <w:rFonts w:ascii="Arial" w:cs="Arial" w:eastAsia="Arial" w:hAnsi="Arial"/>
                <w:sz w:val="13"/>
                <w:szCs w:val="13"/>
                <w:color w:val="auto"/>
              </w:rPr>
              <w:t>December 31, 2019</w:t>
            </w:r>
          </w:p>
        </w:tc>
        <w:tc>
          <w:tcPr>
            <w:tcW w:w="40" w:type="dxa"/>
            <w:vAlign w:val="bottom"/>
          </w:tcPr>
          <w:p>
            <w:pPr>
              <w:spacing w:after="0"/>
              <w:rPr>
                <w:sz w:val="11"/>
                <w:szCs w:val="11"/>
                <w:color w:val="auto"/>
              </w:rPr>
            </w:pPr>
          </w:p>
        </w:tc>
      </w:tr>
      <w:tr>
        <w:trPr>
          <w:trHeight w:val="195"/>
        </w:trPr>
        <w:tc>
          <w:tcPr>
            <w:tcW w:w="20" w:type="dxa"/>
            <w:vAlign w:val="bottom"/>
          </w:tcPr>
          <w:p>
            <w:pPr>
              <w:spacing w:after="0"/>
              <w:rPr>
                <w:sz w:val="16"/>
                <w:szCs w:val="16"/>
                <w:color w:val="auto"/>
              </w:rPr>
            </w:pPr>
          </w:p>
        </w:tc>
        <w:tc>
          <w:tcPr>
            <w:tcW w:w="3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Payroll and payroll-related</w:t>
            </w:r>
          </w:p>
        </w:tc>
        <w:tc>
          <w:tcPr>
            <w:tcW w:w="18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10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3,879</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Accrued interest</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5,365</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4,215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Sales taxes</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649</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1,916</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Other</w:t>
            </w:r>
          </w:p>
        </w:tc>
        <w:tc>
          <w:tcPr>
            <w:tcW w:w="1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w:t>
            </w:r>
          </w:p>
        </w:tc>
        <w:tc>
          <w:tcPr>
            <w:tcW w:w="1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2200" w:type="dxa"/>
            <w:vAlign w:val="bottom"/>
            <w:gridSpan w:val="2"/>
            <w:shd w:val="clear" w:color="auto" w:fill="CCEEFF"/>
          </w:tcPr>
          <w:p>
            <w:pPr>
              <w:jc w:val="right"/>
              <w:ind w:right="189"/>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17,321</w:t>
            </w:r>
          </w:p>
        </w:tc>
        <w:tc>
          <w:tcPr>
            <w:tcW w:w="1340" w:type="dxa"/>
            <w:vAlign w:val="bottom"/>
            <w:gridSpan w:val="2"/>
            <w:shd w:val="clear" w:color="auto" w:fill="CCEEFF"/>
          </w:tcPr>
          <w:p>
            <w:pPr>
              <w:jc w:val="right"/>
              <w:ind w:right="16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10,348</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0" w:type="dxa"/>
            <w:vAlign w:val="bottom"/>
            <w:gridSpan w:val="2"/>
          </w:tcPr>
          <w:p>
            <w:pPr>
              <w:jc w:val="right"/>
              <w:ind w:right="1269"/>
              <w:spacing w:after="0"/>
              <w:rPr>
                <w:sz w:val="20"/>
                <w:szCs w:val="20"/>
                <w:color w:val="auto"/>
              </w:rPr>
            </w:pPr>
            <w:r>
              <w:rPr>
                <w:rFonts w:ascii="Arial" w:cs="Arial" w:eastAsia="Arial" w:hAnsi="Arial"/>
                <w:sz w:val="17"/>
                <w:szCs w:val="17"/>
                <w:color w:val="auto"/>
              </w:rPr>
              <w:t>F-37</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00"/>
          </w:cols>
          <w:pgMar w:left="320" w:top="440" w:right="77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5"/>
          <w:szCs w:val="15"/>
          <w:color w:val="auto"/>
        </w:rPr>
        <w:t>The Company leases office facilities in Massachusetts, Vermont and Sweden, the terms of which expire at various times through the year 2030.</w:t>
      </w:r>
    </w:p>
    <w:p>
      <w:pPr>
        <w:spacing w:after="0" w:line="233" w:lineRule="exact"/>
        <w:rPr>
          <w:sz w:val="20"/>
          <w:szCs w:val="20"/>
          <w:color w:val="auto"/>
        </w:rPr>
      </w:pPr>
    </w:p>
    <w:p>
      <w:pPr>
        <w:ind w:left="460" w:right="340" w:firstLine="413"/>
        <w:spacing w:after="0" w:line="284" w:lineRule="auto"/>
        <w:rPr>
          <w:sz w:val="20"/>
          <w:szCs w:val="20"/>
          <w:color w:val="auto"/>
        </w:rPr>
      </w:pPr>
      <w:r>
        <w:rPr>
          <w:rFonts w:ascii="Arial" w:cs="Arial" w:eastAsia="Arial" w:hAnsi="Arial"/>
          <w:sz w:val="16"/>
          <w:szCs w:val="16"/>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57"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Minimum future rental payments are expected to be as follows for each of the years ending December 31 (in thousands):</w:t>
      </w:r>
    </w:p>
    <w:p>
      <w:pPr>
        <w:spacing w:after="0" w:line="248"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3,035</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2,673</w:t>
            </w: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2,043</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2,338</w:t>
            </w: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2,193</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4,790</w:t>
            </w:r>
          </w:p>
        </w:tc>
      </w:tr>
      <w:tr>
        <w:trPr>
          <w:trHeight w:val="25"/>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17,072</w:t>
            </w: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520" w:firstLine="413"/>
        <w:spacing w:after="0" w:line="303" w:lineRule="auto"/>
        <w:rPr>
          <w:sz w:val="20"/>
          <w:szCs w:val="20"/>
          <w:color w:val="auto"/>
        </w:rPr>
      </w:pPr>
      <w:r>
        <w:rPr>
          <w:rFonts w:ascii="Arial" w:cs="Arial" w:eastAsia="Arial" w:hAnsi="Arial"/>
          <w:sz w:val="16"/>
          <w:szCs w:val="16"/>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81"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5,396</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5,257</w:t>
            </w: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5,098</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3,925</w:t>
            </w: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2,370</w:t>
            </w:r>
          </w:p>
        </w:tc>
      </w:tr>
      <w:tr>
        <w:trPr>
          <w:trHeight w:val="208"/>
        </w:trPr>
        <w:tc>
          <w:tcPr>
            <w:tcW w:w="636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3"/>
        </w:trPr>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22,046</w:t>
            </w: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880" w:right="8680" w:hanging="423"/>
        <w:spacing w:after="0" w:line="453" w:lineRule="auto"/>
        <w:tabs>
          <w:tab w:leader="none" w:pos="872" w:val="left"/>
        </w:tabs>
        <w:numPr>
          <w:ilvl w:val="0"/>
          <w:numId w:val="18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Members’ capital </w:t>
      </w:r>
      <w:r>
        <w:rPr>
          <w:rFonts w:ascii="Arial" w:cs="Arial" w:eastAsia="Arial" w:hAnsi="Arial"/>
          <w:sz w:val="14"/>
          <w:szCs w:val="14"/>
          <w:b w:val="1"/>
          <w:bCs w:val="1"/>
          <w:color w:val="auto"/>
        </w:rPr>
        <w:t>Successor</w:t>
      </w:r>
    </w:p>
    <w:p>
      <w:pPr>
        <w:ind w:left="460" w:right="660" w:firstLine="413"/>
        <w:spacing w:after="0" w:line="272"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and Note 3. Business </w:t>
      </w:r>
      <w:r>
        <w:rPr>
          <w:rFonts w:ascii="Arial" w:cs="Arial" w:eastAsia="Arial" w:hAnsi="Arial"/>
          <w:sz w:val="17"/>
          <w:szCs w:val="17"/>
          <w:i w:val="1"/>
          <w:iCs w:val="1"/>
          <w:color w:val="auto"/>
        </w:rPr>
        <w:t>Combinations</w:t>
      </w:r>
      <w:r>
        <w:rPr>
          <w:rFonts w:ascii="Arial" w:cs="Arial" w:eastAsia="Arial" w:hAnsi="Arial"/>
          <w:sz w:val="17"/>
          <w:szCs w:val="17"/>
          <w:color w:val="auto"/>
        </w:rPr>
        <w:t>, the Company was formed by Advent for the purpose of acquiring Definitive Holdco.</w:t>
      </w:r>
    </w:p>
    <w:p>
      <w:pPr>
        <w:spacing w:after="0" w:line="165"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Upon formation of the Company, two classes of units were established: Class A Units (“Class A Units”) and Class B Units (“Class B Units”), collectively the Units.</w:t>
      </w:r>
    </w:p>
    <w:p>
      <w:pPr>
        <w:spacing w:after="0" w:line="165"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On July 16, 2019, 100% of the issued and outstanding Legacy Common Units of Definitive Holdco were acquired by AIDH Buyer, an affiliated legal entity of Advent and a wholly owned subsidiary of the Company.</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0760"/>
          </w:cols>
          <w:pgMar w:left="320" w:top="440" w:right="81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color w:val="auto"/>
        </w:rPr>
        <w:t>As part of the Definitive Holdco Acquisition, the Company issued 127,725,743 Class A Units at $10 per unit for total contributed capital of $1,267.3 million.</w:t>
      </w:r>
    </w:p>
    <w:p>
      <w:pPr>
        <w:spacing w:after="0" w:line="165"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Additionally, the outstanding units of the Legacy Class B Series B, Series C, Series D, and Series E were sold to AIDH Buyer and the holders received a combination of cash and equity in the Company.</w:t>
      </w:r>
    </w:p>
    <w:p>
      <w:pPr>
        <w:spacing w:after="0" w:line="165"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w:t>
      </w:r>
    </w:p>
    <w:p>
      <w:pPr>
        <w:spacing w:after="0" w:line="17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 xml:space="preserve">In 2019, the Company contributed $4.0 million worth of its Class A Units to partially fund the acquisition of HSE that occurred in December 2019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65"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 xml:space="preserve">In 2020, the Company contributed $25.4 million worth of its Class A units to partially fund the acquisition of Monocl that occurred in October 2020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also received an additional $6.4 million for buy in of Class A Units from of a number of its members.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There was 130,245,990 and 127,125,435 issued and outstanding Class A units as of December 31, 2020 and December 31, 2019, respectively.</w:t>
      </w:r>
    </w:p>
    <w:p>
      <w:pPr>
        <w:spacing w:after="0" w:line="33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Predecessor</w:t>
      </w:r>
    </w:p>
    <w:p>
      <w:pPr>
        <w:spacing w:after="0" w:line="108" w:lineRule="exact"/>
        <w:rPr>
          <w:sz w:val="20"/>
          <w:szCs w:val="20"/>
          <w:color w:val="auto"/>
        </w:rPr>
      </w:pPr>
    </w:p>
    <w:p>
      <w:pPr>
        <w:ind w:left="460" w:right="220" w:firstLine="413"/>
        <w:spacing w:after="0" w:line="272" w:lineRule="auto"/>
        <w:rPr>
          <w:sz w:val="20"/>
          <w:szCs w:val="20"/>
          <w:color w:val="auto"/>
        </w:rPr>
      </w:pPr>
      <w:r>
        <w:rPr>
          <w:rFonts w:ascii="Arial" w:cs="Arial" w:eastAsia="Arial" w:hAnsi="Arial"/>
          <w:sz w:val="17"/>
          <w:szCs w:val="17"/>
          <w:color w:val="auto"/>
        </w:rPr>
        <w:t>Upon formation of the Predecessor Company, two classes of common units were established; Class A Common Units (“Legacy Class A Units”) and Class B Common Units (“Legacy Class B Units”), collectively the Legacy Common Units.</w:t>
      </w:r>
    </w:p>
    <w:p>
      <w:pPr>
        <w:spacing w:after="0" w:line="165"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82"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75" w:lineRule="exact"/>
        <w:rPr>
          <w:sz w:val="20"/>
          <w:szCs w:val="20"/>
          <w:color w:val="auto"/>
        </w:rPr>
      </w:pPr>
    </w:p>
    <w:p>
      <w:pPr>
        <w:ind w:left="460" w:right="120" w:firstLine="413"/>
        <w:spacing w:after="0" w:line="284" w:lineRule="auto"/>
        <w:rPr>
          <w:sz w:val="20"/>
          <w:szCs w:val="20"/>
          <w:color w:val="auto"/>
        </w:rPr>
      </w:pPr>
      <w:r>
        <w:rPr>
          <w:rFonts w:ascii="Arial" w:cs="Arial" w:eastAsia="Arial" w:hAnsi="Arial"/>
          <w:sz w:val="16"/>
          <w:szCs w:val="16"/>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57" w:lineRule="exact"/>
        <w:rPr>
          <w:sz w:val="20"/>
          <w:szCs w:val="20"/>
          <w:color w:val="auto"/>
        </w:rPr>
      </w:pPr>
    </w:p>
    <w:p>
      <w:pPr>
        <w:ind w:left="460" w:right="60" w:firstLine="413"/>
        <w:spacing w:after="0" w:line="303" w:lineRule="auto"/>
        <w:rPr>
          <w:sz w:val="20"/>
          <w:szCs w:val="20"/>
          <w:color w:val="auto"/>
        </w:rPr>
      </w:pPr>
      <w:r>
        <w:rPr>
          <w:rFonts w:ascii="Arial" w:cs="Arial" w:eastAsia="Arial" w:hAnsi="Arial"/>
          <w:sz w:val="16"/>
          <w:szCs w:val="16"/>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43" w:lineRule="exact"/>
        <w:rPr>
          <w:sz w:val="20"/>
          <w:szCs w:val="20"/>
          <w:color w:val="auto"/>
        </w:rPr>
      </w:pPr>
    </w:p>
    <w:p>
      <w:pPr>
        <w:ind w:left="460" w:right="360" w:firstLine="413"/>
        <w:spacing w:after="0" w:line="311" w:lineRule="auto"/>
        <w:rPr>
          <w:sz w:val="20"/>
          <w:szCs w:val="20"/>
          <w:color w:val="auto"/>
        </w:rPr>
      </w:pPr>
      <w:r>
        <w:rPr>
          <w:rFonts w:ascii="Arial" w:cs="Arial" w:eastAsia="Arial" w:hAnsi="Arial"/>
          <w:sz w:val="15"/>
          <w:szCs w:val="15"/>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780"/>
          </w:cols>
          <w:pgMar w:left="320" w:top="440" w:right="79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right="7960" w:hanging="423"/>
        <w:spacing w:after="0" w:line="453" w:lineRule="auto"/>
        <w:tabs>
          <w:tab w:leader="none" w:pos="872" w:val="left"/>
        </w:tabs>
        <w:numPr>
          <w:ilvl w:val="0"/>
          <w:numId w:val="18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Equity-based Compensation </w:t>
      </w:r>
      <w:r>
        <w:rPr>
          <w:rFonts w:ascii="Arial" w:cs="Arial" w:eastAsia="Arial" w:hAnsi="Arial"/>
          <w:sz w:val="14"/>
          <w:szCs w:val="14"/>
          <w:u w:val="single" w:color="auto"/>
          <w:color w:val="auto"/>
        </w:rPr>
        <w:t>2019 Incentive Equity Plan</w:t>
      </w:r>
    </w:p>
    <w:p>
      <w:pPr>
        <w:ind w:left="460" w:right="100" w:firstLine="413"/>
        <w:spacing w:after="0" w:line="272" w:lineRule="auto"/>
        <w:rPr>
          <w:sz w:val="20"/>
          <w:szCs w:val="20"/>
          <w:color w:val="auto"/>
        </w:rPr>
      </w:pPr>
      <w:r>
        <w:rPr>
          <w:rFonts w:ascii="Arial" w:cs="Arial" w:eastAsia="Arial" w:hAnsi="Arial"/>
          <w:sz w:val="16"/>
          <w:szCs w:val="16"/>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67" w:lineRule="exact"/>
        <w:rPr>
          <w:sz w:val="20"/>
          <w:szCs w:val="20"/>
          <w:color w:val="auto"/>
        </w:rPr>
      </w:pPr>
    </w:p>
    <w:p>
      <w:pPr>
        <w:ind w:left="460" w:right="100" w:firstLine="413"/>
        <w:spacing w:after="0" w:line="256" w:lineRule="auto"/>
        <w:rPr>
          <w:sz w:val="20"/>
          <w:szCs w:val="20"/>
          <w:color w:val="auto"/>
        </w:rPr>
      </w:pPr>
      <w:r>
        <w:rPr>
          <w:rFonts w:ascii="Arial" w:cs="Arial" w:eastAsia="Arial" w:hAnsi="Arial"/>
          <w:sz w:val="17"/>
          <w:szCs w:val="17"/>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7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4560" w:type="dxa"/>
            <w:vAlign w:val="bottom"/>
          </w:tcPr>
          <w:p>
            <w:pPr>
              <w:spacing w:after="0"/>
              <w:rPr>
                <w:sz w:val="13"/>
                <w:szCs w:val="13"/>
                <w:color w:val="auto"/>
              </w:rPr>
            </w:pPr>
          </w:p>
        </w:tc>
        <w:tc>
          <w:tcPr>
            <w:tcW w:w="3280" w:type="dxa"/>
            <w:vAlign w:val="bottom"/>
            <w:gridSpan w:val="4"/>
          </w:tcPr>
          <w:p>
            <w:pPr>
              <w:jc w:val="right"/>
              <w:ind w:right="1140"/>
              <w:spacing w:after="0"/>
              <w:rPr>
                <w:sz w:val="20"/>
                <w:szCs w:val="20"/>
                <w:color w:val="auto"/>
              </w:rPr>
            </w:pPr>
            <w:r>
              <w:rPr>
                <w:rFonts w:ascii="Arial" w:cs="Arial" w:eastAsia="Arial" w:hAnsi="Arial"/>
                <w:sz w:val="13"/>
                <w:szCs w:val="13"/>
                <w:b w:val="1"/>
                <w:bCs w:val="1"/>
                <w:color w:val="auto"/>
              </w:rPr>
              <w:t>Successor Company</w:t>
            </w:r>
          </w:p>
        </w:tc>
      </w:tr>
      <w:tr>
        <w:trPr>
          <w:trHeight w:val="114"/>
        </w:trPr>
        <w:tc>
          <w:tcPr>
            <w:tcW w:w="456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8"/>
              </w:rPr>
              <w:t>Period from</w:t>
            </w:r>
          </w:p>
        </w:tc>
        <w:tc>
          <w:tcPr>
            <w:tcW w:w="180" w:type="dxa"/>
            <w:vAlign w:val="bottom"/>
          </w:tcPr>
          <w:p>
            <w:pPr>
              <w:spacing w:after="0"/>
              <w:rPr>
                <w:sz w:val="9"/>
                <w:szCs w:val="9"/>
                <w:color w:val="auto"/>
              </w:rPr>
            </w:pPr>
          </w:p>
        </w:tc>
      </w:tr>
      <w:tr>
        <w:trPr>
          <w:trHeight w:val="139"/>
        </w:trPr>
        <w:tc>
          <w:tcPr>
            <w:tcW w:w="4560" w:type="dxa"/>
            <w:vAlign w:val="bottom"/>
          </w:tcPr>
          <w:p>
            <w:pPr>
              <w:spacing w:after="0"/>
              <w:rPr>
                <w:sz w:val="12"/>
                <w:szCs w:val="12"/>
                <w:color w:val="auto"/>
              </w:rPr>
            </w:pPr>
          </w:p>
        </w:tc>
        <w:tc>
          <w:tcPr>
            <w:tcW w:w="2040" w:type="dxa"/>
            <w:vAlign w:val="bottom"/>
            <w:gridSpan w:val="2"/>
          </w:tcPr>
          <w:p>
            <w:pPr>
              <w:jc w:val="right"/>
              <w:ind w:right="1200"/>
              <w:spacing w:after="0" w:line="139" w:lineRule="exact"/>
              <w:rPr>
                <w:sz w:val="20"/>
                <w:szCs w:val="20"/>
                <w:color w:val="auto"/>
              </w:rPr>
            </w:pPr>
            <w:r>
              <w:rPr>
                <w:rFonts w:ascii="Arial" w:cs="Arial" w:eastAsia="Arial" w:hAnsi="Arial"/>
                <w:sz w:val="13"/>
                <w:szCs w:val="13"/>
                <w:color w:val="auto"/>
              </w:rPr>
              <w:t>Year ended</w:t>
            </w:r>
          </w:p>
        </w:tc>
        <w:tc>
          <w:tcPr>
            <w:tcW w:w="1240" w:type="dxa"/>
            <w:vAlign w:val="bottom"/>
            <w:gridSpan w:val="2"/>
          </w:tcPr>
          <w:p>
            <w:pPr>
              <w:jc w:val="center"/>
              <w:ind w:right="180"/>
              <w:spacing w:after="0" w:line="139" w:lineRule="exact"/>
              <w:rPr>
                <w:sz w:val="20"/>
                <w:szCs w:val="20"/>
                <w:color w:val="auto"/>
              </w:rPr>
            </w:pPr>
            <w:r>
              <w:rPr>
                <w:rFonts w:ascii="Arial" w:cs="Arial" w:eastAsia="Arial" w:hAnsi="Arial"/>
                <w:sz w:val="13"/>
                <w:szCs w:val="13"/>
                <w:color w:val="auto"/>
                <w:w w:val="93"/>
              </w:rPr>
              <w:t>July 16, 2019 to</w:t>
            </w:r>
          </w:p>
        </w:tc>
      </w:tr>
      <w:tr>
        <w:trPr>
          <w:trHeight w:val="158"/>
        </w:trPr>
        <w:tc>
          <w:tcPr>
            <w:tcW w:w="4560" w:type="dxa"/>
            <w:vAlign w:val="bottom"/>
          </w:tcPr>
          <w:p>
            <w:pPr>
              <w:spacing w:after="0"/>
              <w:rPr>
                <w:sz w:val="13"/>
                <w:szCs w:val="13"/>
                <w:color w:val="auto"/>
              </w:rPr>
            </w:pPr>
          </w:p>
        </w:tc>
        <w:tc>
          <w:tcPr>
            <w:tcW w:w="2040" w:type="dxa"/>
            <w:vAlign w:val="bottom"/>
            <w:gridSpan w:val="2"/>
          </w:tcPr>
          <w:p>
            <w:pPr>
              <w:jc w:val="right"/>
              <w:ind w:right="960"/>
              <w:spacing w:after="0"/>
              <w:rPr>
                <w:sz w:val="20"/>
                <w:szCs w:val="20"/>
                <w:color w:val="auto"/>
              </w:rPr>
            </w:pPr>
            <w:r>
              <w:rPr>
                <w:rFonts w:ascii="Arial" w:cs="Arial" w:eastAsia="Arial" w:hAnsi="Arial"/>
                <w:sz w:val="13"/>
                <w:szCs w:val="13"/>
                <w:color w:val="auto"/>
                <w:w w:val="92"/>
              </w:rPr>
              <w:t>December 31, 2020</w:t>
            </w: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31, 2019</w:t>
            </w:r>
          </w:p>
        </w:tc>
      </w:tr>
      <w:tr>
        <w:trPr>
          <w:trHeight w:val="195"/>
        </w:trPr>
        <w:tc>
          <w:tcPr>
            <w:tcW w:w="4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Expected option term</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9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180" w:type="dxa"/>
            <w:vAlign w:val="bottom"/>
            <w:tcBorders>
              <w:top w:val="single" w:sz="8" w:color="CCEEFF"/>
            </w:tcBorders>
            <w:shd w:val="clear" w:color="auto" w:fill="CCEEFF"/>
          </w:tcPr>
          <w:p>
            <w:pPr>
              <w:spacing w:after="0"/>
              <w:rPr>
                <w:sz w:val="16"/>
                <w:szCs w:val="16"/>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2040" w:type="dxa"/>
            <w:vAlign w:val="bottom"/>
            <w:gridSpan w:val="2"/>
          </w:tcPr>
          <w:p>
            <w:pPr>
              <w:jc w:val="right"/>
              <w:ind w:right="820"/>
              <w:spacing w:after="0"/>
              <w:rPr>
                <w:sz w:val="20"/>
                <w:szCs w:val="20"/>
                <w:color w:val="auto"/>
              </w:rPr>
            </w:pPr>
            <w:r>
              <w:rPr>
                <w:rFonts w:ascii="Arial" w:cs="Arial" w:eastAsia="Arial" w:hAnsi="Arial"/>
                <w:sz w:val="17"/>
                <w:szCs w:val="17"/>
                <w:color w:val="auto"/>
              </w:rPr>
              <w:t>1.73%</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1.73%</w:t>
            </w:r>
          </w:p>
        </w:tc>
      </w:tr>
      <w:tr>
        <w:trPr>
          <w:trHeight w:val="203"/>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204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35%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r>
    </w:tbl>
    <w:p>
      <w:pPr>
        <w:spacing w:after="0" w:line="190" w:lineRule="exact"/>
        <w:rPr>
          <w:sz w:val="20"/>
          <w:szCs w:val="20"/>
          <w:color w:val="auto"/>
        </w:rPr>
      </w:pPr>
    </w:p>
    <w:p>
      <w:pPr>
        <w:jc w:val="both"/>
        <w:ind w:left="460" w:right="540" w:firstLine="413"/>
        <w:spacing w:after="0" w:line="340" w:lineRule="auto"/>
        <w:rPr>
          <w:sz w:val="20"/>
          <w:szCs w:val="20"/>
          <w:color w:val="auto"/>
        </w:rPr>
      </w:pPr>
      <w:r>
        <w:rPr>
          <w:rFonts w:ascii="Arial" w:cs="Arial" w:eastAsia="Arial" w:hAnsi="Arial"/>
          <w:sz w:val="15"/>
          <w:szCs w:val="15"/>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780"/>
          </w:cols>
          <w:pgMar w:left="320" w:top="440" w:right="79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color w:val="auto"/>
              </w:rPr>
              <w:t>Time-based</w:t>
            </w:r>
          </w:p>
        </w:tc>
        <w:tc>
          <w:tcPr>
            <w:tcW w:w="4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Performance-based</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98"/>
              </w:rPr>
              <w:t>Weighted</w:t>
            </w: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jc w:val="center"/>
              <w:spacing w:after="0" w:line="114" w:lineRule="exact"/>
              <w:rPr>
                <w:sz w:val="20"/>
                <w:szCs w:val="20"/>
                <w:color w:val="auto"/>
              </w:rPr>
            </w:pPr>
            <w:r>
              <w:rPr>
                <w:rFonts w:ascii="Arial" w:cs="Arial" w:eastAsia="Arial" w:hAnsi="Arial"/>
                <w:sz w:val="13"/>
                <w:szCs w:val="13"/>
                <w:color w:val="auto"/>
                <w:w w:val="94"/>
              </w:rPr>
              <w:t>Weighted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Average</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39" w:lineRule="exact"/>
              <w:rPr>
                <w:sz w:val="20"/>
                <w:szCs w:val="20"/>
                <w:color w:val="auto"/>
              </w:rPr>
            </w:pPr>
            <w:r>
              <w:rPr>
                <w:rFonts w:ascii="Arial" w:cs="Arial" w:eastAsia="Arial" w:hAnsi="Arial"/>
                <w:sz w:val="13"/>
                <w:szCs w:val="13"/>
                <w:color w:val="auto"/>
                <w:w w:val="90"/>
              </w:rPr>
              <w:t>Average</w:t>
            </w:r>
          </w:p>
        </w:tc>
        <w:tc>
          <w:tcPr>
            <w:tcW w:w="0" w:type="dxa"/>
            <w:vAlign w:val="bottom"/>
          </w:tcPr>
          <w:p>
            <w:pPr>
              <w:spacing w:after="0"/>
              <w:rPr>
                <w:sz w:val="1"/>
                <w:szCs w:val="1"/>
                <w:color w:val="auto"/>
              </w:rPr>
            </w:pPr>
          </w:p>
        </w:tc>
      </w:tr>
      <w:tr>
        <w:trPr>
          <w:trHeight w:val="139"/>
        </w:trPr>
        <w:tc>
          <w:tcPr>
            <w:tcW w:w="6440" w:type="dxa"/>
            <w:vAlign w:val="bottom"/>
            <w:gridSpan w:val="3"/>
            <w:vMerge w:val="restart"/>
          </w:tcPr>
          <w:p>
            <w:pPr>
              <w:spacing w:after="0"/>
              <w:rPr>
                <w:sz w:val="20"/>
                <w:szCs w:val="20"/>
                <w:color w:val="auto"/>
              </w:rPr>
            </w:pPr>
            <w:r>
              <w:rPr>
                <w:rFonts w:ascii="Arial" w:cs="Arial" w:eastAsia="Arial" w:hAnsi="Arial"/>
                <w:sz w:val="13"/>
                <w:szCs w:val="13"/>
                <w:color w:val="auto"/>
              </w:rPr>
              <w:t>2019 Plan</w:t>
            </w:r>
          </w:p>
        </w:tc>
        <w:tc>
          <w:tcPr>
            <w:tcW w:w="1140" w:type="dxa"/>
            <w:vAlign w:val="bottom"/>
            <w:gridSpan w:val="2"/>
          </w:tcPr>
          <w:p>
            <w:pPr>
              <w:jc w:val="right"/>
              <w:ind w:right="460"/>
              <w:spacing w:after="0" w:line="139" w:lineRule="exact"/>
              <w:rPr>
                <w:sz w:val="20"/>
                <w:szCs w:val="20"/>
                <w:color w:val="auto"/>
              </w:rPr>
            </w:pPr>
            <w:r>
              <w:rPr>
                <w:rFonts w:ascii="Arial" w:cs="Arial" w:eastAsia="Arial" w:hAnsi="Arial"/>
                <w:sz w:val="13"/>
                <w:szCs w:val="13"/>
                <w:color w:val="auto"/>
                <w:w w:val="96"/>
              </w:rPr>
              <w:t>Non-Vested</w:t>
            </w:r>
          </w:p>
        </w:tc>
        <w:tc>
          <w:tcPr>
            <w:tcW w:w="960" w:type="dxa"/>
            <w:vAlign w:val="bottom"/>
            <w:gridSpan w:val="3"/>
          </w:tcPr>
          <w:p>
            <w:pPr>
              <w:spacing w:after="0" w:line="139" w:lineRule="exact"/>
              <w:rPr>
                <w:sz w:val="20"/>
                <w:szCs w:val="20"/>
                <w:color w:val="auto"/>
              </w:rPr>
            </w:pPr>
            <w:r>
              <w:rPr>
                <w:rFonts w:ascii="Arial" w:cs="Arial" w:eastAsia="Arial" w:hAnsi="Arial"/>
                <w:sz w:val="13"/>
                <w:szCs w:val="13"/>
                <w:color w:val="auto"/>
              </w:rPr>
              <w:t>Grant Date</w:t>
            </w:r>
          </w:p>
        </w:tc>
        <w:tc>
          <w:tcPr>
            <w:tcW w:w="960" w:type="dxa"/>
            <w:vAlign w:val="bottom"/>
            <w:gridSpan w:val="2"/>
          </w:tcPr>
          <w:p>
            <w:pPr>
              <w:jc w:val="center"/>
              <w:ind w:right="240"/>
              <w:spacing w:after="0" w:line="139" w:lineRule="exact"/>
              <w:rPr>
                <w:sz w:val="20"/>
                <w:szCs w:val="20"/>
                <w:color w:val="auto"/>
              </w:rPr>
            </w:pPr>
            <w:r>
              <w:rPr>
                <w:rFonts w:ascii="Arial" w:cs="Arial" w:eastAsia="Arial" w:hAnsi="Arial"/>
                <w:sz w:val="13"/>
                <w:szCs w:val="13"/>
                <w:color w:val="auto"/>
                <w:w w:val="93"/>
              </w:rPr>
              <w:t>Non-Vested</w:t>
            </w: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39" w:lineRule="exact"/>
              <w:rPr>
                <w:sz w:val="20"/>
                <w:szCs w:val="20"/>
                <w:color w:val="auto"/>
              </w:rPr>
            </w:pPr>
            <w:r>
              <w:rPr>
                <w:rFonts w:ascii="Arial" w:cs="Arial" w:eastAsia="Arial" w:hAnsi="Arial"/>
                <w:sz w:val="13"/>
                <w:szCs w:val="13"/>
                <w:color w:val="auto"/>
                <w:w w:val="94"/>
              </w:rPr>
              <w:t>Grant Date</w:t>
            </w:r>
          </w:p>
        </w:tc>
        <w:tc>
          <w:tcPr>
            <w:tcW w:w="0" w:type="dxa"/>
            <w:vAlign w:val="bottom"/>
          </w:tcPr>
          <w:p>
            <w:pPr>
              <w:spacing w:after="0"/>
              <w:rPr>
                <w:sz w:val="1"/>
                <w:szCs w:val="1"/>
                <w:color w:val="auto"/>
              </w:rPr>
            </w:pPr>
          </w:p>
        </w:tc>
      </w:tr>
      <w:tr>
        <w:trPr>
          <w:trHeight w:val="145"/>
        </w:trPr>
        <w:tc>
          <w:tcPr>
            <w:tcW w:w="6440" w:type="dxa"/>
            <w:vAlign w:val="bottom"/>
            <w:gridSpan w:val="3"/>
            <w:vMerge w:val="continue"/>
          </w:tcPr>
          <w:p>
            <w:pPr>
              <w:spacing w:after="0"/>
              <w:rPr>
                <w:sz w:val="12"/>
                <w:szCs w:val="12"/>
                <w:color w:val="auto"/>
              </w:rPr>
            </w:pPr>
          </w:p>
        </w:tc>
        <w:tc>
          <w:tcPr>
            <w:tcW w:w="1140" w:type="dxa"/>
            <w:vAlign w:val="bottom"/>
            <w:gridSpan w:val="2"/>
          </w:tcPr>
          <w:p>
            <w:pPr>
              <w:jc w:val="right"/>
              <w:ind w:right="640"/>
              <w:spacing w:after="0" w:line="145" w:lineRule="exact"/>
              <w:rPr>
                <w:sz w:val="20"/>
                <w:szCs w:val="20"/>
                <w:color w:val="auto"/>
              </w:rPr>
            </w:pPr>
            <w:r>
              <w:rPr>
                <w:rFonts w:ascii="Arial" w:cs="Arial" w:eastAsia="Arial" w:hAnsi="Arial"/>
                <w:sz w:val="13"/>
                <w:szCs w:val="13"/>
                <w:color w:val="auto"/>
              </w:rPr>
              <w:t>Units</w:t>
            </w:r>
          </w:p>
        </w:tc>
        <w:tc>
          <w:tcPr>
            <w:tcW w:w="960" w:type="dxa"/>
            <w:vAlign w:val="bottom"/>
            <w:gridSpan w:val="3"/>
          </w:tcPr>
          <w:p>
            <w:pPr>
              <w:ind w:left="20"/>
              <w:spacing w:after="0" w:line="145" w:lineRule="exact"/>
              <w:rPr>
                <w:sz w:val="20"/>
                <w:szCs w:val="20"/>
                <w:color w:val="auto"/>
              </w:rPr>
            </w:pPr>
            <w:r>
              <w:rPr>
                <w:rFonts w:ascii="Arial" w:cs="Arial" w:eastAsia="Arial" w:hAnsi="Arial"/>
                <w:sz w:val="13"/>
                <w:szCs w:val="13"/>
                <w:color w:val="auto"/>
              </w:rPr>
              <w:t>Fair Value</w:t>
            </w: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3"/>
                <w:szCs w:val="13"/>
                <w:color w:val="auto"/>
                <w:w w:val="94"/>
              </w:rPr>
              <w:t>Units</w:t>
            </w: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45" w:lineRule="exact"/>
              <w:rPr>
                <w:sz w:val="20"/>
                <w:szCs w:val="20"/>
                <w:color w:val="auto"/>
              </w:rPr>
            </w:pPr>
            <w:r>
              <w:rPr>
                <w:rFonts w:ascii="Arial" w:cs="Arial" w:eastAsia="Arial" w:hAnsi="Arial"/>
                <w:sz w:val="13"/>
                <w:szCs w:val="13"/>
                <w:color w:val="auto"/>
                <w:w w:val="94"/>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42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Non-vested at December 31, 2018 (Predecessor)</w:t>
            </w:r>
          </w:p>
        </w:tc>
        <w:tc>
          <w:tcPr>
            <w:tcW w:w="7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420" w:type="dxa"/>
            <w:vAlign w:val="bottom"/>
            <w:tcBorders>
              <w:top w:val="single" w:sz="8" w:color="auto"/>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Non-vested at July 16, 2019 (Successor)</w:t>
            </w:r>
          </w:p>
        </w:tc>
        <w:tc>
          <w:tcPr>
            <w:tcW w:w="1140" w:type="dxa"/>
            <w:vAlign w:val="bottom"/>
            <w:tcBorders>
              <w:top w:val="single" w:sz="8" w:color="auto"/>
            </w:tcBorders>
            <w:gridSpan w:val="2"/>
            <w:shd w:val="clear" w:color="auto" w:fill="CCEEFF"/>
          </w:tcPr>
          <w:p>
            <w:pPr>
              <w:jc w:val="right"/>
              <w:ind w:right="500"/>
              <w:spacing w:after="0" w:line="188"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gridSpan w:val="2"/>
            <w:shd w:val="clear" w:color="auto" w:fill="CCEEFF"/>
          </w:tcPr>
          <w:p>
            <w:pPr>
              <w:jc w:val="center"/>
              <w:ind w:right="280"/>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gridSpan w:val="2"/>
            <w:shd w:val="clear" w:color="auto" w:fill="CCEEFF"/>
          </w:tcPr>
          <w:p>
            <w:pPr>
              <w:jc w:val="right"/>
              <w:ind w:right="320"/>
              <w:spacing w:after="0" w:line="188"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gridSpan w:val="2"/>
            <w:shd w:val="clear" w:color="auto" w:fill="CCEEFF"/>
          </w:tcPr>
          <w:p>
            <w:pPr>
              <w:jc w:val="right"/>
              <w:ind w:right="131"/>
              <w:spacing w:after="0" w:line="188" w:lineRule="exact"/>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gridSpan w:val="2"/>
            <w:shd w:val="clear" w:color="auto" w:fill="CCEEFF"/>
          </w:tcPr>
          <w:p>
            <w:pPr>
              <w:jc w:val="center"/>
              <w:ind w:right="80"/>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1,899,682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3.65</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1,899,682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2019 (Successor)</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1,899,682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0"/>
              </w:rPr>
              <w:t>3.65</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1,899,682</w:t>
            </w:r>
          </w:p>
        </w:tc>
        <w:tc>
          <w:tcPr>
            <w:tcW w:w="2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720" w:type="dxa"/>
            <w:vAlign w:val="bottom"/>
          </w:tcPr>
          <w:p>
            <w:pPr>
              <w:jc w:val="right"/>
              <w:spacing w:after="0"/>
              <w:rPr>
                <w:sz w:val="20"/>
                <w:szCs w:val="20"/>
                <w:color w:val="auto"/>
              </w:rPr>
            </w:pPr>
            <w:r>
              <w:rPr>
                <w:rFonts w:ascii="Arial" w:cs="Arial" w:eastAsia="Arial" w:hAnsi="Arial"/>
                <w:sz w:val="17"/>
                <w:szCs w:val="17"/>
                <w:color w:val="auto"/>
              </w:rPr>
              <w:t>97,611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3.65</w:t>
            </w:r>
          </w:p>
        </w:tc>
        <w:tc>
          <w:tcPr>
            <w:tcW w:w="720" w:type="dxa"/>
            <w:vAlign w:val="bottom"/>
          </w:tcPr>
          <w:p>
            <w:pPr>
              <w:jc w:val="right"/>
              <w:spacing w:after="0"/>
              <w:rPr>
                <w:sz w:val="20"/>
                <w:szCs w:val="20"/>
                <w:color w:val="auto"/>
              </w:rPr>
            </w:pPr>
            <w:r>
              <w:rPr>
                <w:rFonts w:ascii="Arial" w:cs="Arial" w:eastAsia="Arial" w:hAnsi="Arial"/>
                <w:sz w:val="17"/>
                <w:szCs w:val="17"/>
                <w:color w:val="auto"/>
              </w:rPr>
              <w:t>97,611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(474,920)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0"/>
              </w:rPr>
              <w:t>3.65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(117,653)</w:t>
            </w:r>
          </w:p>
        </w:tc>
        <w:tc>
          <w:tcPr>
            <w:tcW w:w="18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3.65</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(156,870)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2020 (Successor)</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1,404,720</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90"/>
              </w:rPr>
              <w:t>3.65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1,840,423</w:t>
            </w:r>
          </w:p>
        </w:tc>
        <w:tc>
          <w:tcPr>
            <w:tcW w:w="2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During the year ended December 31, 2020 (Successor) and the period from July 16, 2019 to December 31, 2019 (Successor), 195,222 and 3,799,364 units, respectively, were granted under the plan.</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2015 Incentive Equity Plan</w:t>
      </w:r>
    </w:p>
    <w:p>
      <w:pPr>
        <w:spacing w:after="0" w:line="108" w:lineRule="exact"/>
        <w:rPr>
          <w:sz w:val="20"/>
          <w:szCs w:val="20"/>
          <w:color w:val="auto"/>
        </w:rPr>
      </w:pPr>
    </w:p>
    <w:p>
      <w:pPr>
        <w:jc w:val="both"/>
        <w:ind w:left="460" w:right="140" w:firstLine="413"/>
        <w:spacing w:after="0" w:line="260" w:lineRule="auto"/>
        <w:rPr>
          <w:sz w:val="20"/>
          <w:szCs w:val="20"/>
          <w:color w:val="auto"/>
        </w:rPr>
      </w:pPr>
      <w:r>
        <w:rPr>
          <w:rFonts w:ascii="Arial" w:cs="Arial" w:eastAsia="Arial" w:hAnsi="Arial"/>
          <w:sz w:val="17"/>
          <w:szCs w:val="17"/>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75" w:lineRule="exact"/>
        <w:rPr>
          <w:sz w:val="20"/>
          <w:szCs w:val="20"/>
          <w:color w:val="auto"/>
        </w:rPr>
      </w:pPr>
    </w:p>
    <w:p>
      <w:pPr>
        <w:ind w:left="460" w:right="100" w:firstLine="413"/>
        <w:spacing w:after="0" w:line="269" w:lineRule="auto"/>
        <w:rPr>
          <w:sz w:val="20"/>
          <w:szCs w:val="20"/>
          <w:color w:val="auto"/>
        </w:rPr>
      </w:pPr>
      <w:r>
        <w:rPr>
          <w:rFonts w:ascii="Arial" w:cs="Arial" w:eastAsia="Arial" w:hAnsi="Arial"/>
          <w:sz w:val="16"/>
          <w:szCs w:val="16"/>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0800"/>
          </w:cols>
          <w:pgMar w:left="320" w:top="440" w:right="77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20" w:firstLine="413"/>
        <w:spacing w:after="0" w:line="272" w:lineRule="auto"/>
        <w:rPr>
          <w:sz w:val="20"/>
          <w:szCs w:val="20"/>
          <w:color w:val="auto"/>
        </w:rPr>
      </w:pPr>
      <w:r>
        <w:rPr>
          <w:rFonts w:ascii="Arial" w:cs="Arial" w:eastAsia="Arial" w:hAnsi="Arial"/>
          <w:sz w:val="17"/>
          <w:szCs w:val="17"/>
          <w:color w:val="auto"/>
        </w:rPr>
        <w:t>The following table summarizes the 2015 Plan activity for the periods from January 1, 2019 through July 15, 2019 (Predecessor), and July 16, 2019 through December 31, 2019 (Successor).</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color w:val="auto"/>
                <w:w w:val="94"/>
              </w:rPr>
              <w:t>Weighted</w:t>
            </w:r>
          </w:p>
        </w:tc>
        <w:tc>
          <w:tcPr>
            <w:tcW w:w="0" w:type="dxa"/>
            <w:vAlign w:val="bottom"/>
          </w:tcPr>
          <w:p>
            <w:pPr>
              <w:spacing w:after="0"/>
              <w:rPr>
                <w:sz w:val="1"/>
                <w:szCs w:val="1"/>
                <w:color w:val="auto"/>
              </w:rPr>
            </w:pPr>
          </w:p>
        </w:tc>
      </w:tr>
      <w:tr>
        <w:trPr>
          <w:trHeight w:val="139"/>
        </w:trPr>
        <w:tc>
          <w:tcPr>
            <w:tcW w:w="5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3"/>
          </w:tcPr>
          <w:p>
            <w:pPr>
              <w:jc w:val="center"/>
              <w:ind w:right="40"/>
              <w:spacing w:after="0" w:line="139" w:lineRule="exact"/>
              <w:rPr>
                <w:sz w:val="20"/>
                <w:szCs w:val="20"/>
                <w:color w:val="auto"/>
              </w:rPr>
            </w:pPr>
            <w:r>
              <w:rPr>
                <w:rFonts w:ascii="Arial" w:cs="Arial" w:eastAsia="Arial" w:hAnsi="Arial"/>
                <w:sz w:val="13"/>
                <w:szCs w:val="13"/>
                <w:color w:val="auto"/>
                <w:w w:val="94"/>
              </w:rPr>
              <w:t>Average Grant</w:t>
            </w:r>
          </w:p>
        </w:tc>
        <w:tc>
          <w:tcPr>
            <w:tcW w:w="0" w:type="dxa"/>
            <w:vAlign w:val="bottom"/>
          </w:tcPr>
          <w:p>
            <w:pPr>
              <w:spacing w:after="0"/>
              <w:rPr>
                <w:sz w:val="1"/>
                <w:szCs w:val="1"/>
                <w:color w:val="auto"/>
              </w:rPr>
            </w:pPr>
          </w:p>
        </w:tc>
      </w:tr>
      <w:tr>
        <w:trPr>
          <w:trHeight w:val="139"/>
        </w:trPr>
        <w:tc>
          <w:tcPr>
            <w:tcW w:w="5640" w:type="dxa"/>
            <w:vAlign w:val="bottom"/>
            <w:gridSpan w:val="2"/>
            <w:vMerge w:val="restart"/>
          </w:tcPr>
          <w:p>
            <w:pPr>
              <w:spacing w:after="0"/>
              <w:rPr>
                <w:sz w:val="20"/>
                <w:szCs w:val="20"/>
                <w:color w:val="auto"/>
              </w:rPr>
            </w:pPr>
            <w:r>
              <w:rPr>
                <w:rFonts w:ascii="Arial" w:cs="Arial" w:eastAsia="Arial" w:hAnsi="Arial"/>
                <w:sz w:val="13"/>
                <w:szCs w:val="13"/>
                <w:color w:val="auto"/>
              </w:rPr>
              <w:t>2015 Plan</w:t>
            </w:r>
          </w:p>
        </w:tc>
        <w:tc>
          <w:tcPr>
            <w:tcW w:w="1360" w:type="dxa"/>
            <w:vAlign w:val="bottom"/>
            <w:gridSpan w:val="2"/>
          </w:tcPr>
          <w:p>
            <w:pPr>
              <w:jc w:val="right"/>
              <w:ind w:right="700"/>
              <w:spacing w:after="0" w:line="139" w:lineRule="exact"/>
              <w:rPr>
                <w:sz w:val="20"/>
                <w:szCs w:val="20"/>
                <w:color w:val="auto"/>
              </w:rPr>
            </w:pPr>
            <w:r>
              <w:rPr>
                <w:rFonts w:ascii="Arial" w:cs="Arial" w:eastAsia="Arial" w:hAnsi="Arial"/>
                <w:sz w:val="13"/>
                <w:szCs w:val="13"/>
                <w:color w:val="auto"/>
                <w:w w:val="93"/>
              </w:rPr>
              <w:t>Non-Vested</w:t>
            </w: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39" w:lineRule="exact"/>
              <w:rPr>
                <w:sz w:val="20"/>
                <w:szCs w:val="20"/>
                <w:color w:val="auto"/>
              </w:rPr>
            </w:pPr>
            <w:r>
              <w:rPr>
                <w:rFonts w:ascii="Arial" w:cs="Arial" w:eastAsia="Arial" w:hAnsi="Arial"/>
                <w:sz w:val="13"/>
                <w:szCs w:val="13"/>
                <w:color w:val="auto"/>
                <w:w w:val="97"/>
              </w:rPr>
              <w:t>Date Fair</w:t>
            </w:r>
          </w:p>
        </w:tc>
        <w:tc>
          <w:tcPr>
            <w:tcW w:w="0" w:type="dxa"/>
            <w:vAlign w:val="bottom"/>
          </w:tcPr>
          <w:p>
            <w:pPr>
              <w:spacing w:after="0"/>
              <w:rPr>
                <w:sz w:val="1"/>
                <w:szCs w:val="1"/>
                <w:color w:val="auto"/>
              </w:rPr>
            </w:pPr>
          </w:p>
        </w:tc>
      </w:tr>
      <w:tr>
        <w:trPr>
          <w:trHeight w:val="145"/>
        </w:trPr>
        <w:tc>
          <w:tcPr>
            <w:tcW w:w="5640" w:type="dxa"/>
            <w:vAlign w:val="bottom"/>
            <w:gridSpan w:val="2"/>
            <w:vMerge w:val="continue"/>
          </w:tcPr>
          <w:p>
            <w:pPr>
              <w:spacing w:after="0"/>
              <w:rPr>
                <w:sz w:val="12"/>
                <w:szCs w:val="12"/>
                <w:color w:val="auto"/>
              </w:rPr>
            </w:pPr>
          </w:p>
        </w:tc>
        <w:tc>
          <w:tcPr>
            <w:tcW w:w="1360" w:type="dxa"/>
            <w:vAlign w:val="bottom"/>
            <w:gridSpan w:val="2"/>
          </w:tcPr>
          <w:p>
            <w:pPr>
              <w:jc w:val="right"/>
              <w:ind w:right="880"/>
              <w:spacing w:after="0" w:line="145" w:lineRule="exact"/>
              <w:rPr>
                <w:sz w:val="20"/>
                <w:szCs w:val="20"/>
                <w:color w:val="auto"/>
              </w:rPr>
            </w:pPr>
            <w:r>
              <w:rPr>
                <w:rFonts w:ascii="Arial" w:cs="Arial" w:eastAsia="Arial" w:hAnsi="Arial"/>
                <w:sz w:val="13"/>
                <w:szCs w:val="13"/>
                <w:color w:val="auto"/>
              </w:rPr>
              <w:t>Units</w:t>
            </w: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5" w:lineRule="exact"/>
              <w:rPr>
                <w:sz w:val="20"/>
                <w:szCs w:val="20"/>
                <w:color w:val="auto"/>
              </w:rPr>
            </w:pPr>
            <w:r>
              <w:rPr>
                <w:rFonts w:ascii="Arial" w:cs="Arial" w:eastAsia="Arial" w:hAnsi="Arial"/>
                <w:sz w:val="13"/>
                <w:szCs w:val="13"/>
                <w:color w:val="auto"/>
                <w:w w:val="96"/>
              </w:rPr>
              <w:t>Value</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Non-vested at December 31, 2018 (Predecessor)</w:t>
            </w:r>
          </w:p>
        </w:tc>
        <w:tc>
          <w:tcPr>
            <w:tcW w:w="6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131,545</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9.00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ind w:left="340"/>
              <w:spacing w:after="0"/>
              <w:rPr>
                <w:sz w:val="20"/>
                <w:szCs w:val="20"/>
                <w:color w:val="auto"/>
              </w:rPr>
            </w:pPr>
            <w:r>
              <w:rPr>
                <w:rFonts w:ascii="Arial" w:cs="Arial" w:eastAsia="Arial" w:hAnsi="Arial"/>
                <w:sz w:val="17"/>
                <w:szCs w:val="17"/>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7"/>
                <w:szCs w:val="17"/>
                <w:color w:val="auto"/>
              </w:rPr>
              <w:t>48,592</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3"/>
        </w:trPr>
        <w:tc>
          <w:tcPr>
            <w:tcW w:w="56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96"/>
              </w:rPr>
              <w:t>(180,137)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6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w:t>
            </w: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16, 2019 (Successor)</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5620" w:type="dxa"/>
            <w:vAlign w:val="bottom"/>
          </w:tcPr>
          <w:p>
            <w:pPr>
              <w:ind w:left="320"/>
              <w:spacing w:after="0"/>
              <w:rPr>
                <w:sz w:val="20"/>
                <w:szCs w:val="20"/>
                <w:color w:val="auto"/>
              </w:rPr>
            </w:pPr>
            <w:r>
              <w:rPr>
                <w:rFonts w:ascii="Arial" w:cs="Arial" w:eastAsia="Arial" w:hAnsi="Arial"/>
                <w:sz w:val="17"/>
                <w:szCs w:val="17"/>
                <w:color w:val="auto"/>
              </w:rPr>
              <w:t>Granted</w:t>
            </w:r>
          </w:p>
        </w:tc>
        <w:tc>
          <w:tcPr>
            <w:tcW w:w="660" w:type="dxa"/>
            <w:vAlign w:val="bottom"/>
          </w:tcPr>
          <w:p>
            <w:pPr>
              <w:ind w:left="4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8"/>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December 31, 2019 (Successor)</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240" w:firstLine="413"/>
        <w:spacing w:after="0" w:line="301" w:lineRule="auto"/>
        <w:rPr>
          <w:sz w:val="20"/>
          <w:szCs w:val="20"/>
          <w:color w:val="auto"/>
        </w:rPr>
      </w:pPr>
      <w:r>
        <w:rPr>
          <w:rFonts w:ascii="Arial" w:cs="Arial" w:eastAsia="Arial" w:hAnsi="Arial"/>
          <w:sz w:val="15"/>
          <w:szCs w:val="15"/>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 recorded total unit-based compensation of $1.7 million for the year ended December 31, 2020 (Successor) and $0.7 million and</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$5.8 million for the periods from July 16, 2019 through December 31, 2019 (Successor) and from January 1, 2019 through July 15, 2019 (Predecessor),</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respectively, as follows in the table below (in thousands):</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Successor Company</w:t>
            </w: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3"/>
                <w:szCs w:val="13"/>
                <w:color w:val="auto"/>
                <w:w w:val="89"/>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00"/>
              <w:spacing w:after="0" w:line="114" w:lineRule="exact"/>
              <w:rPr>
                <w:sz w:val="20"/>
                <w:szCs w:val="20"/>
                <w:color w:val="auto"/>
              </w:rPr>
            </w:pPr>
            <w:r>
              <w:rPr>
                <w:rFonts w:ascii="Arial" w:cs="Arial" w:eastAsia="Arial" w:hAnsi="Arial"/>
                <w:sz w:val="13"/>
                <w:szCs w:val="13"/>
                <w:color w:val="auto"/>
              </w:rPr>
              <w:t>Period From</w:t>
            </w: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1"/>
              <w:spacing w:after="0" w:line="114" w:lineRule="exact"/>
              <w:rPr>
                <w:sz w:val="20"/>
                <w:szCs w:val="20"/>
                <w:color w:val="auto"/>
              </w:rPr>
            </w:pPr>
            <w:r>
              <w:rPr>
                <w:rFonts w:ascii="Arial" w:cs="Arial" w:eastAsia="Arial" w:hAnsi="Arial"/>
                <w:sz w:val="13"/>
                <w:szCs w:val="13"/>
                <w:color w:val="auto"/>
                <w:w w:val="95"/>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000" w:type="dxa"/>
            <w:vAlign w:val="bottom"/>
            <w:gridSpan w:val="3"/>
          </w:tcPr>
          <w:p>
            <w:pPr>
              <w:ind w:left="2220"/>
              <w:spacing w:after="0" w:line="139" w:lineRule="exact"/>
              <w:rPr>
                <w:sz w:val="20"/>
                <w:szCs w:val="20"/>
                <w:color w:val="auto"/>
              </w:rPr>
            </w:pPr>
            <w:r>
              <w:rPr>
                <w:rFonts w:ascii="Arial" w:cs="Arial" w:eastAsia="Arial" w:hAnsi="Arial"/>
                <w:sz w:val="13"/>
                <w:szCs w:val="13"/>
                <w:color w:val="auto"/>
                <w:w w:val="93"/>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line="139" w:lineRule="exact"/>
              <w:rPr>
                <w:sz w:val="20"/>
                <w:szCs w:val="20"/>
                <w:color w:val="auto"/>
              </w:rPr>
            </w:pPr>
            <w:r>
              <w:rPr>
                <w:rFonts w:ascii="Arial" w:cs="Arial" w:eastAsia="Arial" w:hAnsi="Arial"/>
                <w:sz w:val="13"/>
                <w:szCs w:val="13"/>
                <w:color w:val="auto"/>
              </w:rPr>
              <w:t>July 16, 2019 to</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right"/>
              <w:ind w:right="60"/>
              <w:spacing w:after="0" w:line="139" w:lineRule="exact"/>
              <w:rPr>
                <w:sz w:val="20"/>
                <w:szCs w:val="20"/>
                <w:color w:val="auto"/>
              </w:rPr>
            </w:pPr>
            <w:r>
              <w:rPr>
                <w:rFonts w:ascii="Arial" w:cs="Arial" w:eastAsia="Arial" w:hAnsi="Arial"/>
                <w:sz w:val="13"/>
                <w:szCs w:val="13"/>
                <w:color w:val="auto"/>
                <w:w w:val="90"/>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9"/>
              <w:spacing w:after="0"/>
              <w:rPr>
                <w:sz w:val="20"/>
                <w:szCs w:val="20"/>
                <w:color w:val="auto"/>
              </w:rPr>
            </w:pPr>
            <w:r>
              <w:rPr>
                <w:rFonts w:ascii="Arial" w:cs="Arial" w:eastAsia="Arial" w:hAnsi="Arial"/>
                <w:sz w:val="13"/>
                <w:szCs w:val="13"/>
                <w:color w:val="auto"/>
              </w:rPr>
              <w:t>2020</w:t>
            </w: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w w:val="92"/>
              </w:rPr>
              <w:t>December 31, 2019</w:t>
            </w:r>
          </w:p>
        </w:tc>
        <w:tc>
          <w:tcPr>
            <w:tcW w:w="240" w:type="dxa"/>
            <w:vAlign w:val="bottom"/>
            <w:tcBorders>
              <w:right w:val="single" w:sz="8" w:color="auto"/>
            </w:tcBorders>
          </w:tcPr>
          <w:p>
            <w:pPr>
              <w:spacing w:after="0"/>
              <w:rPr>
                <w:sz w:val="13"/>
                <w:szCs w:val="13"/>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3"/>
                <w:szCs w:val="13"/>
                <w:color w:val="auto"/>
              </w:rPr>
              <w:t>to July 15,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Time-based:</w:t>
            </w:r>
          </w:p>
        </w:tc>
        <w:tc>
          <w:tcPr>
            <w:tcW w:w="2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400" w:type="dxa"/>
            <w:vAlign w:val="bottom"/>
            <w:gridSpan w:val="2"/>
          </w:tcPr>
          <w:p>
            <w:pPr>
              <w:ind w:left="2220"/>
              <w:spacing w:after="0"/>
              <w:rPr>
                <w:sz w:val="20"/>
                <w:szCs w:val="20"/>
                <w:color w:val="auto"/>
              </w:rPr>
            </w:pPr>
            <w:r>
              <w:rPr>
                <w:rFonts w:ascii="Arial" w:cs="Arial" w:eastAsia="Arial" w:hAnsi="Arial"/>
                <w:sz w:val="17"/>
                <w:szCs w:val="17"/>
                <w:color w:val="auto"/>
              </w:rPr>
              <w:t>$</w:t>
            </w:r>
          </w:p>
        </w:tc>
        <w:tc>
          <w:tcPr>
            <w:tcW w:w="600" w:type="dxa"/>
            <w:vAlign w:val="bottom"/>
          </w:tcPr>
          <w:p>
            <w:pPr>
              <w:jc w:val="center"/>
              <w:ind w:left="159"/>
              <w:spacing w:after="0"/>
              <w:rPr>
                <w:sz w:val="20"/>
                <w:szCs w:val="20"/>
                <w:color w:val="auto"/>
              </w:rPr>
            </w:pPr>
            <w:r>
              <w:rPr>
                <w:rFonts w:ascii="Arial" w:cs="Arial" w:eastAsia="Arial" w:hAnsi="Arial"/>
                <w:sz w:val="17"/>
                <w:szCs w:val="17"/>
                <w:color w:val="auto"/>
                <w:w w:val="93"/>
              </w:rPr>
              <w:t>—</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5,807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99"/>
              <w:spacing w:after="0"/>
              <w:rPr>
                <w:sz w:val="20"/>
                <w:szCs w:val="20"/>
                <w:color w:val="auto"/>
              </w:rPr>
            </w:pPr>
            <w:r>
              <w:rPr>
                <w:rFonts w:ascii="Arial" w:cs="Arial" w:eastAsia="Arial" w:hAnsi="Arial"/>
                <w:sz w:val="17"/>
                <w:szCs w:val="17"/>
                <w:color w:val="auto"/>
                <w:w w:val="89"/>
              </w:rPr>
              <w:t>1,747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7"/>
                <w:szCs w:val="17"/>
                <w:color w:val="auto"/>
              </w:rPr>
              <w:t>Total time-based</w:t>
            </w:r>
          </w:p>
        </w:tc>
        <w:tc>
          <w:tcPr>
            <w:tcW w:w="2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99"/>
              <w:spacing w:after="0"/>
              <w:rPr>
                <w:sz w:val="20"/>
                <w:szCs w:val="20"/>
                <w:color w:val="auto"/>
              </w:rPr>
            </w:pPr>
            <w:r>
              <w:rPr>
                <w:rFonts w:ascii="Arial" w:cs="Arial" w:eastAsia="Arial" w:hAnsi="Arial"/>
                <w:sz w:val="17"/>
                <w:szCs w:val="17"/>
                <w:color w:val="auto"/>
                <w:w w:val="89"/>
              </w:rPr>
              <w:t>1,747</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w w:val="84"/>
              </w:rPr>
              <w:t>744</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Performance based:</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left="159"/>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7"/>
                <w:szCs w:val="17"/>
                <w:color w:val="auto"/>
              </w:rPr>
              <w:t>Total performance-based</w:t>
            </w:r>
          </w:p>
        </w:tc>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159"/>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2400" w:type="dxa"/>
            <w:vAlign w:val="bottom"/>
            <w:gridSpan w:val="2"/>
            <w:shd w:val="clear" w:color="auto" w:fill="CCEEFF"/>
          </w:tcPr>
          <w:p>
            <w:pPr>
              <w:ind w:left="22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center"/>
              <w:ind w:left="99"/>
              <w:spacing w:after="0"/>
              <w:rPr>
                <w:sz w:val="20"/>
                <w:szCs w:val="20"/>
                <w:color w:val="auto"/>
              </w:rPr>
            </w:pPr>
            <w:r>
              <w:rPr>
                <w:rFonts w:ascii="Arial" w:cs="Arial" w:eastAsia="Arial" w:hAnsi="Arial"/>
                <w:sz w:val="17"/>
                <w:szCs w:val="17"/>
                <w:color w:val="auto"/>
                <w:w w:val="89"/>
              </w:rPr>
              <w:t>1,747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24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0" w:type="dxa"/>
            <w:vAlign w:val="bottom"/>
            <w:gridSpan w:val="2"/>
          </w:tcPr>
          <w:p>
            <w:pPr>
              <w:ind w:left="1080"/>
              <w:spacing w:after="0"/>
              <w:rPr>
                <w:sz w:val="20"/>
                <w:szCs w:val="20"/>
                <w:color w:val="auto"/>
              </w:rPr>
            </w:pPr>
            <w:r>
              <w:rPr>
                <w:rFonts w:ascii="Arial" w:cs="Arial" w:eastAsia="Arial" w:hAnsi="Arial"/>
                <w:sz w:val="17"/>
                <w:szCs w:val="17"/>
                <w:color w:val="auto"/>
              </w:rPr>
              <w:t>F-42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40" w:right="87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 from July 16, 2019 to December 31, 2019 (Successor), and from January 1, 2019 to July 15, 2019 (Predecessor) is provided in the following table (in thousands).</w:t>
      </w:r>
    </w:p>
    <w:p>
      <w:pPr>
        <w:spacing w:after="0" w:line="186"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4"/>
            <w:vMerge w:val="restart"/>
          </w:tcPr>
          <w:p>
            <w:pPr>
              <w:jc w:val="right"/>
              <w:ind w:right="340"/>
              <w:spacing w:after="0"/>
              <w:rPr>
                <w:sz w:val="20"/>
                <w:szCs w:val="20"/>
                <w:color w:val="auto"/>
              </w:rPr>
            </w:pPr>
            <w:r>
              <w:rPr>
                <w:rFonts w:ascii="Arial" w:cs="Arial" w:eastAsia="Arial" w:hAnsi="Arial"/>
                <w:sz w:val="13"/>
                <w:szCs w:val="13"/>
                <w:b w:val="1"/>
                <w:bCs w:val="1"/>
                <w:color w:val="auto"/>
              </w:rPr>
              <w:t>Successor Company</w:t>
            </w: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3"/>
                <w:szCs w:val="13"/>
                <w:color w:val="auto"/>
                <w:w w:val="89"/>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20"/>
              <w:spacing w:after="0" w:line="114" w:lineRule="exact"/>
              <w:rPr>
                <w:sz w:val="20"/>
                <w:szCs w:val="20"/>
                <w:color w:val="auto"/>
              </w:rPr>
            </w:pPr>
            <w:r>
              <w:rPr>
                <w:rFonts w:ascii="Arial" w:cs="Arial" w:eastAsia="Arial" w:hAnsi="Arial"/>
                <w:sz w:val="13"/>
                <w:szCs w:val="13"/>
                <w:color w:val="auto"/>
                <w:w w:val="95"/>
              </w:rPr>
              <w:t>Period From</w:t>
            </w: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
              <w:spacing w:after="0" w:line="114" w:lineRule="exact"/>
              <w:rPr>
                <w:sz w:val="20"/>
                <w:szCs w:val="20"/>
                <w:color w:val="auto"/>
              </w:rPr>
            </w:pPr>
            <w:r>
              <w:rPr>
                <w:rFonts w:ascii="Arial" w:cs="Arial" w:eastAsia="Arial" w:hAnsi="Arial"/>
                <w:sz w:val="13"/>
                <w:szCs w:val="13"/>
                <w:color w:val="auto"/>
                <w:w w:val="95"/>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480" w:type="dxa"/>
            <w:vAlign w:val="bottom"/>
            <w:gridSpan w:val="3"/>
          </w:tcPr>
          <w:p>
            <w:pPr>
              <w:jc w:val="center"/>
              <w:ind w:left="1604"/>
              <w:spacing w:after="0" w:line="139" w:lineRule="exact"/>
              <w:rPr>
                <w:sz w:val="20"/>
                <w:szCs w:val="20"/>
                <w:color w:val="auto"/>
              </w:rPr>
            </w:pPr>
            <w:r>
              <w:rPr>
                <w:rFonts w:ascii="Arial" w:cs="Arial" w:eastAsia="Arial" w:hAnsi="Arial"/>
                <w:sz w:val="13"/>
                <w:szCs w:val="13"/>
                <w:color w:val="auto"/>
                <w:w w:val="93"/>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0"/>
              <w:spacing w:after="0" w:line="139" w:lineRule="exact"/>
              <w:rPr>
                <w:sz w:val="20"/>
                <w:szCs w:val="20"/>
                <w:color w:val="auto"/>
              </w:rPr>
            </w:pPr>
            <w:r>
              <w:rPr>
                <w:rFonts w:ascii="Arial" w:cs="Arial" w:eastAsia="Arial" w:hAnsi="Arial"/>
                <w:sz w:val="13"/>
                <w:szCs w:val="13"/>
                <w:color w:val="auto"/>
                <w:w w:val="95"/>
              </w:rPr>
              <w:t>July 16, 2019 to</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60"/>
              <w:spacing w:after="0" w:line="139" w:lineRule="exact"/>
              <w:rPr>
                <w:sz w:val="20"/>
                <w:szCs w:val="20"/>
                <w:color w:val="auto"/>
              </w:rPr>
            </w:pPr>
            <w:r>
              <w:rPr>
                <w:rFonts w:ascii="Arial" w:cs="Arial" w:eastAsia="Arial" w:hAnsi="Arial"/>
                <w:sz w:val="13"/>
                <w:szCs w:val="13"/>
                <w:color w:val="auto"/>
                <w:w w:val="92"/>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00"/>
              <w:spacing w:after="0"/>
              <w:rPr>
                <w:sz w:val="20"/>
                <w:szCs w:val="20"/>
                <w:color w:val="auto"/>
              </w:rPr>
            </w:pPr>
            <w:r>
              <w:rPr>
                <w:rFonts w:ascii="Arial" w:cs="Arial" w:eastAsia="Arial" w:hAnsi="Arial"/>
                <w:sz w:val="13"/>
                <w:szCs w:val="13"/>
                <w:color w:val="auto"/>
                <w:w w:val="89"/>
              </w:rPr>
              <w:t>2020</w:t>
            </w:r>
          </w:p>
        </w:tc>
        <w:tc>
          <w:tcPr>
            <w:tcW w:w="1200" w:type="dxa"/>
            <w:vAlign w:val="bottom"/>
            <w:gridSpan w:val="3"/>
          </w:tcPr>
          <w:p>
            <w:pPr>
              <w:jc w:val="center"/>
              <w:ind w:left="24"/>
              <w:spacing w:after="0"/>
              <w:rPr>
                <w:sz w:val="20"/>
                <w:szCs w:val="20"/>
                <w:color w:val="auto"/>
              </w:rPr>
            </w:pPr>
            <w:r>
              <w:rPr>
                <w:rFonts w:ascii="Arial" w:cs="Arial" w:eastAsia="Arial" w:hAnsi="Arial"/>
                <w:sz w:val="13"/>
                <w:szCs w:val="13"/>
                <w:color w:val="auto"/>
                <w:w w:val="92"/>
              </w:rPr>
              <w:t>December 31, 2019</w:t>
            </w:r>
          </w:p>
        </w:tc>
        <w:tc>
          <w:tcPr>
            <w:tcW w:w="240" w:type="dxa"/>
            <w:vAlign w:val="bottom"/>
            <w:tcBorders>
              <w:right w:val="single" w:sz="8" w:color="auto"/>
            </w:tcBorders>
          </w:tcPr>
          <w:p>
            <w:pPr>
              <w:spacing w:after="0"/>
              <w:rPr>
                <w:sz w:val="13"/>
                <w:szCs w:val="13"/>
                <w:color w:val="auto"/>
              </w:rPr>
            </w:pPr>
          </w:p>
        </w:tc>
        <w:tc>
          <w:tcPr>
            <w:tcW w:w="1140" w:type="dxa"/>
            <w:vAlign w:val="bottom"/>
            <w:gridSpan w:val="4"/>
          </w:tcPr>
          <w:p>
            <w:pPr>
              <w:jc w:val="center"/>
              <w:ind w:left="84"/>
              <w:spacing w:after="0"/>
              <w:rPr>
                <w:sz w:val="20"/>
                <w:szCs w:val="20"/>
                <w:color w:val="auto"/>
              </w:rPr>
            </w:pPr>
            <w:r>
              <w:rPr>
                <w:rFonts w:ascii="Arial" w:cs="Arial" w:eastAsia="Arial" w:hAnsi="Arial"/>
                <w:sz w:val="13"/>
                <w:szCs w:val="13"/>
                <w:color w:val="auto"/>
                <w:w w:val="93"/>
              </w:rPr>
              <w:t>to 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Cost of revenue</w:t>
            </w:r>
          </w:p>
        </w:tc>
        <w:tc>
          <w:tcPr>
            <w:tcW w:w="1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Sales and Marketing</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213</w:t>
            </w: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188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24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right="320" w:firstLine="413"/>
        <w:spacing w:after="0" w:line="260" w:lineRule="auto"/>
        <w:rPr>
          <w:sz w:val="20"/>
          <w:szCs w:val="20"/>
          <w:color w:val="auto"/>
        </w:rPr>
      </w:pPr>
      <w:r>
        <w:rPr>
          <w:rFonts w:ascii="Arial" w:cs="Arial" w:eastAsia="Arial" w:hAnsi="Arial"/>
          <w:sz w:val="17"/>
          <w:szCs w:val="17"/>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75" w:lineRule="exact"/>
        <w:rPr>
          <w:sz w:val="20"/>
          <w:szCs w:val="20"/>
          <w:color w:val="auto"/>
        </w:rPr>
      </w:pPr>
    </w:p>
    <w:p>
      <w:pPr>
        <w:ind w:left="460" w:right="680" w:firstLine="413"/>
        <w:spacing w:after="0" w:line="272" w:lineRule="auto"/>
        <w:rPr>
          <w:sz w:val="20"/>
          <w:szCs w:val="20"/>
          <w:color w:val="auto"/>
        </w:rPr>
      </w:pPr>
      <w:r>
        <w:rPr>
          <w:rFonts w:ascii="Arial" w:cs="Arial" w:eastAsia="Arial" w:hAnsi="Arial"/>
          <w:sz w:val="17"/>
          <w:szCs w:val="17"/>
          <w:color w:val="auto"/>
        </w:rPr>
        <w:t>As of December 31, 2020, the Company had $4.4 million of unrecognized unit-based compensation for time-based units, expected to be recognized over a weighted average remaining requisite period of 2.6 years.</w:t>
      </w:r>
    </w:p>
    <w:p>
      <w:pPr>
        <w:spacing w:after="0" w:line="304" w:lineRule="exact"/>
        <w:rPr>
          <w:sz w:val="20"/>
          <w:szCs w:val="20"/>
          <w:color w:val="auto"/>
        </w:rPr>
      </w:pPr>
    </w:p>
    <w:p>
      <w:pPr>
        <w:ind w:left="860" w:hanging="403"/>
        <w:spacing w:after="0"/>
        <w:tabs>
          <w:tab w:leader="none" w:pos="860"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08" w:lineRule="exact"/>
        <w:rPr>
          <w:sz w:val="20"/>
          <w:szCs w:val="20"/>
          <w:color w:val="auto"/>
        </w:rPr>
      </w:pPr>
    </w:p>
    <w:p>
      <w:pPr>
        <w:ind w:left="460" w:right="240" w:firstLine="413"/>
        <w:spacing w:after="0" w:line="256"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18" w:lineRule="exact"/>
        <w:rPr>
          <w:sz w:val="20"/>
          <w:szCs w:val="20"/>
          <w:color w:val="auto"/>
        </w:rPr>
      </w:pPr>
    </w:p>
    <w:p>
      <w:pPr>
        <w:ind w:left="860" w:hanging="403"/>
        <w:spacing w:after="0"/>
        <w:tabs>
          <w:tab w:leader="none" w:pos="86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The components of the income tax provision are as follows (in thousands):</w:t>
      </w:r>
    </w:p>
    <w:p>
      <w:pPr>
        <w:spacing w:after="0" w:line="217"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Successor Company</w:t>
            </w: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5"/>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tcBorders>
              <w:top w:val="single" w:sz="8" w:color="auto"/>
            </w:tcBorders>
            <w:gridSpan w:val="3"/>
          </w:tcPr>
          <w:p>
            <w:pPr>
              <w:jc w:val="right"/>
              <w:ind w:right="200"/>
              <w:spacing w:after="0" w:line="114" w:lineRule="exact"/>
              <w:rPr>
                <w:sz w:val="20"/>
                <w:szCs w:val="20"/>
                <w:color w:val="auto"/>
              </w:rPr>
            </w:pPr>
            <w:r>
              <w:rPr>
                <w:rFonts w:ascii="Arial" w:cs="Arial" w:eastAsia="Arial" w:hAnsi="Arial"/>
                <w:sz w:val="13"/>
                <w:szCs w:val="13"/>
                <w:color w:val="auto"/>
                <w:w w:val="98"/>
              </w:rPr>
              <w:t>Year ended</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3"/>
                <w:szCs w:val="13"/>
                <w:color w:val="auto"/>
              </w:rPr>
              <w:t>Period from</w:t>
            </w:r>
          </w:p>
        </w:tc>
        <w:tc>
          <w:tcPr>
            <w:tcW w:w="2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41"/>
              <w:spacing w:after="0" w:line="114" w:lineRule="exact"/>
              <w:rPr>
                <w:sz w:val="20"/>
                <w:szCs w:val="20"/>
                <w:color w:val="auto"/>
              </w:rPr>
            </w:pPr>
            <w:r>
              <w:rPr>
                <w:rFonts w:ascii="Arial" w:cs="Arial" w:eastAsia="Arial" w:hAnsi="Arial"/>
                <w:sz w:val="13"/>
                <w:szCs w:val="13"/>
                <w:color w:val="auto"/>
                <w:w w:val="98"/>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0" w:type="dxa"/>
            <w:vAlign w:val="bottom"/>
            <w:gridSpan w:val="4"/>
          </w:tcPr>
          <w:p>
            <w:pPr>
              <w:ind w:left="2120"/>
              <w:spacing w:after="0" w:line="139" w:lineRule="exact"/>
              <w:rPr>
                <w:sz w:val="20"/>
                <w:szCs w:val="20"/>
                <w:color w:val="auto"/>
              </w:rPr>
            </w:pPr>
            <w:r>
              <w:rPr>
                <w:rFonts w:ascii="Arial" w:cs="Arial" w:eastAsia="Arial" w:hAnsi="Arial"/>
                <w:sz w:val="13"/>
                <w:szCs w:val="13"/>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
              <w:spacing w:after="0" w:line="139" w:lineRule="exact"/>
              <w:rPr>
                <w:sz w:val="20"/>
                <w:szCs w:val="20"/>
                <w:color w:val="auto"/>
              </w:rPr>
            </w:pPr>
            <w:r>
              <w:rPr>
                <w:rFonts w:ascii="Arial" w:cs="Arial" w:eastAsia="Arial" w:hAnsi="Arial"/>
                <w:sz w:val="13"/>
                <w:szCs w:val="13"/>
                <w:color w:val="auto"/>
              </w:rPr>
              <w:t>July 16, 2019 to</w:t>
            </w:r>
          </w:p>
        </w:tc>
        <w:tc>
          <w:tcPr>
            <w:tcW w:w="260" w:type="dxa"/>
            <w:vAlign w:val="bottom"/>
            <w:tcBorders>
              <w:right w:val="single" w:sz="8" w:color="auto"/>
            </w:tcBorders>
          </w:tcPr>
          <w:p>
            <w:pPr>
              <w:spacing w:after="0"/>
              <w:rPr>
                <w:sz w:val="12"/>
                <w:szCs w:val="12"/>
                <w:color w:val="auto"/>
              </w:rPr>
            </w:pPr>
          </w:p>
        </w:tc>
        <w:tc>
          <w:tcPr>
            <w:tcW w:w="1260" w:type="dxa"/>
            <w:vAlign w:val="bottom"/>
            <w:gridSpan w:val="4"/>
          </w:tcPr>
          <w:p>
            <w:pPr>
              <w:ind w:left="220"/>
              <w:spacing w:after="0" w:line="139" w:lineRule="exact"/>
              <w:rPr>
                <w:sz w:val="20"/>
                <w:szCs w:val="20"/>
                <w:color w:val="auto"/>
              </w:rPr>
            </w:pPr>
            <w:r>
              <w:rPr>
                <w:rFonts w:ascii="Arial" w:cs="Arial" w:eastAsia="Arial" w:hAnsi="Arial"/>
                <w:sz w:val="13"/>
                <w:szCs w:val="13"/>
                <w:color w:val="auto"/>
                <w:w w:val="94"/>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9"/>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Arial" w:cs="Arial" w:eastAsia="Arial" w:hAnsi="Arial"/>
                <w:sz w:val="13"/>
                <w:szCs w:val="13"/>
                <w:color w:val="auto"/>
                <w:w w:val="91"/>
              </w:rPr>
              <w:t>December 31, 2019</w:t>
            </w: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w w:val="95"/>
              </w:rPr>
              <w:t>July 15,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Current tax provision:</w:t>
            </w:r>
          </w:p>
        </w:tc>
        <w:tc>
          <w:tcPr>
            <w:tcW w:w="2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Federal</w:t>
            </w:r>
          </w:p>
        </w:tc>
        <w:tc>
          <w:tcPr>
            <w:tcW w:w="2280" w:type="dxa"/>
            <w:vAlign w:val="bottom"/>
            <w:gridSpan w:val="2"/>
          </w:tcPr>
          <w:p>
            <w:pPr>
              <w:ind w:left="21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Foreign</w:t>
            </w:r>
          </w:p>
        </w:tc>
        <w:tc>
          <w:tcPr>
            <w:tcW w:w="2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provision</w:t>
            </w:r>
          </w:p>
        </w:tc>
        <w:tc>
          <w:tcPr>
            <w:tcW w:w="2280" w:type="dxa"/>
            <w:vAlign w:val="bottom"/>
            <w:gridSpan w:val="2"/>
            <w:shd w:val="clear" w:color="auto" w:fill="CCEEFF"/>
          </w:tcPr>
          <w:p>
            <w:pPr>
              <w:ind w:left="21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Deferred tax provision:</w:t>
            </w: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2280" w:type="dxa"/>
            <w:vAlign w:val="bottom"/>
            <w:gridSpan w:val="2"/>
            <w:shd w:val="clear" w:color="auto" w:fill="CCEEFF"/>
          </w:tcPr>
          <w:p>
            <w:pPr>
              <w:ind w:left="21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State</w:t>
            </w: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7"/>
                <w:szCs w:val="17"/>
                <w:color w:val="auto"/>
              </w:rPr>
              <w:t>Total deferred tax provision</w:t>
            </w:r>
          </w:p>
        </w:tc>
        <w:tc>
          <w:tcPr>
            <w:tcW w:w="2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provision</w:t>
            </w: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80" w:type="dxa"/>
            <w:vAlign w:val="bottom"/>
            <w:gridSpan w:val="2"/>
          </w:tcPr>
          <w:p>
            <w:pPr>
              <w:ind w:left="1140"/>
              <w:spacing w:after="0"/>
              <w:rPr>
                <w:sz w:val="20"/>
                <w:szCs w:val="20"/>
                <w:color w:val="auto"/>
              </w:rPr>
            </w:pPr>
            <w:r>
              <w:rPr>
                <w:rFonts w:ascii="Arial" w:cs="Arial" w:eastAsia="Arial" w:hAnsi="Arial"/>
                <w:sz w:val="17"/>
                <w:szCs w:val="17"/>
                <w:color w:val="auto"/>
              </w:rPr>
              <w:t>F-43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40" w:right="83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Deferred taxes are recognized for temporary differences between the basis of assets and liabilities for financial statement and income tax purposes.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significant components of the deferred tax assets are comprised of the following (in thousands):</w:t>
      </w:r>
    </w:p>
    <w:p>
      <w:pPr>
        <w:spacing w:after="0" w:line="215"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6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ind w:left="680"/>
              <w:spacing w:after="0"/>
              <w:rPr>
                <w:sz w:val="20"/>
                <w:szCs w:val="20"/>
                <w:color w:val="auto"/>
              </w:rPr>
            </w:pPr>
            <w:r>
              <w:rPr>
                <w:rFonts w:ascii="Arial" w:cs="Arial" w:eastAsia="Arial" w:hAnsi="Arial"/>
                <w:sz w:val="13"/>
                <w:szCs w:val="13"/>
                <w:b w:val="1"/>
                <w:bCs w:val="1"/>
                <w:color w:val="auto"/>
              </w:rPr>
              <w:t>Successor Company</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11"/>
                <w:szCs w:val="11"/>
                <w:color w:val="auto"/>
              </w:rPr>
            </w:pPr>
          </w:p>
        </w:tc>
        <w:tc>
          <w:tcPr>
            <w:tcW w:w="1640" w:type="dxa"/>
            <w:vAlign w:val="bottom"/>
            <w:gridSpan w:val="3"/>
          </w:tcPr>
          <w:p>
            <w:pPr>
              <w:spacing w:after="0" w:line="132" w:lineRule="exact"/>
              <w:rPr>
                <w:sz w:val="20"/>
                <w:szCs w:val="20"/>
                <w:color w:val="auto"/>
              </w:rPr>
            </w:pPr>
            <w:r>
              <w:rPr>
                <w:rFonts w:ascii="Arial" w:cs="Arial" w:eastAsia="Arial" w:hAnsi="Arial"/>
                <w:sz w:val="13"/>
                <w:szCs w:val="13"/>
                <w:color w:val="auto"/>
              </w:rPr>
              <w:t>December 31, 2020</w:t>
            </w:r>
          </w:p>
        </w:tc>
        <w:tc>
          <w:tcPr>
            <w:tcW w:w="52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3"/>
                <w:szCs w:val="13"/>
                <w:color w:val="auto"/>
                <w:w w:val="91"/>
              </w:rPr>
              <w:t>December 31, 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Deferred tax assets:</w:t>
            </w:r>
          </w:p>
        </w:tc>
        <w:tc>
          <w:tcPr>
            <w:tcW w:w="3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340"/>
              <w:spacing w:after="0"/>
              <w:rPr>
                <w:sz w:val="20"/>
                <w:szCs w:val="20"/>
                <w:color w:val="auto"/>
              </w:rPr>
            </w:pPr>
            <w:r>
              <w:rPr>
                <w:rFonts w:ascii="Arial" w:cs="Arial" w:eastAsia="Arial" w:hAnsi="Arial"/>
                <w:sz w:val="17"/>
                <w:szCs w:val="17"/>
                <w:color w:val="auto"/>
              </w:rPr>
              <w:t>Foreign, U.S. and state net operating loss carryforwards</w:t>
            </w:r>
          </w:p>
        </w:tc>
        <w:tc>
          <w:tcPr>
            <w:tcW w:w="3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1,517</w:t>
            </w:r>
          </w:p>
        </w:tc>
        <w:tc>
          <w:tcPr>
            <w:tcW w:w="5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220" w:type="dxa"/>
            <w:vAlign w:val="bottom"/>
          </w:tcPr>
          <w:p>
            <w:pPr>
              <w:ind w:left="340"/>
              <w:spacing w:after="0"/>
              <w:rPr>
                <w:sz w:val="20"/>
                <w:szCs w:val="20"/>
                <w:color w:val="auto"/>
              </w:rPr>
            </w:pPr>
            <w:r>
              <w:rPr>
                <w:rFonts w:ascii="Arial" w:cs="Arial" w:eastAsia="Arial" w:hAnsi="Arial"/>
                <w:sz w:val="17"/>
                <w:szCs w:val="17"/>
                <w:color w:val="auto"/>
              </w:rPr>
              <w:t>Unrealized foreign exchange losses</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Subtotal</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34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(1,430)</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Net deferred tax assets</w:t>
            </w: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161</w:t>
            </w:r>
          </w:p>
        </w:tc>
        <w:tc>
          <w:tcPr>
            <w:tcW w:w="5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A reconciliation of income tax expense computed at the statutory federal income tax rate to income taxes as reflected in the financial statements is as follows:</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31"/>
        </w:trPr>
        <w:tc>
          <w:tcPr>
            <w:tcW w:w="5660" w:type="dxa"/>
            <w:vAlign w:val="bottom"/>
          </w:tcPr>
          <w:p>
            <w:pPr>
              <w:spacing w:after="0"/>
              <w:rPr>
                <w:sz w:val="2"/>
                <w:szCs w:val="2"/>
                <w:color w:val="auto"/>
              </w:rPr>
            </w:pPr>
          </w:p>
        </w:tc>
        <w:tc>
          <w:tcPr>
            <w:tcW w:w="2320" w:type="dxa"/>
            <w:vAlign w:val="bottom"/>
            <w:gridSpan w:val="4"/>
            <w:vMerge w:val="restart"/>
          </w:tcPr>
          <w:p>
            <w:pPr>
              <w:jc w:val="right"/>
              <w:ind w:right="760"/>
              <w:spacing w:after="0"/>
              <w:rPr>
                <w:sz w:val="20"/>
                <w:szCs w:val="20"/>
                <w:color w:val="auto"/>
              </w:rPr>
            </w:pPr>
            <w:r>
              <w:rPr>
                <w:rFonts w:ascii="Arial" w:cs="Arial" w:eastAsia="Arial" w:hAnsi="Arial"/>
                <w:sz w:val="13"/>
                <w:szCs w:val="13"/>
                <w:b w:val="1"/>
                <w:bCs w:val="1"/>
                <w:color w:val="auto"/>
              </w:rPr>
              <w:t>Successor Company</w:t>
            </w:r>
          </w:p>
        </w:tc>
        <w:tc>
          <w:tcPr>
            <w:tcW w:w="240" w:type="dxa"/>
            <w:vAlign w:val="bottom"/>
          </w:tcPr>
          <w:p>
            <w:pPr>
              <w:spacing w:after="0"/>
              <w:rPr>
                <w:sz w:val="2"/>
                <w:szCs w:val="2"/>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5660" w:type="dxa"/>
            <w:vAlign w:val="bottom"/>
          </w:tcPr>
          <w:p>
            <w:pPr>
              <w:spacing w:after="0"/>
              <w:rPr>
                <w:sz w:val="10"/>
                <w:szCs w:val="10"/>
                <w:color w:val="auto"/>
              </w:rPr>
            </w:pPr>
          </w:p>
        </w:tc>
        <w:tc>
          <w:tcPr>
            <w:tcW w:w="2320" w:type="dxa"/>
            <w:vAlign w:val="bottom"/>
            <w:gridSpan w:val="4"/>
            <w:vMerge w:val="continue"/>
          </w:tcPr>
          <w:p>
            <w:pPr>
              <w:spacing w:after="0"/>
              <w:rPr>
                <w:sz w:val="10"/>
                <w:szCs w:val="10"/>
                <w:color w:val="auto"/>
              </w:rPr>
            </w:pPr>
          </w:p>
        </w:tc>
        <w:tc>
          <w:tcPr>
            <w:tcW w:w="240" w:type="dxa"/>
            <w:vAlign w:val="bottom"/>
            <w:tcBorders>
              <w:left w:val="single" w:sz="8" w:color="auto"/>
            </w:tcBorders>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660" w:type="dxa"/>
            <w:vAlign w:val="bottom"/>
          </w:tcPr>
          <w:p>
            <w:pPr>
              <w:spacing w:after="0"/>
              <w:rPr>
                <w:sz w:val="13"/>
                <w:szCs w:val="13"/>
                <w:color w:val="auto"/>
              </w:rPr>
            </w:pPr>
          </w:p>
        </w:tc>
        <w:tc>
          <w:tcPr>
            <w:tcW w:w="2320" w:type="dxa"/>
            <w:vAlign w:val="bottom"/>
            <w:gridSpan w:val="4"/>
            <w:vMerge w:val="continue"/>
          </w:tcPr>
          <w:p>
            <w:pPr>
              <w:spacing w:after="0"/>
              <w:rPr>
                <w:sz w:val="13"/>
                <w:szCs w:val="13"/>
                <w:color w:val="auto"/>
              </w:rPr>
            </w:pPr>
          </w:p>
        </w:tc>
        <w:tc>
          <w:tcPr>
            <w:tcW w:w="240" w:type="dxa"/>
            <w:vAlign w:val="bottom"/>
            <w:tcBorders>
              <w:left w:val="single" w:sz="8" w:color="auto"/>
            </w:tcBorders>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56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5"/>
              </w:rPr>
              <w:t>Period from</w:t>
            </w:r>
          </w:p>
        </w:tc>
        <w:tc>
          <w:tcPr>
            <w:tcW w:w="360" w:type="dxa"/>
            <w:vAlign w:val="bottom"/>
          </w:tcPr>
          <w:p>
            <w:pPr>
              <w:spacing w:after="0"/>
              <w:rPr>
                <w:sz w:val="9"/>
                <w:szCs w:val="9"/>
                <w:color w:val="auto"/>
              </w:rPr>
            </w:pPr>
          </w:p>
        </w:tc>
        <w:tc>
          <w:tcPr>
            <w:tcW w:w="240" w:type="dxa"/>
            <w:vAlign w:val="bottom"/>
            <w:tcBorders>
              <w:left w:val="single" w:sz="8" w:color="auto"/>
            </w:tcBorders>
          </w:tcPr>
          <w:p>
            <w:pPr>
              <w:spacing w:after="0"/>
              <w:rPr>
                <w:sz w:val="9"/>
                <w:szCs w:val="9"/>
                <w:color w:val="auto"/>
              </w:rPr>
            </w:pPr>
          </w:p>
        </w:tc>
        <w:tc>
          <w:tcPr>
            <w:tcW w:w="10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5"/>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080" w:type="dxa"/>
            <w:vAlign w:val="bottom"/>
            <w:gridSpan w:val="2"/>
          </w:tcPr>
          <w:p>
            <w:pPr>
              <w:jc w:val="center"/>
              <w:ind w:right="300"/>
              <w:spacing w:after="0" w:line="139" w:lineRule="exact"/>
              <w:rPr>
                <w:sz w:val="20"/>
                <w:szCs w:val="20"/>
                <w:color w:val="auto"/>
              </w:rPr>
            </w:pPr>
            <w:r>
              <w:rPr>
                <w:rFonts w:ascii="Arial" w:cs="Arial" w:eastAsia="Arial" w:hAnsi="Arial"/>
                <w:sz w:val="13"/>
                <w:szCs w:val="13"/>
                <w:color w:val="auto"/>
                <w:w w:val="92"/>
              </w:rPr>
              <w:t>Year ended</w:t>
            </w:r>
          </w:p>
        </w:tc>
        <w:tc>
          <w:tcPr>
            <w:tcW w:w="1240" w:type="dxa"/>
            <w:vAlign w:val="bottom"/>
            <w:gridSpan w:val="2"/>
          </w:tcPr>
          <w:p>
            <w:pPr>
              <w:jc w:val="center"/>
              <w:ind w:right="360"/>
              <w:spacing w:after="0" w:line="139" w:lineRule="exact"/>
              <w:rPr>
                <w:sz w:val="20"/>
                <w:szCs w:val="20"/>
                <w:color w:val="auto"/>
              </w:rPr>
            </w:pPr>
            <w:r>
              <w:rPr>
                <w:rFonts w:ascii="Arial" w:cs="Arial" w:eastAsia="Arial" w:hAnsi="Arial"/>
                <w:sz w:val="13"/>
                <w:szCs w:val="13"/>
                <w:color w:val="auto"/>
                <w:w w:val="95"/>
              </w:rPr>
              <w:t>July 16, 2019 to</w:t>
            </w:r>
          </w:p>
        </w:tc>
        <w:tc>
          <w:tcPr>
            <w:tcW w:w="240" w:type="dxa"/>
            <w:vAlign w:val="bottom"/>
            <w:tcBorders>
              <w:left w:val="single" w:sz="8" w:color="auto"/>
            </w:tcBorders>
          </w:tcPr>
          <w:p>
            <w:pPr>
              <w:spacing w:after="0"/>
              <w:rPr>
                <w:sz w:val="12"/>
                <w:szCs w:val="12"/>
                <w:color w:val="auto"/>
              </w:rPr>
            </w:pPr>
          </w:p>
        </w:tc>
        <w:tc>
          <w:tcPr>
            <w:tcW w:w="1280" w:type="dxa"/>
            <w:vAlign w:val="bottom"/>
            <w:gridSpan w:val="2"/>
          </w:tcPr>
          <w:p>
            <w:pPr>
              <w:jc w:val="center"/>
              <w:ind w:right="180"/>
              <w:spacing w:after="0" w:line="139" w:lineRule="exact"/>
              <w:rPr>
                <w:sz w:val="20"/>
                <w:szCs w:val="20"/>
                <w:color w:val="auto"/>
              </w:rPr>
            </w:pPr>
            <w:r>
              <w:rPr>
                <w:rFonts w:ascii="Arial" w:cs="Arial" w:eastAsia="Arial" w:hAnsi="Arial"/>
                <w:sz w:val="13"/>
                <w:szCs w:val="13"/>
                <w:color w:val="auto"/>
                <w:w w:val="92"/>
              </w:rPr>
              <w:t>January 16, 2019 to</w:t>
            </w: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1080" w:type="dxa"/>
            <w:vAlign w:val="bottom"/>
            <w:gridSpan w:val="2"/>
          </w:tcPr>
          <w:p>
            <w:pPr>
              <w:jc w:val="center"/>
              <w:ind w:right="300"/>
              <w:spacing w:after="0" w:line="139" w:lineRule="exact"/>
              <w:rPr>
                <w:sz w:val="20"/>
                <w:szCs w:val="20"/>
                <w:color w:val="auto"/>
              </w:rPr>
            </w:pPr>
            <w:r>
              <w:rPr>
                <w:rFonts w:ascii="Arial" w:cs="Arial" w:eastAsia="Arial" w:hAnsi="Arial"/>
                <w:sz w:val="13"/>
                <w:szCs w:val="13"/>
                <w:color w:val="auto"/>
                <w:w w:val="90"/>
              </w:rPr>
              <w:t>December 31,</w:t>
            </w:r>
          </w:p>
        </w:tc>
        <w:tc>
          <w:tcPr>
            <w:tcW w:w="1240" w:type="dxa"/>
            <w:vAlign w:val="bottom"/>
            <w:gridSpan w:val="2"/>
          </w:tcPr>
          <w:p>
            <w:pPr>
              <w:jc w:val="center"/>
              <w:ind w:right="360"/>
              <w:spacing w:after="0" w:line="139" w:lineRule="exact"/>
              <w:rPr>
                <w:sz w:val="20"/>
                <w:szCs w:val="20"/>
                <w:color w:val="auto"/>
              </w:rPr>
            </w:pPr>
            <w:r>
              <w:rPr>
                <w:rFonts w:ascii="Arial" w:cs="Arial" w:eastAsia="Arial" w:hAnsi="Arial"/>
                <w:sz w:val="13"/>
                <w:szCs w:val="13"/>
                <w:color w:val="auto"/>
                <w:w w:val="93"/>
              </w:rPr>
              <w:t>December 31,</w:t>
            </w:r>
          </w:p>
        </w:tc>
        <w:tc>
          <w:tcPr>
            <w:tcW w:w="240" w:type="dxa"/>
            <w:vAlign w:val="bottom"/>
            <w:tcBorders>
              <w:left w:val="single" w:sz="8" w:color="auto"/>
            </w:tcBorders>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3"/>
              </w:rPr>
              <w:t>December 31,</w:t>
            </w:r>
          </w:p>
        </w:tc>
        <w:tc>
          <w:tcPr>
            <w:tcW w:w="0" w:type="dxa"/>
            <w:vAlign w:val="bottom"/>
          </w:tcPr>
          <w:p>
            <w:pPr>
              <w:spacing w:after="0"/>
              <w:rPr>
                <w:sz w:val="1"/>
                <w:szCs w:val="1"/>
                <w:color w:val="auto"/>
              </w:rPr>
            </w:pPr>
          </w:p>
        </w:tc>
      </w:tr>
      <w:tr>
        <w:trPr>
          <w:trHeight w:val="158"/>
        </w:trPr>
        <w:tc>
          <w:tcPr>
            <w:tcW w:w="56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2020</w:t>
            </w:r>
          </w:p>
        </w:tc>
        <w:tc>
          <w:tcPr>
            <w:tcW w:w="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360" w:type="dxa"/>
            <w:vAlign w:val="bottom"/>
            <w:tcBorders>
              <w:bottom w:val="single" w:sz="8" w:color="CCEEFF"/>
            </w:tcBorders>
          </w:tcPr>
          <w:p>
            <w:pPr>
              <w:spacing w:after="0"/>
              <w:rPr>
                <w:sz w:val="13"/>
                <w:szCs w:val="13"/>
                <w:color w:val="auto"/>
              </w:rPr>
            </w:pPr>
          </w:p>
        </w:tc>
        <w:tc>
          <w:tcPr>
            <w:tcW w:w="240" w:type="dxa"/>
            <w:vAlign w:val="bottom"/>
            <w:tcBorders>
              <w:left w:val="single" w:sz="8" w:color="auto"/>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Federal income tax expense at statutory rate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21.00%</w:t>
            </w:r>
          </w:p>
        </w:tc>
        <w:tc>
          <w:tcPr>
            <w:tcW w:w="240" w:type="dxa"/>
            <w:vAlign w:val="bottom"/>
            <w:tcBorders>
              <w:left w:val="single" w:sz="8" w:color="auto"/>
            </w:tcBorders>
            <w:shd w:val="clear" w:color="auto" w:fill="CCEEFF"/>
          </w:tcPr>
          <w:p>
            <w:pPr>
              <w:spacing w:after="0"/>
              <w:rPr>
                <w:sz w:val="16"/>
                <w:szCs w:val="16"/>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9"/>
              </w:rPr>
              <w:t>0.00%</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Arial" w:cs="Arial" w:eastAsia="Arial" w:hAnsi="Arial"/>
                <w:sz w:val="17"/>
                <w:szCs w:val="17"/>
                <w:color w:val="auto"/>
              </w:rPr>
              <w:t>State income tax, net of federal benefit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(0.14)</w:t>
            </w: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0.04</w:t>
            </w:r>
          </w:p>
        </w:tc>
        <w:tc>
          <w:tcPr>
            <w:tcW w:w="240" w:type="dxa"/>
            <w:vAlign w:val="bottom"/>
            <w:tcBorders>
              <w:left w:val="single" w:sz="8" w:color="auto"/>
            </w:tcBorders>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(0.98)</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(2.73)</w:t>
            </w:r>
          </w:p>
        </w:tc>
        <w:tc>
          <w:tcPr>
            <w:tcW w:w="240" w:type="dxa"/>
            <w:vAlign w:val="bottom"/>
            <w:tcBorders>
              <w:lef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Arial" w:cs="Arial" w:eastAsia="Arial" w:hAnsi="Arial"/>
                <w:sz w:val="17"/>
                <w:szCs w:val="17"/>
                <w:color w:val="auto"/>
              </w:rPr>
              <w:t>Research and development credit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0.00</w:t>
            </w: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Borders>
              <w:left w:val="single" w:sz="8" w:color="auto"/>
            </w:tcBorders>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Foreign rate differential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Borders>
              <w:lef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0.60</w:t>
            </w: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Borders>
              <w:left w:val="single" w:sz="8" w:color="auto"/>
            </w:tcBorders>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Provision to return adjustments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0.46</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Borders>
              <w:lef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Arial" w:cs="Arial" w:eastAsia="Arial" w:hAnsi="Arial"/>
                <w:sz w:val="17"/>
                <w:szCs w:val="17"/>
                <w:color w:val="auto"/>
              </w:rPr>
              <w:t>Other</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6.50</w:t>
            </w: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(0.04)</w:t>
            </w:r>
          </w:p>
        </w:tc>
        <w:tc>
          <w:tcPr>
            <w:tcW w:w="240" w:type="dxa"/>
            <w:vAlign w:val="bottom"/>
            <w:tcBorders>
              <w:left w:val="single" w:sz="8" w:color="auto"/>
            </w:tcBorders>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Pass through income not subject to tax</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(27.55)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(18.27)</w:t>
            </w:r>
          </w:p>
        </w:tc>
        <w:tc>
          <w:tcPr>
            <w:tcW w:w="240" w:type="dxa"/>
            <w:vAlign w:val="bottom"/>
            <w:tcBorders>
              <w:lef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340"/>
              <w:spacing w:after="0"/>
              <w:rPr>
                <w:sz w:val="20"/>
                <w:szCs w:val="20"/>
                <w:color w:val="auto"/>
              </w:rPr>
            </w:pPr>
            <w:r>
              <w:rPr>
                <w:rFonts w:ascii="Arial" w:cs="Arial" w:eastAsia="Arial" w:hAnsi="Arial"/>
                <w:sz w:val="17"/>
                <w:szCs w:val="17"/>
                <w:color w:val="auto"/>
              </w:rPr>
              <w:t>Effective income tax rate</w:t>
            </w: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vMerge w:val="continue"/>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(0.12%)</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0.00%</w:t>
            </w:r>
          </w:p>
        </w:tc>
        <w:tc>
          <w:tcPr>
            <w:tcW w:w="240" w:type="dxa"/>
            <w:vAlign w:val="bottom"/>
            <w:tcBorders>
              <w:left w:val="single" w:sz="8" w:color="auto"/>
            </w:tcBorders>
          </w:tcPr>
          <w:p>
            <w:pPr>
              <w:spacing w:after="0"/>
              <w:rPr>
                <w:sz w:val="18"/>
                <w:szCs w:val="18"/>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w w:val="99"/>
              </w:rPr>
              <w:t>0.38%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6"/>
          <w:szCs w:val="16"/>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67"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 allowance of approximately $1.4 million has been established at December 31, 2020. The valuation allowance</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780"/>
          </w:cols>
          <w:pgMar w:left="320" w:top="440" w:right="79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increased by approximately $1.4 million in the tax year ended December 31, 2020. The increase in valuation allowance for the year ended December 31, 2020 primarily related to the net operating losses in the Swedish Monocl subsidiary.</w:t>
      </w:r>
    </w:p>
    <w:p>
      <w:pPr>
        <w:spacing w:after="0" w:line="165" w:lineRule="exact"/>
        <w:rPr>
          <w:sz w:val="20"/>
          <w:szCs w:val="20"/>
          <w:color w:val="auto"/>
        </w:rPr>
      </w:pPr>
    </w:p>
    <w:p>
      <w:pPr>
        <w:ind w:left="460" w:right="200" w:firstLine="413"/>
        <w:spacing w:after="0" w:line="287" w:lineRule="auto"/>
        <w:rPr>
          <w:sz w:val="20"/>
          <w:szCs w:val="20"/>
          <w:color w:val="auto"/>
        </w:rPr>
      </w:pPr>
      <w:r>
        <w:rPr>
          <w:rFonts w:ascii="Arial" w:cs="Arial" w:eastAsia="Arial" w:hAnsi="Arial"/>
          <w:sz w:val="15"/>
          <w:szCs w:val="15"/>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1" w:lineRule="exact"/>
        <w:rPr>
          <w:sz w:val="20"/>
          <w:szCs w:val="20"/>
          <w:color w:val="auto"/>
        </w:rPr>
      </w:pPr>
    </w:p>
    <w:p>
      <w:pPr>
        <w:ind w:left="460" w:right="100"/>
        <w:spacing w:after="0" w:line="270" w:lineRule="auto"/>
        <w:rPr>
          <w:sz w:val="20"/>
          <w:szCs w:val="20"/>
          <w:color w:val="auto"/>
        </w:rPr>
      </w:pPr>
      <w:r>
        <w:rPr>
          <w:rFonts w:ascii="Arial" w:cs="Arial" w:eastAsia="Arial" w:hAnsi="Arial"/>
          <w:sz w:val="16"/>
          <w:szCs w:val="16"/>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69" w:lineRule="exact"/>
        <w:rPr>
          <w:sz w:val="20"/>
          <w:szCs w:val="20"/>
          <w:color w:val="auto"/>
        </w:rPr>
      </w:pPr>
    </w:p>
    <w:p>
      <w:pPr>
        <w:ind w:left="460" w:right="280" w:firstLine="413"/>
        <w:spacing w:after="0" w:line="277" w:lineRule="auto"/>
        <w:rPr>
          <w:sz w:val="20"/>
          <w:szCs w:val="20"/>
          <w:color w:val="auto"/>
        </w:rPr>
      </w:pPr>
      <w:r>
        <w:rPr>
          <w:rFonts w:ascii="Arial" w:cs="Arial" w:eastAsia="Arial" w:hAnsi="Arial"/>
          <w:sz w:val="16"/>
          <w:szCs w:val="16"/>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64" w:lineRule="exact"/>
        <w:rPr>
          <w:sz w:val="20"/>
          <w:szCs w:val="20"/>
          <w:color w:val="auto"/>
        </w:rPr>
      </w:pPr>
    </w:p>
    <w:p>
      <w:pPr>
        <w:ind w:left="460" w:right="140" w:firstLine="413"/>
        <w:spacing w:after="0" w:line="303" w:lineRule="auto"/>
        <w:rPr>
          <w:sz w:val="20"/>
          <w:szCs w:val="20"/>
          <w:color w:val="auto"/>
        </w:rPr>
      </w:pPr>
      <w:r>
        <w:rPr>
          <w:rFonts w:ascii="Arial" w:cs="Arial" w:eastAsia="Arial" w:hAnsi="Arial"/>
          <w:sz w:val="16"/>
          <w:szCs w:val="16"/>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43" w:lineRule="exact"/>
        <w:rPr>
          <w:sz w:val="20"/>
          <w:szCs w:val="20"/>
          <w:color w:val="auto"/>
        </w:rPr>
      </w:pPr>
    </w:p>
    <w:p>
      <w:pPr>
        <w:ind w:left="460" w:right="80" w:firstLine="413"/>
        <w:spacing w:after="0" w:line="277" w:lineRule="auto"/>
        <w:rPr>
          <w:sz w:val="20"/>
          <w:szCs w:val="20"/>
          <w:color w:val="auto"/>
        </w:rPr>
      </w:pPr>
      <w:r>
        <w:rPr>
          <w:rFonts w:ascii="Arial" w:cs="Arial" w:eastAsia="Arial" w:hAnsi="Arial"/>
          <w:sz w:val="16"/>
          <w:szCs w:val="16"/>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03" w:lineRule="exact"/>
        <w:rPr>
          <w:sz w:val="20"/>
          <w:szCs w:val="20"/>
          <w:color w:val="auto"/>
        </w:rPr>
      </w:pPr>
    </w:p>
    <w:p>
      <w:pPr>
        <w:ind w:left="860" w:hanging="403"/>
        <w:spacing w:after="0"/>
        <w:tabs>
          <w:tab w:leader="none" w:pos="86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Loss per Unit</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6"/>
          <w:szCs w:val="16"/>
          <w:color w:val="auto"/>
        </w:rPr>
        <w:t>The following table presents the calculation of basic and diluted net income/(loss) per unit (“EPU”) for the Company’s common units: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Successor 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4"/>
              <w:spacing w:after="0" w:line="114" w:lineRule="exact"/>
              <w:rPr>
                <w:sz w:val="20"/>
                <w:szCs w:val="20"/>
                <w:color w:val="auto"/>
              </w:rPr>
            </w:pPr>
            <w:r>
              <w:rPr>
                <w:rFonts w:ascii="Arial" w:cs="Arial" w:eastAsia="Arial" w:hAnsi="Arial"/>
                <w:sz w:val="13"/>
                <w:szCs w:val="13"/>
                <w:color w:val="auto"/>
                <w:w w:val="95"/>
              </w:rPr>
              <w:t>Period from</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780"/>
              <w:spacing w:after="0" w:line="139" w:lineRule="exact"/>
              <w:rPr>
                <w:sz w:val="20"/>
                <w:szCs w:val="20"/>
                <w:color w:val="auto"/>
              </w:rPr>
            </w:pPr>
            <w:r>
              <w:rPr>
                <w:rFonts w:ascii="Arial" w:cs="Arial" w:eastAsia="Arial" w:hAnsi="Arial"/>
                <w:sz w:val="13"/>
                <w:szCs w:val="13"/>
                <w:color w:val="auto"/>
                <w:w w:val="90"/>
              </w:rPr>
              <w:t>Year Ended</w:t>
            </w:r>
          </w:p>
        </w:tc>
        <w:tc>
          <w:tcPr>
            <w:tcW w:w="1040" w:type="dxa"/>
            <w:vAlign w:val="bottom"/>
            <w:gridSpan w:val="3"/>
          </w:tcPr>
          <w:p>
            <w:pPr>
              <w:jc w:val="center"/>
              <w:ind w:right="120"/>
              <w:spacing w:after="0" w:line="139" w:lineRule="exact"/>
              <w:rPr>
                <w:sz w:val="20"/>
                <w:szCs w:val="20"/>
                <w:color w:val="auto"/>
              </w:rPr>
            </w:pPr>
            <w:r>
              <w:rPr>
                <w:rFonts w:ascii="Arial" w:cs="Arial" w:eastAsia="Arial" w:hAnsi="Arial"/>
                <w:sz w:val="13"/>
                <w:szCs w:val="13"/>
                <w:color w:val="auto"/>
                <w:w w:val="95"/>
              </w:rPr>
              <w:t>July 16, 2019 to</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760"/>
              <w:spacing w:after="0" w:line="139" w:lineRule="exact"/>
              <w:rPr>
                <w:sz w:val="20"/>
                <w:szCs w:val="20"/>
                <w:color w:val="auto"/>
              </w:rPr>
            </w:pPr>
            <w:r>
              <w:rPr>
                <w:rFonts w:ascii="Arial" w:cs="Arial" w:eastAsia="Arial" w:hAnsi="Arial"/>
                <w:sz w:val="13"/>
                <w:szCs w:val="13"/>
                <w:color w:val="auto"/>
                <w:w w:val="93"/>
              </w:rPr>
              <w:t>December 31,</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3"/>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4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color w:val="auto"/>
                <w:w w:val="89"/>
              </w:rPr>
              <w:t>2020</w:t>
            </w: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color w:val="auto"/>
                <w:w w:val="96"/>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Weighted-average units used to compute basic and diluted net loss per unit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7"/>
                <w:szCs w:val="17"/>
                <w:color w:val="auto"/>
                <w:w w:val="86"/>
              </w:rPr>
              <w:t>127,682,376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126,794,329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 basic and diluted</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160" w:firstLine="413"/>
        <w:spacing w:after="0" w:line="253" w:lineRule="auto"/>
        <w:rPr>
          <w:sz w:val="20"/>
          <w:szCs w:val="20"/>
          <w:color w:val="auto"/>
        </w:rPr>
      </w:pPr>
      <w:r>
        <w:rPr>
          <w:rFonts w:ascii="Arial" w:cs="Arial" w:eastAsia="Arial" w:hAnsi="Arial"/>
          <w:sz w:val="17"/>
          <w:szCs w:val="17"/>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period from July 16, 2019 to December 31, 2019 (Successor) and for the year ended December 31, 2020 (Successor) because to include them would be anti-dilutive due to the Company’s net loss during the period.</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800"/>
          </w:cols>
          <w:pgMar w:left="320" w:top="440" w:right="77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Revenues by geographic area presented based upon the location of the customer are as follows (in thousands):</w:t>
      </w:r>
    </w:p>
    <w:p>
      <w:pPr>
        <w:spacing w:after="0" w:line="217"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4"/>
            <w:vMerge w:val="restart"/>
          </w:tcPr>
          <w:p>
            <w:pPr>
              <w:jc w:val="right"/>
              <w:ind w:right="222"/>
              <w:spacing w:after="0"/>
              <w:rPr>
                <w:sz w:val="20"/>
                <w:szCs w:val="20"/>
                <w:color w:val="auto"/>
              </w:rPr>
            </w:pPr>
            <w:r>
              <w:rPr>
                <w:rFonts w:ascii="Arial" w:cs="Arial" w:eastAsia="Arial" w:hAnsi="Arial"/>
                <w:sz w:val="13"/>
                <w:szCs w:val="13"/>
                <w:b w:val="1"/>
                <w:bCs w:val="1"/>
                <w:color w:val="auto"/>
              </w:rPr>
              <w:t>Successor Company</w:t>
            </w: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3"/>
                <w:szCs w:val="13"/>
                <w:color w:val="auto"/>
                <w:w w:val="95"/>
              </w:rPr>
              <w:t>Period from</w:t>
            </w:r>
          </w:p>
        </w:tc>
        <w:tc>
          <w:tcPr>
            <w:tcW w:w="2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0"/>
              </w:rPr>
              <w:t>Year Ended</w:t>
            </w:r>
          </w:p>
        </w:tc>
        <w:tc>
          <w:tcPr>
            <w:tcW w:w="1000" w:type="dxa"/>
            <w:vAlign w:val="bottom"/>
            <w:gridSpan w:val="3"/>
          </w:tcPr>
          <w:p>
            <w:pPr>
              <w:jc w:val="center"/>
              <w:ind w:left="44"/>
              <w:spacing w:after="0" w:line="139" w:lineRule="exact"/>
              <w:rPr>
                <w:sz w:val="20"/>
                <w:szCs w:val="20"/>
                <w:color w:val="auto"/>
              </w:rPr>
            </w:pPr>
            <w:r>
              <w:rPr>
                <w:rFonts w:ascii="Arial" w:cs="Arial" w:eastAsia="Arial" w:hAnsi="Arial"/>
                <w:sz w:val="13"/>
                <w:szCs w:val="13"/>
                <w:color w:val="auto"/>
                <w:w w:val="95"/>
              </w:rPr>
              <w:t>July 16, 2019 to</w:t>
            </w:r>
          </w:p>
        </w:tc>
        <w:tc>
          <w:tcPr>
            <w:tcW w:w="2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39" w:lineRule="exact"/>
              <w:rPr>
                <w:sz w:val="20"/>
                <w:szCs w:val="20"/>
                <w:color w:val="auto"/>
              </w:rPr>
            </w:pPr>
            <w:r>
              <w:rPr>
                <w:rFonts w:ascii="Arial" w:cs="Arial" w:eastAsia="Arial" w:hAnsi="Arial"/>
                <w:sz w:val="13"/>
                <w:szCs w:val="13"/>
                <w:color w:val="auto"/>
                <w:w w:val="98"/>
              </w:rPr>
              <w:t>Period from</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800" w:type="dxa"/>
            <w:vAlign w:val="bottom"/>
            <w:gridSpan w:val="3"/>
          </w:tcPr>
          <w:p>
            <w:pPr>
              <w:jc w:val="center"/>
              <w:ind w:left="1944"/>
              <w:spacing w:after="0" w:line="139" w:lineRule="exact"/>
              <w:rPr>
                <w:sz w:val="20"/>
                <w:szCs w:val="20"/>
                <w:color w:val="auto"/>
              </w:rPr>
            </w:pPr>
            <w:r>
              <w:rPr>
                <w:rFonts w:ascii="Arial" w:cs="Arial" w:eastAsia="Arial" w:hAnsi="Arial"/>
                <w:sz w:val="13"/>
                <w:szCs w:val="13"/>
                <w:color w:val="auto"/>
                <w:w w:val="90"/>
              </w:rPr>
              <w:t>December 31,</w:t>
            </w:r>
          </w:p>
        </w:tc>
        <w:tc>
          <w:tcPr>
            <w:tcW w:w="1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3"/>
              </w:rPr>
              <w:t>December 31,</w:t>
            </w:r>
          </w:p>
        </w:tc>
        <w:tc>
          <w:tcPr>
            <w:tcW w:w="260" w:type="dxa"/>
            <w:vAlign w:val="bottom"/>
            <w:tcBorders>
              <w:right w:val="single" w:sz="8" w:color="auto"/>
            </w:tcBorders>
          </w:tcPr>
          <w:p>
            <w:pPr>
              <w:spacing w:after="0"/>
              <w:rPr>
                <w:sz w:val="12"/>
                <w:szCs w:val="12"/>
                <w:color w:val="auto"/>
              </w:rPr>
            </w:pPr>
          </w:p>
        </w:tc>
        <w:tc>
          <w:tcPr>
            <w:tcW w:w="1260" w:type="dxa"/>
            <w:vAlign w:val="bottom"/>
            <w:gridSpan w:val="4"/>
          </w:tcPr>
          <w:p>
            <w:pPr>
              <w:jc w:val="center"/>
              <w:ind w:left="84"/>
              <w:spacing w:after="0" w:line="139" w:lineRule="exact"/>
              <w:rPr>
                <w:sz w:val="20"/>
                <w:szCs w:val="20"/>
                <w:color w:val="auto"/>
              </w:rPr>
            </w:pPr>
            <w:r>
              <w:rPr>
                <w:rFonts w:ascii="Arial" w:cs="Arial" w:eastAsia="Arial" w:hAnsi="Arial"/>
                <w:sz w:val="13"/>
                <w:szCs w:val="13"/>
                <w:color w:val="auto"/>
                <w:w w:val="90"/>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center"/>
              <w:ind w:right="82"/>
              <w:spacing w:after="0"/>
              <w:rPr>
                <w:sz w:val="20"/>
                <w:szCs w:val="20"/>
                <w:color w:val="auto"/>
              </w:rPr>
            </w:pPr>
            <w:r>
              <w:rPr>
                <w:rFonts w:ascii="Arial" w:cs="Arial" w:eastAsia="Arial" w:hAnsi="Arial"/>
                <w:sz w:val="13"/>
                <w:szCs w:val="13"/>
                <w:color w:val="auto"/>
                <w:w w:val="89"/>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2"/>
              <w:spacing w:after="0"/>
              <w:rPr>
                <w:sz w:val="20"/>
                <w:szCs w:val="20"/>
                <w:color w:val="auto"/>
              </w:rPr>
            </w:pPr>
            <w:r>
              <w:rPr>
                <w:rFonts w:ascii="Arial" w:cs="Arial" w:eastAsia="Arial" w:hAnsi="Arial"/>
                <w:sz w:val="13"/>
                <w:szCs w:val="13"/>
                <w:color w:val="auto"/>
                <w:w w:val="96"/>
              </w:rPr>
              <w:t>2019</w:t>
            </w: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w w:val="95"/>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2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117,755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60" w:type="dxa"/>
            <w:vAlign w:val="bottom"/>
            <w:tcBorders>
              <w:top w:val="single" w:sz="8" w:color="CCEEFF"/>
              <w:right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Rest of world</w:t>
            </w:r>
          </w:p>
        </w:tc>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118,317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6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0"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46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Successor Company</w:t>
            </w: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32"/>
        </w:trPr>
        <w:tc>
          <w:tcPr>
            <w:tcW w:w="4620" w:type="dxa"/>
            <w:vAlign w:val="bottom"/>
          </w:tcPr>
          <w:p>
            <w:pPr>
              <w:spacing w:after="0"/>
              <w:rPr>
                <w:sz w:val="11"/>
                <w:szCs w:val="11"/>
                <w:color w:val="auto"/>
              </w:rPr>
            </w:pPr>
          </w:p>
        </w:tc>
        <w:tc>
          <w:tcPr>
            <w:tcW w:w="2120" w:type="dxa"/>
            <w:vAlign w:val="bottom"/>
            <w:gridSpan w:val="3"/>
          </w:tcPr>
          <w:p>
            <w:pPr>
              <w:spacing w:after="0" w:line="132" w:lineRule="exact"/>
              <w:rPr>
                <w:sz w:val="20"/>
                <w:szCs w:val="20"/>
                <w:color w:val="auto"/>
              </w:rPr>
            </w:pPr>
            <w:r>
              <w:rPr>
                <w:rFonts w:ascii="Arial" w:cs="Arial" w:eastAsia="Arial" w:hAnsi="Arial"/>
                <w:sz w:val="13"/>
                <w:szCs w:val="13"/>
                <w:color w:val="auto"/>
              </w:rPr>
              <w:t>December 31, 2020</w:t>
            </w:r>
          </w:p>
        </w:tc>
        <w:tc>
          <w:tcPr>
            <w:tcW w:w="1060" w:type="dxa"/>
            <w:vAlign w:val="bottom"/>
            <w:gridSpan w:val="2"/>
          </w:tcPr>
          <w:p>
            <w:pPr>
              <w:spacing w:after="0" w:line="132" w:lineRule="exact"/>
              <w:rPr>
                <w:sz w:val="20"/>
                <w:szCs w:val="20"/>
                <w:color w:val="auto"/>
              </w:rPr>
            </w:pPr>
            <w:r>
              <w:rPr>
                <w:rFonts w:ascii="Arial" w:cs="Arial" w:eastAsia="Arial" w:hAnsi="Arial"/>
                <w:sz w:val="13"/>
                <w:szCs w:val="13"/>
                <w:color w:val="auto"/>
                <w:w w:val="91"/>
              </w:rPr>
              <w:t>December 31, 2019</w:t>
            </w:r>
          </w:p>
        </w:tc>
        <w:tc>
          <w:tcPr>
            <w:tcW w:w="40" w:type="dxa"/>
            <w:vAlign w:val="bottom"/>
          </w:tcPr>
          <w:p>
            <w:pPr>
              <w:spacing w:after="0"/>
              <w:rPr>
                <w:sz w:val="11"/>
                <w:szCs w:val="11"/>
                <w:color w:val="auto"/>
              </w:rPr>
            </w:pPr>
          </w:p>
        </w:tc>
      </w:tr>
      <w:tr>
        <w:trPr>
          <w:trHeight w:val="195"/>
        </w:trPr>
        <w:tc>
          <w:tcPr>
            <w:tcW w:w="4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10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7"/>
                <w:szCs w:val="17"/>
                <w:color w:val="auto"/>
              </w:rPr>
              <w:t>Rest of world</w:t>
            </w:r>
          </w:p>
        </w:tc>
        <w:tc>
          <w:tcPr>
            <w:tcW w:w="380" w:type="dxa"/>
            <w:vAlign w:val="bottom"/>
          </w:tcPr>
          <w:p>
            <w:pPr>
              <w:spacing w:after="0"/>
              <w:rPr>
                <w:sz w:val="17"/>
                <w:szCs w:val="17"/>
                <w:color w:val="auto"/>
              </w:rPr>
            </w:pPr>
          </w:p>
        </w:tc>
        <w:tc>
          <w:tcPr>
            <w:tcW w:w="1740" w:type="dxa"/>
            <w:vAlign w:val="bottom"/>
            <w:gridSpan w:val="2"/>
          </w:tcPr>
          <w:p>
            <w:pPr>
              <w:jc w:val="right"/>
              <w:ind w:right="1060"/>
              <w:spacing w:after="0"/>
              <w:rPr>
                <w:sz w:val="20"/>
                <w:szCs w:val="20"/>
                <w:color w:val="auto"/>
              </w:rPr>
            </w:pPr>
            <w:r>
              <w:rPr>
                <w:rFonts w:ascii="Arial" w:cs="Arial" w:eastAsia="Arial" w:hAnsi="Arial"/>
                <w:sz w:val="17"/>
                <w:szCs w:val="17"/>
                <w:color w:val="auto"/>
              </w:rPr>
              <w:t>128</w:t>
            </w:r>
          </w:p>
        </w:tc>
        <w:tc>
          <w:tcPr>
            <w:tcW w:w="3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7"/>
                <w:szCs w:val="17"/>
                <w:color w:val="auto"/>
              </w:rPr>
              <w:t>—</w:t>
            </w:r>
          </w:p>
        </w:tc>
      </w:tr>
      <w:tr>
        <w:trPr>
          <w:trHeight w:val="25"/>
        </w:trPr>
        <w:tc>
          <w:tcPr>
            <w:tcW w:w="4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3,248</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2,558</w:t>
            </w:r>
          </w:p>
        </w:tc>
      </w:tr>
      <w:tr>
        <w:trPr>
          <w:trHeight w:val="20"/>
        </w:trPr>
        <w:tc>
          <w:tcPr>
            <w:tcW w:w="4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2" w:lineRule="exact"/>
        <w:rPr>
          <w:sz w:val="20"/>
          <w:szCs w:val="20"/>
          <w:color w:val="auto"/>
        </w:rPr>
      </w:pPr>
    </w:p>
    <w:p>
      <w:pPr>
        <w:ind w:left="860" w:hanging="403"/>
        <w:spacing w:after="0"/>
        <w:tabs>
          <w:tab w:leader="none" w:pos="86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08" w:lineRule="exact"/>
        <w:rPr>
          <w:sz w:val="20"/>
          <w:szCs w:val="20"/>
          <w:color w:val="auto"/>
        </w:rPr>
      </w:pPr>
    </w:p>
    <w:p>
      <w:pPr>
        <w:ind w:left="460" w:right="120" w:firstLine="413"/>
        <w:spacing w:after="0" w:line="311" w:lineRule="auto"/>
        <w:rPr>
          <w:sz w:val="20"/>
          <w:szCs w:val="20"/>
          <w:color w:val="auto"/>
        </w:rPr>
      </w:pPr>
      <w:r>
        <w:rPr>
          <w:rFonts w:ascii="Arial" w:cs="Arial" w:eastAsia="Arial" w:hAnsi="Arial"/>
          <w:sz w:val="15"/>
          <w:szCs w:val="15"/>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 has engaged in revenue transactions within the ordinary course of business with entities affiliated with its private equity sponsors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and with members of the Company’s board of directors. During the years ended December 31, 2020, and 2019 the Company recorded revenue of</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$0.4 million and $0.2 million, respectively. The associated receivables for the revenue transactions were $0.1 million and $0.1 million at December 31,</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2020 and 2019, respectively.</w:t>
      </w:r>
    </w:p>
    <w:p>
      <w:pPr>
        <w:spacing w:after="0" w:line="337" w:lineRule="exact"/>
        <w:rPr>
          <w:sz w:val="20"/>
          <w:szCs w:val="20"/>
          <w:color w:val="auto"/>
        </w:rPr>
      </w:pPr>
    </w:p>
    <w:p>
      <w:pPr>
        <w:ind w:left="860" w:hanging="403"/>
        <w:spacing w:after="0"/>
        <w:tabs>
          <w:tab w:leader="none" w:pos="86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08"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Company has evaluated subsequent events through May 28, 2021, the date which the consolidated financial statements were issued, and did not identify any additional matters that require disclosure.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0760"/>
          </w:cols>
          <w:pgMar w:left="320" w:top="440" w:right="81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Definitive Healthcare Corp.</w:t>
      </w:r>
    </w:p>
    <w:p>
      <w:pPr>
        <w:spacing w:after="0" w:line="112"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Condensed Consolidated Financial Statements as of September 30, 2021 and December 31, 2020 and for the Nine Months Ended September 30, 2021 and 2020 (Unaudited)</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0580"/>
          </w:cols>
          <w:pgMar w:left="320" w:top="440" w:right="99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(in thousands, except number of shares)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189,752</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24,774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27,886</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5,359</w:t>
            </w:r>
          </w:p>
        </w:tc>
        <w:tc>
          <w:tcPr>
            <w:tcW w:w="3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226,639</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63,845</w:t>
            </w:r>
          </w:p>
        </w:tc>
        <w:tc>
          <w:tcPr>
            <w:tcW w:w="0" w:type="dxa"/>
            <w:vAlign w:val="bottom"/>
          </w:tcPr>
          <w:p>
            <w:pPr>
              <w:spacing w:after="0"/>
              <w:rPr>
                <w:sz w:val="1"/>
                <w:szCs w:val="1"/>
                <w:color w:val="auto"/>
              </w:rPr>
            </w:pPr>
          </w:p>
        </w:tc>
      </w:tr>
      <w:tr>
        <w:trPr>
          <w:trHeight w:val="303"/>
        </w:trPr>
        <w:tc>
          <w:tcPr>
            <w:tcW w:w="82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4,697</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747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9,388</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Intangible assets, net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366,723</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410,237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3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1,261,444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1,869,799</w:t>
            </w:r>
          </w:p>
        </w:tc>
        <w:tc>
          <w:tcPr>
            <w:tcW w:w="3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$ 1,745,359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2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Liabilities and Equity</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26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19,296</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17,321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deferred revenue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69,811</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61,060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Current portion of term loan</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6,875</w:t>
            </w:r>
          </w:p>
        </w:tc>
        <w:tc>
          <w:tcPr>
            <w:tcW w:w="3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103,037</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88,723</w:t>
            </w:r>
          </w:p>
        </w:tc>
        <w:tc>
          <w:tcPr>
            <w:tcW w:w="0" w:type="dxa"/>
            <w:vAlign w:val="bottom"/>
          </w:tcPr>
          <w:p>
            <w:pPr>
              <w:spacing w:after="0"/>
              <w:rPr>
                <w:sz w:val="1"/>
                <w:szCs w:val="1"/>
                <w:color w:val="auto"/>
              </w:rPr>
            </w:pPr>
          </w:p>
        </w:tc>
      </w:tr>
      <w:tr>
        <w:trPr>
          <w:trHeight w:val="304"/>
        </w:trPr>
        <w:tc>
          <w:tcPr>
            <w:tcW w:w="8260" w:type="dxa"/>
            <w:vAlign w:val="bottom"/>
            <w:gridSpan w:val="2"/>
          </w:tcPr>
          <w:p>
            <w:pPr>
              <w:spacing w:after="0"/>
              <w:rPr>
                <w:sz w:val="20"/>
                <w:szCs w:val="20"/>
                <w:color w:val="auto"/>
              </w:rPr>
            </w:pPr>
            <w:r>
              <w:rPr>
                <w:rFonts w:ascii="Arial" w:cs="Arial" w:eastAsia="Arial" w:hAnsi="Arial"/>
                <w:sz w:val="17"/>
                <w:szCs w:val="17"/>
                <w:color w:val="auto"/>
              </w:rPr>
              <w:t>Long term liabilities: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Tax receivable agreements liability</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146,106</w:t>
            </w:r>
          </w:p>
        </w:tc>
        <w:tc>
          <w:tcPr>
            <w:tcW w:w="3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Term loan, net of current portion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265,388</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Deferred tax liabilities</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71,341</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long-term liabilities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586,715</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549,796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8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60" w:type="dxa"/>
            <w:vAlign w:val="bottom"/>
            <w:gridSpan w:val="2"/>
          </w:tcPr>
          <w:p>
            <w:pPr>
              <w:spacing w:after="0"/>
              <w:rPr>
                <w:sz w:val="20"/>
                <w:szCs w:val="20"/>
                <w:color w:val="auto"/>
              </w:rPr>
            </w:pPr>
            <w:r>
              <w:rPr>
                <w:rFonts w:ascii="Arial" w:cs="Arial" w:eastAsia="Arial" w:hAnsi="Arial"/>
                <w:sz w:val="17"/>
                <w:szCs w:val="17"/>
                <w:color w:val="auto"/>
              </w:rPr>
              <w:t>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equity</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1,195,694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tcPr>
          <w:p>
            <w:pPr>
              <w:ind w:left="320"/>
              <w:spacing w:after="0" w:line="190" w:lineRule="exact"/>
              <w:rPr>
                <w:sz w:val="20"/>
                <w:szCs w:val="20"/>
                <w:color w:val="auto"/>
              </w:rPr>
            </w:pPr>
            <w:r>
              <w:rPr>
                <w:rFonts w:ascii="Arial" w:cs="Arial" w:eastAsia="Arial" w:hAnsi="Arial"/>
                <w:sz w:val="17"/>
                <w:szCs w:val="17"/>
                <w:color w:val="auto"/>
                <w:w w:val="98"/>
              </w:rPr>
              <w:t>Class A Common Stock, par value $0.001, 600,000,000 shares authorized, 88,263,333 shares issued, and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rPr>
              <w:t>outstanding at September 30, 2021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88</w:t>
            </w: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4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w w:val="93"/>
              </w:rPr>
              <w:t>Class B Common Stock, no par value, 65,000,000 shares authorized, 60,020,525 shares issued and 57,220,661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outstanding at September 30, 2021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700,773</w:t>
            </w:r>
          </w:p>
        </w:tc>
        <w:tc>
          <w:tcPr>
            <w:tcW w:w="3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(7,798)</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590,177</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liabilities and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1,869,799</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$ 1,745,359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0800"/>
          </w:cols>
          <w:pgMar w:left="320" w:top="440" w:right="77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share amounts and per share data)</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7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2"/>
        </w:trPr>
        <w:tc>
          <w:tcPr>
            <w:tcW w:w="724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98"/>
              <w:spacing w:after="0" w:line="132" w:lineRule="exact"/>
              <w:rPr>
                <w:sz w:val="20"/>
                <w:szCs w:val="20"/>
                <w:color w:val="auto"/>
              </w:rPr>
            </w:pPr>
            <w:r>
              <w:rPr>
                <w:rFonts w:ascii="Arial" w:cs="Arial" w:eastAsia="Arial" w:hAnsi="Arial"/>
                <w:sz w:val="13"/>
                <w:szCs w:val="13"/>
                <w:b w:val="1"/>
                <w:bCs w:val="1"/>
                <w:color w:val="auto"/>
              </w:rPr>
              <w:t>2021</w:t>
            </w:r>
          </w:p>
        </w:tc>
        <w:tc>
          <w:tcPr>
            <w:tcW w:w="20" w:type="dxa"/>
            <w:vAlign w:val="bottom"/>
            <w:tcBorders>
              <w:top w:val="single" w:sz="8" w:color="auto"/>
              <w:bottom w:val="single" w:sz="8" w:color="CCEEFF"/>
            </w:tcBorders>
          </w:tcPr>
          <w:p>
            <w:pPr>
              <w:spacing w:after="0"/>
              <w:rPr>
                <w:sz w:val="11"/>
                <w:szCs w:val="11"/>
                <w:color w:val="auto"/>
              </w:rPr>
            </w:pPr>
          </w:p>
        </w:tc>
        <w:tc>
          <w:tcPr>
            <w:tcW w:w="38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76"/>
              <w:spacing w:after="0" w:line="13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7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119,841</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$ 84,659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7"/>
                <w:szCs w:val="17"/>
                <w:color w:val="auto"/>
              </w:rPr>
              <w:t>Cost of revenue:</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 exclusive of amortization shown below</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13,895</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7,876</w:t>
            </w: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15,896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14,278</w:t>
            </w:r>
          </w:p>
        </w:tc>
        <w:tc>
          <w:tcPr>
            <w:tcW w:w="0" w:type="dxa"/>
            <w:vAlign w:val="bottom"/>
          </w:tcPr>
          <w:p>
            <w:pPr>
              <w:spacing w:after="0"/>
              <w:rPr>
                <w:sz w:val="1"/>
                <w:szCs w:val="1"/>
                <w:color w:val="auto"/>
              </w:rPr>
            </w:pPr>
          </w:p>
        </w:tc>
      </w:tr>
      <w:tr>
        <w:trPr>
          <w:trHeight w:val="25"/>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Gross profit</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90,050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62,505</w:t>
            </w:r>
          </w:p>
        </w:tc>
        <w:tc>
          <w:tcPr>
            <w:tcW w:w="0" w:type="dxa"/>
            <w:vAlign w:val="bottom"/>
          </w:tcPr>
          <w:p>
            <w:pPr>
              <w:spacing w:after="0"/>
              <w:rPr>
                <w:sz w:val="1"/>
                <w:szCs w:val="1"/>
                <w:color w:val="auto"/>
              </w:rPr>
            </w:pPr>
          </w:p>
        </w:tc>
      </w:tr>
      <w:tr>
        <w:trPr>
          <w:trHeight w:val="208"/>
        </w:trPr>
        <w:tc>
          <w:tcPr>
            <w:tcW w:w="7240" w:type="dxa"/>
            <w:vAlign w:val="bottom"/>
          </w:tcPr>
          <w:p>
            <w:pPr>
              <w:spacing w:after="0"/>
              <w:rPr>
                <w:sz w:val="20"/>
                <w:szCs w:val="20"/>
                <w:color w:val="auto"/>
              </w:rPr>
            </w:pPr>
            <w:r>
              <w:rPr>
                <w:rFonts w:ascii="Arial" w:cs="Arial" w:eastAsia="Arial" w:hAnsi="Arial"/>
                <w:sz w:val="17"/>
                <w:szCs w:val="17"/>
                <w:color w:val="auto"/>
              </w:rPr>
              <w:t>Operating expenses:</w:t>
            </w:r>
          </w:p>
        </w:tc>
        <w:tc>
          <w:tcPr>
            <w:tcW w:w="1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39,003</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23,542</w:t>
            </w: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Product development</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12,817</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18,891</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8,105</w:t>
            </w: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28,814</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30,037</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expenses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3,332</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102,857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69,998</w:t>
            </w:r>
          </w:p>
        </w:tc>
        <w:tc>
          <w:tcPr>
            <w:tcW w:w="0" w:type="dxa"/>
            <w:vAlign w:val="bottom"/>
          </w:tcPr>
          <w:p>
            <w:pPr>
              <w:spacing w:after="0"/>
              <w:rPr>
                <w:sz w:val="1"/>
                <w:szCs w:val="1"/>
                <w:color w:val="auto"/>
              </w:rPr>
            </w:pPr>
          </w:p>
        </w:tc>
      </w:tr>
      <w:tr>
        <w:trPr>
          <w:trHeight w:val="26"/>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Loss from operations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(12,807)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(7,493)</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7"/>
                <w:szCs w:val="17"/>
                <w:color w:val="auto"/>
              </w:rPr>
              <w:t>Other expense, net:</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gain</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143</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(23,956)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(27,802)</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from extinguishment of debt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(9,873)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680"/>
              <w:spacing w:after="0"/>
              <w:rPr>
                <w:sz w:val="20"/>
                <w:szCs w:val="20"/>
                <w:color w:val="auto"/>
              </w:rPr>
            </w:pPr>
            <w:r>
              <w:rPr>
                <w:rFonts w:ascii="Arial" w:cs="Arial" w:eastAsia="Arial" w:hAnsi="Arial"/>
                <w:sz w:val="17"/>
                <w:szCs w:val="17"/>
                <w:color w:val="auto"/>
              </w:rPr>
              <w:t>Total other expense, net</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(33,686)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(27,802)</w:t>
            </w:r>
          </w:p>
        </w:tc>
        <w:tc>
          <w:tcPr>
            <w:tcW w:w="0" w:type="dxa"/>
            <w:vAlign w:val="bottom"/>
          </w:tcPr>
          <w:p>
            <w:pPr>
              <w:spacing w:after="0"/>
              <w:rPr>
                <w:sz w:val="1"/>
                <w:szCs w:val="1"/>
                <w:color w:val="auto"/>
              </w:rPr>
            </w:pPr>
          </w:p>
        </w:tc>
      </w:tr>
      <w:tr>
        <w:trPr>
          <w:trHeight w:val="26"/>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loss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(46,493)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(35,295)</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340"/>
              <w:spacing w:after="0"/>
              <w:rPr>
                <w:sz w:val="20"/>
                <w:szCs w:val="20"/>
                <w:color w:val="auto"/>
              </w:rPr>
            </w:pPr>
            <w:r>
              <w:rPr>
                <w:rFonts w:ascii="Arial" w:cs="Arial" w:eastAsia="Arial" w:hAnsi="Arial"/>
                <w:sz w:val="17"/>
                <w:szCs w:val="17"/>
                <w:color w:val="auto"/>
              </w:rPr>
              <w:t>Less: net loss attributable to Definitive OpCo prior to the Reorganization transactions</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(33,343)</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$(35,295)</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net loss attributable to noncontrolling interests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(5,172)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1020"/>
              <w:spacing w:after="0"/>
              <w:rPr>
                <w:sz w:val="20"/>
                <w:szCs w:val="20"/>
                <w:color w:val="auto"/>
              </w:rPr>
            </w:pPr>
            <w:r>
              <w:rPr>
                <w:rFonts w:ascii="Arial" w:cs="Arial" w:eastAsia="Arial" w:hAnsi="Arial"/>
                <w:sz w:val="17"/>
                <w:szCs w:val="17"/>
                <w:color w:val="auto"/>
              </w:rPr>
              <w:t>Net loss attributable to Definitive Healthcare Corp.</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(7,978)</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(35,295)</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share of Class A Common Stock:</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(0.09)</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Stock outstanding:</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 xml:space="preserve">Basic and diluted </w:t>
            </w:r>
            <w:r>
              <w:rPr>
                <w:rFonts w:ascii="Arial" w:cs="Arial" w:eastAsia="Arial" w:hAnsi="Arial"/>
                <w:sz w:val="14"/>
                <w:szCs w:val="14"/>
                <w:color w:val="auto"/>
              </w:rPr>
              <w:t>(1)</w:t>
            </w:r>
          </w:p>
        </w:tc>
        <w:tc>
          <w:tcPr>
            <w:tcW w:w="1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6"/>
              </w:rPr>
              <w:t>88,263,333</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860" w:right="160" w:hanging="403"/>
        <w:spacing w:after="0" w:line="256" w:lineRule="auto"/>
        <w:tabs>
          <w:tab w:leader="none" w:pos="8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Basic and diluted net loss per share of Class A Common Stock is applicable only for the period from September 15, 2021 through September 30, 2021, which is the period following the initial public offering (“IPO”) and related Reorganization Transactions (as defined in Note 1 to the Unaudited Consolidated Financial Statements). See Note 16 for the number of shares used in the computation of net loss per share of Class A Common Stock and the basis for the computation of net loss per share.</w:t>
      </w:r>
    </w:p>
    <w:p>
      <w:pPr>
        <w:spacing w:after="0" w:line="17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0800"/>
          </w:cols>
          <w:pgMar w:left="320" w:top="440" w:right="77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15" w:lineRule="exact"/>
        <w:rPr>
          <w:sz w:val="20"/>
          <w:szCs w:val="20"/>
          <w:color w:val="auto"/>
        </w:rPr>
      </w:pPr>
    </w:p>
    <w:p>
      <w:pPr>
        <w:jc w:val="center"/>
        <w:ind w:left="8440"/>
        <w:spacing w:after="0"/>
        <w:rPr>
          <w:sz w:val="20"/>
          <w:szCs w:val="20"/>
          <w:color w:val="auto"/>
        </w:rPr>
      </w:pPr>
      <w:r>
        <w:rPr>
          <w:rFonts w:ascii="Arial" w:cs="Arial" w:eastAsia="Arial" w:hAnsi="Arial"/>
          <w:sz w:val="13"/>
          <w:szCs w:val="13"/>
          <w:b w:val="1"/>
          <w:bCs w:val="1"/>
          <w:color w:val="auto"/>
        </w:rPr>
        <w:t>Nine Months Ended</w:t>
      </w:r>
    </w:p>
    <w:p>
      <w:pPr>
        <w:jc w:val="center"/>
        <w:ind w:left="8440"/>
        <w:spacing w:after="0"/>
        <w:rPr>
          <w:sz w:val="20"/>
          <w:szCs w:val="20"/>
          <w:color w:val="auto"/>
        </w:rPr>
      </w:pPr>
      <w:r>
        <w:rPr>
          <w:rFonts w:ascii="Arial" w:cs="Arial" w:eastAsia="Arial" w:hAnsi="Arial"/>
          <w:sz w:val="13"/>
          <w:szCs w:val="13"/>
          <w:b w:val="1"/>
          <w:bCs w:val="1"/>
          <w:color w:val="auto"/>
        </w:rPr>
        <w:t>September 30,</w:t>
      </w:r>
    </w:p>
    <w:tbl>
      <w:tblPr>
        <w:tblLayout w:type="fixed"/>
        <w:tblInd w:w="460" w:type="dxa"/>
        <w:tblCellMar>
          <w:top w:w="0" w:type="dxa"/>
          <w:left w:w="0" w:type="dxa"/>
          <w:bottom w:w="0" w:type="dxa"/>
          <w:right w:w="0" w:type="dxa"/>
        </w:tblCellMar>
      </w:tblPr>
      <w:tr>
        <w:trPr>
          <w:trHeight w:val="132"/>
        </w:trPr>
        <w:tc>
          <w:tcPr>
            <w:tcW w:w="7380" w:type="dxa"/>
            <w:vAlign w:val="bottom"/>
            <w:tcBorders>
              <w:bottom w:val="single" w:sz="8" w:color="CCEEFF"/>
            </w:tcBorders>
          </w:tcPr>
          <w:p>
            <w:pPr>
              <w:spacing w:after="0"/>
              <w:rPr>
                <w:sz w:val="11"/>
                <w:szCs w:val="11"/>
                <w:color w:val="auto"/>
              </w:rPr>
            </w:pPr>
          </w:p>
        </w:tc>
        <w:tc>
          <w:tcPr>
            <w:tcW w:w="11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8"/>
              <w:spacing w:after="0" w:line="132"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100"/>
              <w:spacing w:after="0" w:line="13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(46,493)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w w:val="78"/>
              </w:rPr>
              <w:t>(35,295)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680"/>
              <w:spacing w:after="0"/>
              <w:rPr>
                <w:sz w:val="20"/>
                <w:szCs w:val="20"/>
                <w:color w:val="auto"/>
              </w:rPr>
            </w:pPr>
            <w:r>
              <w:rPr>
                <w:rFonts w:ascii="Arial" w:cs="Arial" w:eastAsia="Arial" w:hAnsi="Arial"/>
                <w:sz w:val="17"/>
                <w:szCs w:val="17"/>
                <w:color w:val="auto"/>
              </w:rPr>
              <w:t>Comprehensive loss</w:t>
            </w: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(46,338)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7"/>
                <w:szCs w:val="17"/>
                <w:color w:val="auto"/>
                <w:w w:val="97"/>
              </w:rPr>
              <w:t>(35,295)</w:t>
            </w: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Net loss attributable to Definitive OpCo prior to the Reorganization Transactions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(33,201)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380" w:type="dxa"/>
            <w:vAlign w:val="bottom"/>
          </w:tcPr>
          <w:p>
            <w:pPr>
              <w:ind w:left="340"/>
              <w:spacing w:after="0"/>
              <w:rPr>
                <w:sz w:val="20"/>
                <w:szCs w:val="20"/>
                <w:color w:val="auto"/>
              </w:rPr>
            </w:pPr>
            <w:r>
              <w:rPr>
                <w:rFonts w:ascii="Arial" w:cs="Arial" w:eastAsia="Arial" w:hAnsi="Arial"/>
                <w:sz w:val="17"/>
                <w:szCs w:val="17"/>
                <w:color w:val="auto"/>
              </w:rPr>
              <w:t>Less: Comprehensive loss attributable to noncontrolling interests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7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Comprehensive loss attributable to Definitive Healthcare Corp.</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7"/>
              </w:rPr>
              <w:t>(35,295)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0800"/>
          </w:cols>
          <w:pgMar w:left="320" w:top="440" w:right="77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CHANGES IN MEMBERS’ EQUITY AND TOTAL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share and unit amounts)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rPr>
              <w:t>AIDH TopCo, LLC</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8"/>
              </w:rPr>
              <w:t>(Prior to</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Reorganization</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vMerge w:val="restart"/>
          </w:tcPr>
          <w:p>
            <w:pPr>
              <w:ind w:left="160"/>
              <w:spacing w:after="0"/>
              <w:rPr>
                <w:sz w:val="20"/>
                <w:szCs w:val="20"/>
                <w:color w:val="auto"/>
              </w:rPr>
            </w:pPr>
            <w:r>
              <w:rPr>
                <w:rFonts w:ascii="Arial" w:cs="Arial" w:eastAsia="Arial" w:hAnsi="Arial"/>
                <w:sz w:val="13"/>
                <w:szCs w:val="13"/>
                <w:b w:val="1"/>
                <w:bCs w:val="1"/>
                <w:color w:val="auto"/>
                <w:w w:val="98"/>
              </w:rPr>
              <w:t>Definitive Healthcare Corp.</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Transactions)</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3"/>
          </w:tcPr>
          <w:p>
            <w:pPr>
              <w:jc w:val="center"/>
              <w:ind w:right="200"/>
              <w:spacing w:after="0" w:line="112" w:lineRule="exact"/>
              <w:rPr>
                <w:sz w:val="20"/>
                <w:szCs w:val="20"/>
                <w:color w:val="auto"/>
              </w:rPr>
            </w:pPr>
            <w:r>
              <w:rPr>
                <w:rFonts w:ascii="Arial" w:cs="Arial" w:eastAsia="Arial" w:hAnsi="Arial"/>
                <w:sz w:val="12"/>
                <w:szCs w:val="12"/>
                <w:b w:val="1"/>
                <w:bCs w:val="1"/>
                <w:color w:val="auto"/>
              </w:rPr>
              <w:t>Accumulated</w:t>
            </w: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spacing w:after="0"/>
              <w:rPr>
                <w:sz w:val="20"/>
                <w:szCs w:val="20"/>
                <w:color w:val="auto"/>
              </w:rPr>
            </w:pPr>
            <w:r>
              <w:rPr>
                <w:rFonts w:ascii="Arial" w:cs="Arial" w:eastAsia="Arial" w:hAnsi="Arial"/>
                <w:sz w:val="13"/>
                <w:szCs w:val="13"/>
                <w:b w:val="1"/>
                <w:bCs w:val="1"/>
                <w:color w:val="auto"/>
                <w:w w:val="87"/>
              </w:rPr>
              <w:t>Class A</w:t>
            </w: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Class A</w:t>
            </w:r>
          </w:p>
        </w:tc>
        <w:tc>
          <w:tcPr>
            <w:tcW w:w="120" w:type="dxa"/>
            <w:vAlign w:val="bottom"/>
          </w:tcPr>
          <w:p>
            <w:pPr>
              <w:spacing w:after="0"/>
              <w:rPr>
                <w:sz w:val="12"/>
                <w:szCs w:val="12"/>
                <w:color w:val="auto"/>
              </w:rPr>
            </w:pPr>
          </w:p>
        </w:tc>
        <w:tc>
          <w:tcPr>
            <w:tcW w:w="440" w:type="dxa"/>
            <w:vAlign w:val="bottom"/>
            <w:vMerge w:val="restart"/>
          </w:tcPr>
          <w:p>
            <w:pPr>
              <w:spacing w:after="0"/>
              <w:rPr>
                <w:sz w:val="20"/>
                <w:szCs w:val="20"/>
                <w:color w:val="auto"/>
              </w:rPr>
            </w:pPr>
            <w:r>
              <w:rPr>
                <w:rFonts w:ascii="Arial" w:cs="Arial" w:eastAsia="Arial" w:hAnsi="Arial"/>
                <w:sz w:val="13"/>
                <w:szCs w:val="13"/>
                <w:b w:val="1"/>
                <w:bCs w:val="1"/>
                <w:color w:val="auto"/>
                <w:w w:val="87"/>
              </w:rPr>
              <w:t>Class B</w:t>
            </w: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Class B</w:t>
            </w: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7"/>
              </w:rPr>
              <w:t>Other</w:t>
            </w: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2"/>
              </w:rPr>
              <w:t>Noncontrolling</w:t>
            </w:r>
          </w:p>
        </w:tc>
        <w:tc>
          <w:tcPr>
            <w:tcW w:w="14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Members’ Equity</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80"/>
              <w:spacing w:after="0" w:line="139" w:lineRule="exact"/>
              <w:rPr>
                <w:sz w:val="20"/>
                <w:szCs w:val="20"/>
                <w:color w:val="auto"/>
              </w:rPr>
            </w:pPr>
            <w:r>
              <w:rPr>
                <w:rFonts w:ascii="Arial" w:cs="Arial" w:eastAsia="Arial" w:hAnsi="Arial"/>
                <w:sz w:val="13"/>
                <w:szCs w:val="13"/>
                <w:b w:val="1"/>
                <w:bCs w:val="1"/>
                <w:color w:val="auto"/>
                <w:w w:val="92"/>
              </w:rPr>
              <w:t>Comprehensive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(Loss) Income</w:t>
            </w:r>
          </w:p>
        </w:tc>
        <w:tc>
          <w:tcPr>
            <w:tcW w:w="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Interests</w:t>
            </w:r>
          </w:p>
        </w:tc>
        <w:tc>
          <w:tcPr>
            <w:tcW w:w="14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4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5"/>
                <w:szCs w:val="15"/>
                <w:color w:val="auto"/>
                <w:w w:val="97"/>
              </w:rPr>
              <w:t>Balance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1,195,694</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   —</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   —</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$1,195,563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5"/>
                <w:szCs w:val="15"/>
                <w:color w:val="auto"/>
                <w:w w:val="96"/>
              </w:rPr>
              <w:t>Net loss prior to Reorganization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(10,487)</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5"/>
                <w:szCs w:val="15"/>
                <w:color w:val="auto"/>
              </w:rPr>
              <w:t>(10,487)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8"/>
              </w:rPr>
              <w:t>(loss) prior to Reorganization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5"/>
                <w:szCs w:val="15"/>
                <w:color w:val="auto"/>
                <w:w w:val="87"/>
              </w:rPr>
              <w:t>163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5"/>
                <w:szCs w:val="15"/>
                <w:color w:val="auto"/>
                <w:w w:val="92"/>
              </w:rPr>
              <w:t>Equity-based compensation prior</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to Reorganization</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406</w:t>
            </w: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ind w:left="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March 31, 2021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1,185,613</w:t>
            </w: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8"/>
              </w:rPr>
              <w:t>1,185,645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5"/>
                <w:szCs w:val="15"/>
                <w:color w:val="auto"/>
                <w:w w:val="96"/>
              </w:rPr>
              <w:t>Net loss prior to Reorganization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(15,040)</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5"/>
                <w:szCs w:val="15"/>
                <w:color w:val="auto"/>
              </w:rPr>
              <w:t>(15,040)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8"/>
              </w:rPr>
              <w:t>(loss) prior to Reorganization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5"/>
                <w:szCs w:val="15"/>
                <w:color w:val="auto"/>
                <w:w w:val="92"/>
              </w:rPr>
              <w:t>Equity-based compensation prior</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to Reorganization</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1,615</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1,615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w w:val="98"/>
              </w:rPr>
              <w:t>Members’ contributions prior to</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9"/>
              </w:rPr>
              <w:t>Reorganization Transactions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5,500</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5,500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5"/>
                <w:szCs w:val="15"/>
                <w:color w:val="auto"/>
              </w:rPr>
              <w:t>Distributions to members prior</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to Reorganization</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(3,328)</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5"/>
                <w:szCs w:val="15"/>
                <w:color w:val="auto"/>
              </w:rPr>
              <w:t>(3,328)</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June 30, 2021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1,174,360</w:t>
            </w: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8"/>
              </w:rPr>
              <w:t>1,174,373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5"/>
                <w:szCs w:val="15"/>
                <w:color w:val="auto"/>
                <w:w w:val="96"/>
              </w:rPr>
              <w:t>Net loss prior to Reorganization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(7,816)</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5"/>
                <w:szCs w:val="15"/>
                <w:color w:val="auto"/>
              </w:rPr>
              <w:t>(7,816)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w w:val="96"/>
              </w:rPr>
              <w:t>Other comprehensive loss prior</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 Reorganization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5"/>
                <w:szCs w:val="15"/>
                <w:color w:val="auto"/>
                <w:w w:val="92"/>
              </w:rPr>
              <w:t>Equity-based compensation prior</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to Reorganization</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(278)</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rPr>
              <w:t>Distributions to members prior</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 Reorganization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Transactions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(3,811)</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(3,811)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5"/>
                <w:szCs w:val="15"/>
                <w:b w:val="1"/>
                <w:bCs w:val="1"/>
                <w:color w:val="auto"/>
              </w:rPr>
              <w:t>Impacts of Reorganization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Pr>
          <w:p>
            <w:pPr>
              <w:ind w:left="120"/>
              <w:spacing w:after="0"/>
              <w:rPr>
                <w:sz w:val="20"/>
                <w:szCs w:val="20"/>
                <w:color w:val="auto"/>
              </w:rPr>
            </w:pPr>
            <w:r>
              <w:rPr>
                <w:rFonts w:ascii="Arial" w:cs="Arial" w:eastAsia="Arial" w:hAnsi="Arial"/>
                <w:sz w:val="15"/>
                <w:szCs w:val="15"/>
                <w:b w:val="1"/>
                <w:bCs w:val="1"/>
                <w:color w:val="auto"/>
              </w:rPr>
              <w:t>Transactions and Intial</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ind w:left="120"/>
              <w:spacing w:after="0"/>
              <w:rPr>
                <w:sz w:val="20"/>
                <w:szCs w:val="20"/>
                <w:color w:val="auto"/>
              </w:rPr>
            </w:pPr>
            <w:r>
              <w:rPr>
                <w:rFonts w:ascii="Arial" w:cs="Arial" w:eastAsia="Arial" w:hAnsi="Arial"/>
                <w:sz w:val="15"/>
                <w:szCs w:val="15"/>
                <w:b w:val="1"/>
                <w:bCs w:val="1"/>
                <w:color w:val="auto"/>
              </w:rPr>
              <w:t>Public Offering IPO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800"/>
          </w:cols>
          <w:pgMar w:left="320" w:top="440" w:right="77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CHANGES IN MEMBERS’ EQUITY AND TOTAL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share and unit amounts)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9"/>
              </w:rPr>
              <w:t>AIDH TopCo,</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rPr>
              <w:t>LLC (Prior to</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11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3"/>
              </w:rPr>
              <w:t>Reorganization</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20" w:type="dxa"/>
            <w:vAlign w:val="bottom"/>
            <w:gridSpan w:val="7"/>
            <w:vMerge w:val="restart"/>
          </w:tcPr>
          <w:p>
            <w:pPr>
              <w:ind w:left="20"/>
              <w:spacing w:after="0"/>
              <w:rPr>
                <w:sz w:val="20"/>
                <w:szCs w:val="20"/>
                <w:color w:val="auto"/>
              </w:rPr>
            </w:pPr>
            <w:r>
              <w:rPr>
                <w:rFonts w:ascii="Arial" w:cs="Arial" w:eastAsia="Arial" w:hAnsi="Arial"/>
                <w:sz w:val="13"/>
                <w:szCs w:val="13"/>
                <w:b w:val="1"/>
                <w:bCs w:val="1"/>
                <w:color w:val="auto"/>
              </w:rPr>
              <w:t>Definitive Healthcare Corp.</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Transactions)</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gridSpan w:val="7"/>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4"/>
              </w:rPr>
              <w:t>Additional</w:t>
            </w: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3"/>
          </w:tcPr>
          <w:p>
            <w:pPr>
              <w:jc w:val="center"/>
              <w:ind w:right="40"/>
              <w:spacing w:after="0" w:line="112" w:lineRule="exact"/>
              <w:rPr>
                <w:sz w:val="20"/>
                <w:szCs w:val="20"/>
                <w:color w:val="auto"/>
              </w:rPr>
            </w:pPr>
            <w:r>
              <w:rPr>
                <w:rFonts w:ascii="Arial" w:cs="Arial" w:eastAsia="Arial" w:hAnsi="Arial"/>
                <w:sz w:val="12"/>
                <w:szCs w:val="12"/>
                <w:b w:val="1"/>
                <w:bCs w:val="1"/>
                <w:color w:val="auto"/>
              </w:rPr>
              <w:t>Accumulated</w:t>
            </w: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Class A</w:t>
            </w:r>
          </w:p>
        </w:tc>
        <w:tc>
          <w:tcPr>
            <w:tcW w:w="60" w:type="dxa"/>
            <w:vAlign w:val="bottom"/>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Class A</w:t>
            </w: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Class B</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Class B</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2"/>
                <w:szCs w:val="12"/>
                <w:color w:val="auto"/>
              </w:rPr>
            </w:pPr>
          </w:p>
        </w:tc>
        <w:tc>
          <w:tcPr>
            <w:tcW w:w="78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Members’ Equity</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39"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6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2"/>
              </w:rPr>
              <w:t>Comprehensive</w:t>
            </w: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Stock</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(Loss) Income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15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Initial effect of the</w:t>
            </w: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Reorganization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Transactions and IPO</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on noncontrolling</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99"/>
              </w:rPr>
              <w:t>(1,162,455)</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72,871,733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61,262,052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351,075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593,861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(217,446)</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Arial" w:cs="Arial" w:eastAsia="Arial" w:hAnsi="Arial"/>
                <w:sz w:val="15"/>
                <w:szCs w:val="15"/>
                <w:color w:val="auto"/>
              </w:rPr>
              <w:t>Issuance of Class A</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rPr>
              <w:t>Common Stock in</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rPr>
              <w:t>IPO, net of costs of</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140"/>
              <w:spacing w:after="0"/>
              <w:rPr>
                <w:sz w:val="20"/>
                <w:szCs w:val="20"/>
                <w:color w:val="auto"/>
              </w:rPr>
            </w:pPr>
            <w:r>
              <w:rPr>
                <w:rFonts w:ascii="Arial" w:cs="Arial" w:eastAsia="Arial" w:hAnsi="Arial"/>
                <w:sz w:val="15"/>
                <w:szCs w:val="15"/>
                <w:color w:val="auto"/>
              </w:rPr>
              <w:t>$11,394</w:t>
            </w:r>
          </w:p>
        </w:tc>
        <w:tc>
          <w:tcPr>
            <w:tcW w:w="8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17,888,888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18</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441,400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441,418</w:t>
            </w: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5"/>
                <w:szCs w:val="15"/>
                <w:color w:val="auto"/>
              </w:rPr>
              <w:t>Repurchase of</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Definitive Healthcare</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Corp. shares in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connection with the</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IPO</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6"/>
              </w:rPr>
              <w:t>(2,497,288)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(63,209)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(63,212)</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Arial" w:cs="Arial" w:eastAsia="Arial" w:hAnsi="Arial"/>
                <w:sz w:val="15"/>
                <w:szCs w:val="15"/>
                <w:color w:val="auto"/>
              </w:rPr>
              <w:t>Repurchase of</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w w:val="99"/>
              </w:rPr>
              <w:t>Definitive OpCo units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rPr>
              <w:t>in connection with</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140"/>
              <w:spacing w:after="0"/>
              <w:rPr>
                <w:sz w:val="20"/>
                <w:szCs w:val="20"/>
                <w:color w:val="auto"/>
              </w:rPr>
            </w:pPr>
            <w:r>
              <w:rPr>
                <w:rFonts w:ascii="Arial" w:cs="Arial" w:eastAsia="Arial" w:hAnsi="Arial"/>
                <w:sz w:val="15"/>
                <w:szCs w:val="15"/>
                <w:color w:val="auto"/>
              </w:rPr>
              <w:t>IPO</w:t>
            </w:r>
          </w:p>
        </w:tc>
        <w:tc>
          <w:tcPr>
            <w:tcW w:w="8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(1,169,378)</w:t>
            </w: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5"/>
                <w:szCs w:val="15"/>
                <w:color w:val="auto"/>
              </w:rPr>
              <w:t>(29,600)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(29,600)</w:t>
            </w: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5"/>
                <w:szCs w:val="15"/>
                <w:color w:val="auto"/>
              </w:rPr>
              <w:t>Net loss subsequent to</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Reorganization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Transactions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65"/>
              <w:spacing w:after="0"/>
              <w:rPr>
                <w:sz w:val="20"/>
                <w:szCs w:val="20"/>
                <w:color w:val="auto"/>
              </w:rPr>
            </w:pPr>
            <w:r>
              <w:rPr>
                <w:rFonts w:ascii="Arial" w:cs="Arial" w:eastAsia="Arial" w:hAnsi="Arial"/>
                <w:sz w:val="15"/>
                <w:szCs w:val="15"/>
                <w:color w:val="auto"/>
                <w:w w:val="96"/>
              </w:rPr>
              <w:t>(7,978)</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(5,172)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(13,150)</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Arial" w:cs="Arial" w:eastAsia="Arial" w:hAnsi="Arial"/>
                <w:sz w:val="15"/>
                <w:szCs w:val="15"/>
                <w:color w:val="auto"/>
              </w:rPr>
              <w:t>Other comprehensive</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w w:val="95"/>
              </w:rPr>
              <w:t>income subsequent to</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rPr>
              <w:t>Reorganization</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140"/>
              <w:spacing w:after="0"/>
              <w:rPr>
                <w:sz w:val="20"/>
                <w:szCs w:val="20"/>
                <w:color w:val="auto"/>
              </w:rPr>
            </w:pPr>
            <w:r>
              <w:rPr>
                <w:rFonts w:ascii="Arial" w:cs="Arial" w:eastAsia="Arial" w:hAnsi="Arial"/>
                <w:sz w:val="15"/>
                <w:szCs w:val="15"/>
                <w:color w:val="auto"/>
                <w:w w:val="96"/>
              </w:rPr>
              <w:t>Transactions and IPO</w:t>
            </w:r>
          </w:p>
        </w:tc>
        <w:tc>
          <w:tcPr>
            <w:tcW w:w="8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780" w:type="dxa"/>
            <w:vAlign w:val="bottom"/>
            <w:gridSpan w:val="2"/>
          </w:tcPr>
          <w:p>
            <w:pPr>
              <w:ind w:left="580"/>
              <w:spacing w:after="0"/>
              <w:rPr>
                <w:sz w:val="20"/>
                <w:szCs w:val="20"/>
                <w:color w:val="auto"/>
              </w:rPr>
            </w:pPr>
            <w:r>
              <w:rPr>
                <w:rFonts w:ascii="Arial" w:cs="Arial" w:eastAsia="Arial" w:hAnsi="Arial"/>
                <w:sz w:val="15"/>
                <w:szCs w:val="15"/>
                <w:color w:val="auto"/>
              </w:rPr>
              <w:t>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5"/>
                <w:szCs w:val="15"/>
                <w:color w:val="auto"/>
              </w:rPr>
              <w:t>Equity-based</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subsequent to</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Reorganization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Transactions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2,595</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Arial" w:cs="Arial" w:eastAsia="Arial" w:hAnsi="Arial"/>
                <w:sz w:val="15"/>
                <w:szCs w:val="15"/>
                <w:color w:val="auto"/>
              </w:rPr>
              <w:t>Forfeited unvested</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140"/>
              <w:spacing w:after="0"/>
              <w:rPr>
                <w:sz w:val="20"/>
                <w:szCs w:val="20"/>
                <w:color w:val="auto"/>
              </w:rPr>
            </w:pPr>
            <w:r>
              <w:rPr>
                <w:rFonts w:ascii="Arial" w:cs="Arial" w:eastAsia="Arial" w:hAnsi="Arial"/>
                <w:sz w:val="15"/>
                <w:szCs w:val="15"/>
                <w:color w:val="auto"/>
              </w:rPr>
              <w:t>incentive units</w:t>
            </w:r>
          </w:p>
        </w:tc>
        <w:tc>
          <w:tcPr>
            <w:tcW w:w="8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(72,149)</w:t>
            </w: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1560" w:type="dxa"/>
            <w:vAlign w:val="bottom"/>
            <w:shd w:val="clear" w:color="auto" w:fill="CCEEFF"/>
          </w:tcPr>
          <w:p>
            <w:pPr>
              <w:spacing w:after="0"/>
              <w:rPr>
                <w:sz w:val="20"/>
                <w:szCs w:val="20"/>
                <w:color w:val="auto"/>
              </w:rPr>
            </w:pPr>
            <w:r>
              <w:rPr>
                <w:rFonts w:ascii="Arial" w:cs="Arial" w:eastAsia="Arial" w:hAnsi="Arial"/>
                <w:sz w:val="15"/>
                <w:szCs w:val="15"/>
                <w:color w:val="auto"/>
              </w:rPr>
              <w:t>Vested incentive units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(467)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5"/>
                <w:szCs w:val="15"/>
                <w:color w:val="auto"/>
                <w:w w:val="87"/>
              </w:rPr>
              <w:t>467</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1560" w:type="dxa"/>
            <w:vAlign w:val="bottom"/>
          </w:tcPr>
          <w:p>
            <w:pPr>
              <w:spacing w:after="0"/>
              <w:rPr>
                <w:sz w:val="20"/>
                <w:szCs w:val="20"/>
                <w:color w:val="auto"/>
              </w:rPr>
            </w:pPr>
            <w:r>
              <w:rPr>
                <w:rFonts w:ascii="Arial" w:cs="Arial" w:eastAsia="Arial" w:hAnsi="Arial"/>
                <w:sz w:val="15"/>
                <w:szCs w:val="15"/>
                <w:b w:val="1"/>
                <w:bCs w:val="1"/>
                <w:color w:val="auto"/>
              </w:rPr>
              <w:t>Balance at</w:t>
            </w: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60" w:type="dxa"/>
            <w:vAlign w:val="bottom"/>
          </w:tcPr>
          <w:p>
            <w:pPr>
              <w:ind w:left="140"/>
              <w:spacing w:after="0"/>
              <w:rPr>
                <w:sz w:val="20"/>
                <w:szCs w:val="20"/>
                <w:color w:val="auto"/>
              </w:rPr>
            </w:pPr>
            <w:r>
              <w:rPr>
                <w:rFonts w:ascii="Arial" w:cs="Arial" w:eastAsia="Arial" w:hAnsi="Arial"/>
                <w:sz w:val="15"/>
                <w:szCs w:val="15"/>
                <w:b w:val="1"/>
                <w:bCs w:val="1"/>
                <w:color w:val="auto"/>
                <w:w w:val="99"/>
              </w:rPr>
              <w:t>September 30, 2021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88,263,333</w:t>
            </w:r>
          </w:p>
        </w:tc>
        <w:tc>
          <w:tcPr>
            <w:tcW w:w="2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88</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3"/>
              </w:rPr>
              <w:t>60,020,525</w:t>
            </w:r>
          </w:p>
        </w:tc>
        <w:tc>
          <w:tcPr>
            <w:tcW w:w="16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$ 700,773</w:t>
            </w:r>
          </w:p>
        </w:tc>
        <w:tc>
          <w:tcPr>
            <w:tcW w:w="12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center"/>
              <w:ind w:left="65"/>
              <w:spacing w:after="0"/>
              <w:rPr>
                <w:sz w:val="20"/>
                <w:szCs w:val="20"/>
                <w:color w:val="auto"/>
              </w:rPr>
            </w:pPr>
            <w:r>
              <w:rPr>
                <w:rFonts w:ascii="Arial" w:cs="Arial" w:eastAsia="Arial" w:hAnsi="Arial"/>
                <w:sz w:val="15"/>
                <w:szCs w:val="15"/>
                <w:color w:val="auto"/>
                <w:w w:val="96"/>
              </w:rPr>
              <w:t>(7,978)</w:t>
            </w:r>
          </w:p>
        </w:tc>
        <w:tc>
          <w:tcPr>
            <w:tcW w:w="180" w:type="dxa"/>
            <w:vAlign w:val="bottom"/>
          </w:tcPr>
          <w:p>
            <w:pPr>
              <w:jc w:val="right"/>
              <w:ind w:right="32"/>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580"/>
              <w:spacing w:after="0"/>
              <w:rPr>
                <w:sz w:val="20"/>
                <w:szCs w:val="20"/>
                <w:color w:val="auto"/>
              </w:rPr>
            </w:pPr>
            <w:r>
              <w:rPr>
                <w:rFonts w:ascii="Arial" w:cs="Arial" w:eastAsia="Arial" w:hAnsi="Arial"/>
                <w:sz w:val="15"/>
                <w:szCs w:val="15"/>
                <w:color w:val="auto"/>
              </w:rPr>
              <w:t>24</w:t>
            </w:r>
          </w:p>
        </w:tc>
        <w:tc>
          <w:tcPr>
            <w:tcW w:w="2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590,177</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1,283,084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0800"/>
          </w:cols>
          <w:pgMar w:left="320" w:top="440" w:right="77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CHANGES IN MEMBERS’ EQUITY (CONTINUED)</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number of shares)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Members’</w:t>
            </w:r>
          </w:p>
        </w:tc>
      </w:tr>
      <w:tr>
        <w:trPr>
          <w:trHeight w:val="160"/>
        </w:trPr>
        <w:tc>
          <w:tcPr>
            <w:tcW w:w="9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Equity</w:t>
            </w:r>
          </w:p>
        </w:tc>
      </w:tr>
      <w:tr>
        <w:trPr>
          <w:trHeight w:val="195"/>
        </w:trPr>
        <w:tc>
          <w:tcPr>
            <w:tcW w:w="94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 2019</w:t>
            </w:r>
          </w:p>
        </w:tc>
        <w:tc>
          <w:tcPr>
            <w:tcW w:w="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$ 1,216,240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9400" w:type="dxa"/>
            <w:vAlign w:val="bottom"/>
          </w:tcPr>
          <w:p>
            <w:pPr>
              <w:spacing w:after="0"/>
              <w:rPr>
                <w:sz w:val="20"/>
                <w:szCs w:val="20"/>
                <w:color w:val="auto"/>
              </w:rPr>
            </w:pPr>
            <w:r>
              <w:rPr>
                <w:rFonts w:ascii="Arial" w:cs="Arial" w:eastAsia="Arial" w:hAnsi="Arial"/>
                <w:sz w:val="17"/>
                <w:szCs w:val="17"/>
                <w:color w:val="auto"/>
              </w:rPr>
              <w:t>Net loss</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(13,835)</w:t>
            </w:r>
          </w:p>
        </w:tc>
      </w:tr>
      <w:tr>
        <w:trPr>
          <w:trHeight w:val="203"/>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20" w:type="dxa"/>
            <w:vAlign w:val="bottom"/>
            <w:shd w:val="clear" w:color="auto" w:fill="CCEEFF"/>
          </w:tcPr>
          <w:p>
            <w:pPr>
              <w:spacing w:after="0"/>
              <w:rPr>
                <w:sz w:val="17"/>
                <w:szCs w:val="17"/>
                <w:color w:val="auto"/>
              </w:rPr>
            </w:pPr>
          </w:p>
        </w:tc>
      </w:tr>
      <w:tr>
        <w:trPr>
          <w:trHeight w:val="208"/>
        </w:trPr>
        <w:tc>
          <w:tcPr>
            <w:tcW w:w="9400" w:type="dxa"/>
            <w:vAlign w:val="bottom"/>
          </w:tcPr>
          <w:p>
            <w:pPr>
              <w:spacing w:after="0"/>
              <w:rPr>
                <w:sz w:val="20"/>
                <w:szCs w:val="20"/>
                <w:color w:val="auto"/>
              </w:rPr>
            </w:pPr>
            <w:r>
              <w:rPr>
                <w:rFonts w:ascii="Arial" w:cs="Arial" w:eastAsia="Arial" w:hAnsi="Arial"/>
                <w:sz w:val="17"/>
                <w:szCs w:val="17"/>
                <w:color w:val="auto"/>
              </w:rPr>
              <w:t>Balance at March 31, 2020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89"/>
              </w:rPr>
              <w:t>$ 1,202,835</w:t>
            </w:r>
          </w:p>
        </w:tc>
        <w:tc>
          <w:tcPr>
            <w:tcW w:w="12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9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94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(11,498)</w:t>
            </w:r>
          </w:p>
        </w:tc>
      </w:tr>
      <w:tr>
        <w:trPr>
          <w:trHeight w:val="203"/>
        </w:trPr>
        <w:tc>
          <w:tcPr>
            <w:tcW w:w="9400" w:type="dxa"/>
            <w:vAlign w:val="bottom"/>
          </w:tcPr>
          <w:p>
            <w:pPr>
              <w:spacing w:after="0"/>
              <w:rPr>
                <w:sz w:val="20"/>
                <w:szCs w:val="20"/>
                <w:color w:val="auto"/>
              </w:rPr>
            </w:pPr>
            <w:r>
              <w:rPr>
                <w:rFonts w:ascii="Arial" w:cs="Arial" w:eastAsia="Arial" w:hAnsi="Arial"/>
                <w:sz w:val="17"/>
                <w:szCs w:val="17"/>
                <w:color w:val="auto"/>
              </w:rPr>
              <w:t>Distributions to members</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(48)</w:t>
            </w:r>
          </w:p>
        </w:tc>
      </w:tr>
      <w:tr>
        <w:trPr>
          <w:trHeight w:val="203"/>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20" w:type="dxa"/>
            <w:vAlign w:val="bottom"/>
            <w:shd w:val="clear" w:color="auto" w:fill="CCEEFF"/>
          </w:tcPr>
          <w:p>
            <w:pPr>
              <w:spacing w:after="0"/>
              <w:rPr>
                <w:sz w:val="17"/>
                <w:szCs w:val="17"/>
                <w:color w:val="auto"/>
              </w:rPr>
            </w:pPr>
          </w:p>
        </w:tc>
      </w:tr>
      <w:tr>
        <w:trPr>
          <w:trHeight w:val="208"/>
        </w:trPr>
        <w:tc>
          <w:tcPr>
            <w:tcW w:w="9400" w:type="dxa"/>
            <w:vAlign w:val="bottom"/>
          </w:tcPr>
          <w:p>
            <w:pPr>
              <w:spacing w:after="0"/>
              <w:rPr>
                <w:sz w:val="20"/>
                <w:szCs w:val="20"/>
                <w:color w:val="auto"/>
              </w:rPr>
            </w:pPr>
            <w:r>
              <w:rPr>
                <w:rFonts w:ascii="Arial" w:cs="Arial" w:eastAsia="Arial" w:hAnsi="Arial"/>
                <w:sz w:val="17"/>
                <w:szCs w:val="17"/>
                <w:color w:val="auto"/>
              </w:rPr>
              <w:t>Balance at June 30, 2020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89"/>
              </w:rPr>
              <w:t>$ 1,191,731</w:t>
            </w:r>
          </w:p>
        </w:tc>
        <w:tc>
          <w:tcPr>
            <w:tcW w:w="12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9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94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(9,962)</w:t>
            </w:r>
          </w:p>
        </w:tc>
      </w:tr>
      <w:tr>
        <w:trPr>
          <w:trHeight w:val="203"/>
        </w:trPr>
        <w:tc>
          <w:tcPr>
            <w:tcW w:w="9400" w:type="dxa"/>
            <w:vAlign w:val="bottom"/>
          </w:tcPr>
          <w:p>
            <w:pPr>
              <w:spacing w:after="0"/>
              <w:rPr>
                <w:sz w:val="20"/>
                <w:szCs w:val="20"/>
                <w:color w:val="auto"/>
              </w:rPr>
            </w:pPr>
            <w:r>
              <w:rPr>
                <w:rFonts w:ascii="Arial" w:cs="Arial" w:eastAsia="Arial" w:hAnsi="Arial"/>
                <w:sz w:val="17"/>
                <w:szCs w:val="17"/>
                <w:color w:val="auto"/>
              </w:rPr>
              <w:t>Distributions to members</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(2,059)</w:t>
            </w:r>
          </w:p>
        </w:tc>
      </w:tr>
      <w:tr>
        <w:trPr>
          <w:trHeight w:val="203"/>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120" w:type="dxa"/>
            <w:vAlign w:val="bottom"/>
            <w:shd w:val="clear" w:color="auto" w:fill="CCEEFF"/>
          </w:tcPr>
          <w:p>
            <w:pPr>
              <w:spacing w:after="0"/>
              <w:rPr>
                <w:sz w:val="17"/>
                <w:szCs w:val="17"/>
                <w:color w:val="auto"/>
              </w:rPr>
            </w:pPr>
          </w:p>
        </w:tc>
      </w:tr>
      <w:tr>
        <w:trPr>
          <w:trHeight w:val="208"/>
        </w:trPr>
        <w:tc>
          <w:tcPr>
            <w:tcW w:w="9400" w:type="dxa"/>
            <w:vAlign w:val="bottom"/>
          </w:tcPr>
          <w:p>
            <w:pPr>
              <w:spacing w:after="0"/>
              <w:rPr>
                <w:sz w:val="20"/>
                <w:szCs w:val="20"/>
                <w:color w:val="auto"/>
              </w:rPr>
            </w:pPr>
            <w:r>
              <w:rPr>
                <w:rFonts w:ascii="Arial" w:cs="Arial" w:eastAsia="Arial" w:hAnsi="Arial"/>
                <w:sz w:val="17"/>
                <w:szCs w:val="17"/>
                <w:color w:val="auto"/>
              </w:rPr>
              <w:t>Balance at September 30, 2020</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$ 1,180,168</w:t>
            </w:r>
          </w:p>
        </w:tc>
        <w:tc>
          <w:tcPr>
            <w:tcW w:w="12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0800"/>
          </w:cols>
          <w:pgMar w:left="320" w:top="440" w:right="77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7"/>
              </w:rPr>
              <w:t>Nine Months Ended September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6"/>
              <w:spacing w:after="0" w:line="132" w:lineRule="exact"/>
              <w:rPr>
                <w:sz w:val="20"/>
                <w:szCs w:val="20"/>
                <w:color w:val="auto"/>
              </w:rPr>
            </w:pPr>
            <w:r>
              <w:rPr>
                <w:rFonts w:ascii="Arial" w:cs="Arial" w:eastAsia="Arial" w:hAnsi="Arial"/>
                <w:sz w:val="13"/>
                <w:szCs w:val="13"/>
                <w:b w:val="1"/>
                <w:bCs w:val="1"/>
                <w:color w:val="auto"/>
              </w:rPr>
              <w:t>2021</w:t>
            </w:r>
          </w:p>
        </w:tc>
        <w:tc>
          <w:tcPr>
            <w:tcW w:w="38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6"/>
              <w:spacing w:after="0" w:line="13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provided by operating activities:</w:t>
            </w: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(46,493)</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(35,295)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(used in) operating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1,193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Amortization of intangible assets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43,517</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Amortization of deferred contract costs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3,195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Equity-based compensation</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4,338</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Noncash paid in kind interest expense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Amortization of debt issuance costs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1,522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Provision for doubtful accounts receivable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76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Loss on extinguishment of debt</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9,843</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Changes in fair value of contingent consideration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3,169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Accounts receivable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5,179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Prepaid expenses and other current assets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Deferred contract costs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(9,043)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payable, accrued expenses and other current liabilities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(3,965)</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Deferred revenue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9,023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1,392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20,993</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14,544</w:t>
            </w:r>
          </w:p>
        </w:tc>
        <w:tc>
          <w:tcPr>
            <w:tcW w:w="0" w:type="dxa"/>
            <w:vAlign w:val="bottom"/>
          </w:tcPr>
          <w:p>
            <w:pPr>
              <w:spacing w:after="0"/>
              <w:rPr>
                <w:sz w:val="1"/>
                <w:szCs w:val="1"/>
                <w:color w:val="auto"/>
              </w:rPr>
            </w:pPr>
          </w:p>
        </w:tc>
      </w:tr>
      <w:tr>
        <w:trPr>
          <w:trHeight w:val="208"/>
        </w:trPr>
        <w:tc>
          <w:tcPr>
            <w:tcW w:w="6780" w:type="dxa"/>
            <w:vAlign w:val="bottom"/>
            <w:gridSpan w:val="2"/>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Purchases of property, equipment, and other assets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(5,662)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Cash paid for acquisitions, net of cash acquired</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(6,935)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(5,662)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(7,996)</w:t>
            </w:r>
          </w:p>
        </w:tc>
        <w:tc>
          <w:tcPr>
            <w:tcW w:w="0" w:type="dxa"/>
            <w:vAlign w:val="bottom"/>
          </w:tcPr>
          <w:p>
            <w:pPr>
              <w:spacing w:after="0"/>
              <w:rPr>
                <w:sz w:val="1"/>
                <w:szCs w:val="1"/>
                <w:color w:val="auto"/>
              </w:rPr>
            </w:pPr>
          </w:p>
        </w:tc>
      </w:tr>
      <w:tr>
        <w:trPr>
          <w:trHeight w:val="208"/>
        </w:trPr>
        <w:tc>
          <w:tcPr>
            <w:tcW w:w="6780" w:type="dxa"/>
            <w:vAlign w:val="bottom"/>
            <w:gridSpan w:val="2"/>
          </w:tcPr>
          <w:p>
            <w:pPr>
              <w:spacing w:after="0"/>
              <w:rPr>
                <w:sz w:val="20"/>
                <w:szCs w:val="20"/>
                <w:color w:val="auto"/>
              </w:rPr>
            </w:pPr>
            <w:r>
              <w:rPr>
                <w:rFonts w:ascii="Arial" w:cs="Arial" w:eastAsia="Arial" w:hAnsi="Arial"/>
                <w:sz w:val="17"/>
                <w:szCs w:val="17"/>
                <w:b w:val="1"/>
                <w:bCs w:val="1"/>
                <w:color w:val="auto"/>
              </w:rPr>
              <w:t>Cash flows provided by (used in) financing activities:</w:t>
            </w:r>
          </w:p>
        </w:tc>
        <w:tc>
          <w:tcPr>
            <w:tcW w:w="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term loan</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275,000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Repayments of term loans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(472,742)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revolving credit facility</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Payment of contingent consideration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(1,500)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debt issuance costs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(3,511)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Proceeds from equity offering, net of underwriting discounts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452,812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Repurchase of outstanding equity / Definitive OpCo units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(92,812)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Payments of IPO issuance costs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(5,913)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 contributions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5,500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Member distributions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(7,139)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(2,109)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149,695</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19,516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Net increase in cash and cash equivalents</w:t>
            </w: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165,026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26,064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(48)</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24,774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8,618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189,752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34,682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cash flow disclosures:</w:t>
            </w: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8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paid for interest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27,587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Cash paid for income taxes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13</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investing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Net decrease in accrued capital expenditures, including purchases of data</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(3,020)</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Increase in unpaid public offering costs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5,481</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0800"/>
          </w:cols>
          <w:pgMar w:left="320" w:top="440" w:right="77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39" w:lineRule="exact"/>
        <w:rPr>
          <w:sz w:val="20"/>
          <w:szCs w:val="20"/>
          <w:color w:val="auto"/>
        </w:rPr>
      </w:pPr>
    </w:p>
    <w:p>
      <w:pPr>
        <w:ind w:left="860" w:hanging="403"/>
        <w:spacing w:after="0"/>
        <w:tabs>
          <w:tab w:leader="none" w:pos="860"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Description of Business</w:t>
      </w:r>
    </w:p>
    <w:p>
      <w:pPr>
        <w:spacing w:after="0" w:line="108" w:lineRule="exact"/>
        <w:rPr>
          <w:sz w:val="20"/>
          <w:szCs w:val="20"/>
          <w:color w:val="auto"/>
        </w:rPr>
      </w:pPr>
    </w:p>
    <w:p>
      <w:pPr>
        <w:ind w:left="460" w:right="80" w:firstLine="413"/>
        <w:spacing w:after="0" w:line="253" w:lineRule="auto"/>
        <w:rPr>
          <w:sz w:val="20"/>
          <w:szCs w:val="20"/>
          <w:color w:val="auto"/>
        </w:rPr>
      </w:pPr>
      <w:r>
        <w:rPr>
          <w:rFonts w:ascii="Arial" w:cs="Arial" w:eastAsia="Arial" w:hAnsi="Arial"/>
          <w:sz w:val="17"/>
          <w:szCs w:val="17"/>
          <w:color w:val="auto"/>
        </w:rPr>
        <w:t>Definitive Healthcare Corp. (together with its subsidiaries, “Definitive Healthcare” or the “Company”), through its operating subsidiary, AIDH TopCo, LLC (“Definitive OpCo”), provides comprehensive and up-to-date hospital and healthcare-related information and insight across the entire healthcare continuum via a multi-tenant database platform which combines proprietary and public sources to deliver insights. Unless otherwise stated, references to “we,” “us,” “our,” “Definitive Healthcare” and the “Company” refer (1) prior to the consummation of the Reorganization Transactions (as defined below), to Definitive OpCo and its consolidated subsidiaries, and (2) after the consummation of the Reorganization Transactions, to Definitive Healthcare Corp. and its consolidated subsidiaries.</w:t>
      </w:r>
    </w:p>
    <w:p>
      <w:pPr>
        <w:spacing w:after="0" w:line="182"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 xml:space="preserve">On October 27, 2020, Definitive OpCo completed the purchase of all of the outstanding shares of Monocl Holding Company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Organization</w:t>
      </w:r>
    </w:p>
    <w:p>
      <w:pPr>
        <w:spacing w:after="0" w:line="108" w:lineRule="exact"/>
        <w:rPr>
          <w:sz w:val="20"/>
          <w:szCs w:val="20"/>
          <w:color w:val="auto"/>
        </w:rPr>
      </w:pPr>
    </w:p>
    <w:p>
      <w:pPr>
        <w:ind w:left="460" w:right="500" w:firstLine="413"/>
        <w:spacing w:after="0" w:line="284" w:lineRule="auto"/>
        <w:rPr>
          <w:sz w:val="20"/>
          <w:szCs w:val="20"/>
          <w:color w:val="auto"/>
        </w:rPr>
      </w:pPr>
      <w:r>
        <w:rPr>
          <w:rFonts w:ascii="Arial" w:cs="Arial" w:eastAsia="Arial" w:hAnsi="Arial"/>
          <w:sz w:val="16"/>
          <w:szCs w:val="16"/>
          <w:color w:val="auto"/>
        </w:rPr>
        <w:t>Definitive Healthcare Corp. was formed on May 5, 2021 as a Delaware corporation for the purposes of facilitating an initial public offering (“IPO”) and other related transactions in order to carry on the business of Definitive OpCo, a Delaware limited liability company. Following consummation of the Reorganization Transactions, Definitive OpCo became an indirect subsidiary of Definitive Healthcare Corp.</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is headquartered in Framingham, MA, with three other offices in the United States and one in Sweden.</w:t>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0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6"/>
          <w:szCs w:val="16"/>
          <w:color w:val="auto"/>
        </w:rPr>
        <w:t>On September 17, 2021, Definitive Healthcare completed its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and reimbursements). Definitive Healthcare used proceeds from the IPO to (i) acquire 14,222,222 newly issued limited liability company interests (“LLC Units”) from Definitive OpCo; (ii) purchase 1,169,378 LLC Units from certain holders of LLC Units prior to the IPO; and (iii) repurchase 2,497,288 shares of Class A Common Stock received by the former shareholders of certain Blocker Companies (as defined below).</w:t>
      </w:r>
    </w:p>
    <w:p>
      <w:pPr>
        <w:spacing w:after="0" w:line="26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Reorganization Transactions</w:t>
      </w:r>
    </w:p>
    <w:p>
      <w:pPr>
        <w:spacing w:after="0" w:line="108"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 to hold LLC Units, have the right to require Definitive OpCo to exchange all or a portion of their LLC Units for newly issued shares of Class A Common Stock. Entities treated as corporations for U.S. tax purposes that hold LLC Units (individually, a “Blocker Company” and collectively, the “Blocker Companies”) each merged with a merger subsidiary and subsequently merged into Definitive Healthcare Corp. Except for AIDH Management Holdings, LLC, members of AIDH Management Holdings, LLC, received a number of shares of Definitive Healthcare Corp.</w:t>
      </w:r>
    </w:p>
    <w:p>
      <w:pPr>
        <w:spacing w:after="0" w:line="3" w:lineRule="exact"/>
        <w:rPr>
          <w:sz w:val="20"/>
          <w:szCs w:val="20"/>
          <w:color w:val="auto"/>
        </w:rPr>
      </w:pPr>
    </w:p>
    <w:p>
      <w:pPr>
        <w:ind w:left="460" w:right="520"/>
        <w:spacing w:after="0" w:line="257" w:lineRule="auto"/>
        <w:rPr>
          <w:sz w:val="20"/>
          <w:szCs w:val="20"/>
          <w:color w:val="auto"/>
        </w:rPr>
      </w:pPr>
      <w:r>
        <w:rPr>
          <w:rFonts w:ascii="Arial" w:cs="Arial" w:eastAsia="Arial" w:hAnsi="Arial"/>
          <w:sz w:val="17"/>
          <w:szCs w:val="17"/>
          <w:color w:val="auto"/>
        </w:rPr>
        <w:t>Class B Common Stock with no par value per share. The total shares of Class B Common Stock outstanding is equal to the number of LLC Units outstanding. AIDH Management Holdings, LLC is a special</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780"/>
          </w:cols>
          <w:pgMar w:left="320" w:top="440" w:right="79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60" w:lineRule="auto"/>
        <w:rPr>
          <w:sz w:val="20"/>
          <w:szCs w:val="20"/>
          <w:color w:val="auto"/>
        </w:rPr>
      </w:pPr>
      <w:r>
        <w:rPr>
          <w:rFonts w:ascii="Arial" w:cs="Arial" w:eastAsia="Arial" w:hAnsi="Arial"/>
          <w:sz w:val="17"/>
          <w:szCs w:val="17"/>
          <w:color w:val="auto"/>
        </w:rPr>
        <w:t>purpose investment vehicle through which certain persons, primarily our employees and certain legacy investors, indirectly hold interests in Definitive OpCo; the holders of interests in AIDH Management Holdings, LLC received a number of shares of Definitive Healthcare Corp. Class B Common Stock.</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 connection with the Reorganization Transactions and the IPO, Definitive Healthcare Corp. entered into a tax receivable agreement. See Note</w:t>
      </w:r>
    </w:p>
    <w:p>
      <w:pPr>
        <w:spacing w:after="0" w:line="42" w:lineRule="exact"/>
        <w:rPr>
          <w:sz w:val="20"/>
          <w:szCs w:val="20"/>
          <w:color w:val="auto"/>
        </w:rPr>
      </w:pPr>
    </w:p>
    <w:p>
      <w:pPr>
        <w:ind w:left="720" w:hanging="263"/>
        <w:spacing w:after="0"/>
        <w:tabs>
          <w:tab w:leader="none" w:pos="720" w:val="left"/>
        </w:tabs>
        <w:numPr>
          <w:ilvl w:val="0"/>
          <w:numId w:val="196"/>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337" w:lineRule="exact"/>
        <w:rPr>
          <w:sz w:val="20"/>
          <w:szCs w:val="20"/>
          <w:color w:val="auto"/>
        </w:rPr>
      </w:pPr>
    </w:p>
    <w:p>
      <w:pPr>
        <w:ind w:left="880" w:right="6820" w:hanging="423"/>
        <w:spacing w:after="0" w:line="373" w:lineRule="auto"/>
        <w:tabs>
          <w:tab w:leader="none" w:pos="872"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Summary of Significant Accounting Policies Basis of Presentation</w:t>
      </w:r>
    </w:p>
    <w:p>
      <w:pPr>
        <w:ind w:left="460" w:right="20" w:firstLine="413"/>
        <w:spacing w:after="0" w:line="288"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(“GAAP”) and in conformity with rules applicable to quarterly financial information.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The condensed consolidated financial statements as of September 30, 2021 and for the nine months ended September 30, 2021 and 2020 are unaudited. Amounts for the period from January 1, 2020 through September 15, 2021 presented in the condensed consolidated financial statements and notes to the condensed consolidated financial statements herein represent the historical operations of Definitive OpCo. The amounts as of September 30, 2021 and for the period from September 16, 2021 reflect the consolidated operations of Definitive Healthcare Corp. and its consolidated subsidiaries.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159" w:lineRule="exact"/>
        <w:rPr>
          <w:sz w:val="20"/>
          <w:szCs w:val="20"/>
          <w:color w:val="auto"/>
        </w:rPr>
      </w:pPr>
    </w:p>
    <w:p>
      <w:pPr>
        <w:ind w:left="460" w:right="380" w:firstLine="413"/>
        <w:spacing w:after="0" w:line="284"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the Consolidated Financial Statements in the Company’s final prospectus dated September 14, 2021 filed with the Securities and Exchange Commission (“SEC”) pursuant to Rule 424(b) of the Securities Act of 1933, as amended, on September 16, 2021 (the “IPO Prospectus”) for the Company’s accounting policies and estimates.</w:t>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In August 2018, the FASB issued ASU No. 2018-15—</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This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08"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In February 2016, the FASB issued ASU 2016-02—</w:t>
      </w:r>
      <w:r>
        <w:rPr>
          <w:rFonts w:ascii="Arial" w:cs="Arial" w:eastAsia="Arial" w:hAnsi="Arial"/>
          <w:sz w:val="15"/>
          <w:szCs w:val="15"/>
          <w:i w:val="1"/>
          <w:iCs w:val="1"/>
          <w:color w:val="auto"/>
        </w:rPr>
        <w:t>Leases</w:t>
      </w:r>
      <w:r>
        <w:rPr>
          <w:rFonts w:ascii="Arial" w:cs="Arial" w:eastAsia="Arial" w:hAnsi="Arial"/>
          <w:sz w:val="15"/>
          <w:szCs w:val="15"/>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FASB has subsequently issued supplemental and/or clarifying ASUs inclusive of ASU 2020-05, which updated the effective date for certain non-public companies to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0780"/>
          </w:cols>
          <w:pgMar w:left="320" w:top="440" w:right="79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20"/>
        <w:spacing w:after="0" w:line="284" w:lineRule="auto"/>
        <w:rPr>
          <w:sz w:val="20"/>
          <w:szCs w:val="20"/>
          <w:color w:val="auto"/>
        </w:rPr>
      </w:pPr>
      <w:r>
        <w:rPr>
          <w:rFonts w:ascii="Arial" w:cs="Arial" w:eastAsia="Arial" w:hAnsi="Arial"/>
          <w:sz w:val="16"/>
          <w:szCs w:val="16"/>
          <w:color w:val="auto"/>
        </w:rPr>
        <w:t>recording a cumulative effect adjustment as of the adoption date, with certain practical expedients available. The Company, as an Emerging Growth Company as defined by the Jumpstart Our Business Startups Act of 2012 (the “JOBS Act”), can elect to take the extended transition period and adopt the standard following guidance for non-public entities which are a part of the “all other” category.</w:t>
      </w:r>
    </w:p>
    <w:p>
      <w:pPr>
        <w:spacing w:after="0" w:line="157"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The Company will adopt ASU 2016-02 and all associated amendments on the first day of fiscal 2022 (January 1st, 2022) which includes, as allowed under ASU 2018-11, the ability to recognize a cumulative-effect adjustment through opening retained earnings as of the date of adoption. The Company will elect the package of practical expedients permitted under the transition guidance, which allows the Company to carryforward its historical assessments of: (1) whether contracts are or contain leases, (2) lease classification and (3) initial direct costs. The Company will not elect the hindsight practical expedient. The Company will elect to use the practical expedient that allows the combination of lease and non-lease contract components in all of its underlying asset categories. The Company will also elect a policy of not recording leases on its condensed consolidated balance sheets when the leases have a term of 12 months or less and the Company is not reasonably certain to elect an option to renew the leased asset. The Company is currently evaluating the impact the adoption of this standard will have on its consolidated financial statements.</w:t>
      </w:r>
    </w:p>
    <w:p>
      <w:pPr>
        <w:spacing w:after="0" w:line="156"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 – Credit Losses (Topic 326) –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181"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In December 2019, the FASB issued ASU No. 2019-12—</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position or results of operation.</w:t>
      </w:r>
    </w:p>
    <w:p>
      <w:pPr>
        <w:spacing w:after="0" w:line="164"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its consolidated financial position or results of operations upon adoption.</w:t>
      </w:r>
    </w:p>
    <w:p>
      <w:pPr>
        <w:spacing w:after="0" w:line="310" w:lineRule="exact"/>
        <w:rPr>
          <w:sz w:val="20"/>
          <w:szCs w:val="20"/>
          <w:color w:val="auto"/>
        </w:rPr>
      </w:pPr>
    </w:p>
    <w:p>
      <w:pPr>
        <w:ind w:left="860" w:hanging="403"/>
        <w:spacing w:after="0"/>
        <w:tabs>
          <w:tab w:leader="none" w:pos="860"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900" w:firstLine="413"/>
        <w:spacing w:after="0" w:line="272" w:lineRule="auto"/>
        <w:rPr>
          <w:sz w:val="20"/>
          <w:szCs w:val="20"/>
          <w:color w:val="auto"/>
        </w:rPr>
      </w:pPr>
      <w:r>
        <w:rPr>
          <w:rFonts w:ascii="Arial" w:cs="Arial" w:eastAsia="Arial" w:hAnsi="Arial"/>
          <w:sz w:val="17"/>
          <w:szCs w:val="17"/>
          <w:color w:val="auto"/>
        </w:rPr>
        <w:t>On October 27, 2020, the Company completed the purchase of all outstanding shares of Monocl for a total estimated consideration of $46.3 million, and up to $60 million, summarized as follows:</w:t>
      </w:r>
    </w:p>
    <w:p>
      <w:pPr>
        <w:spacing w:after="0" w:line="184" w:lineRule="exact"/>
        <w:rPr>
          <w:sz w:val="20"/>
          <w:szCs w:val="20"/>
          <w:color w:val="auto"/>
        </w:rPr>
      </w:pPr>
    </w:p>
    <w:tbl>
      <w:tblPr>
        <w:tblLayout w:type="fixed"/>
        <w:tblInd w:w="2120" w:type="dxa"/>
        <w:tblCellMar>
          <w:top w:w="0" w:type="dxa"/>
          <w:left w:w="0" w:type="dxa"/>
          <w:bottom w:w="0" w:type="dxa"/>
          <w:right w:w="0" w:type="dxa"/>
        </w:tblCellMar>
      </w:tblPr>
      <w:tr>
        <w:trPr>
          <w:trHeight w:val="158"/>
        </w:trPr>
        <w:tc>
          <w:tcPr>
            <w:tcW w:w="25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3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45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$ 18,307</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7"/>
                <w:szCs w:val="17"/>
                <w:color w:val="auto"/>
              </w:rPr>
              <w:t>Equity issuance</w:t>
            </w:r>
          </w:p>
        </w:tc>
        <w:tc>
          <w:tcPr>
            <w:tcW w:w="4500" w:type="dxa"/>
            <w:vAlign w:val="bottom"/>
            <w:gridSpan w:val="3"/>
          </w:tcPr>
          <w:p>
            <w:pPr>
              <w:jc w:val="right"/>
              <w:ind w:right="80"/>
              <w:spacing w:after="0"/>
              <w:rPr>
                <w:sz w:val="20"/>
                <w:szCs w:val="20"/>
                <w:color w:val="auto"/>
              </w:rPr>
            </w:pPr>
            <w:r>
              <w:rPr>
                <w:rFonts w:ascii="Arial" w:cs="Arial" w:eastAsia="Arial" w:hAnsi="Arial"/>
                <w:sz w:val="17"/>
                <w:szCs w:val="17"/>
                <w:color w:val="auto"/>
              </w:rPr>
              <w:t>25,439</w:t>
            </w: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38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2,600</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340"/>
              <w:spacing w:after="0"/>
              <w:rPr>
                <w:sz w:val="20"/>
                <w:szCs w:val="20"/>
                <w:color w:val="auto"/>
              </w:rPr>
            </w:pPr>
            <w:r>
              <w:rPr>
                <w:rFonts w:ascii="Arial" w:cs="Arial" w:eastAsia="Arial" w:hAnsi="Arial"/>
                <w:sz w:val="17"/>
                <w:szCs w:val="17"/>
                <w:color w:val="auto"/>
              </w:rPr>
              <w:t>Purchase price</w:t>
            </w:r>
          </w:p>
        </w:tc>
        <w:tc>
          <w:tcPr>
            <w:tcW w:w="3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520" w:type="dxa"/>
            <w:vAlign w:val="bottom"/>
            <w:vMerge w:val="continue"/>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$ 46,346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520" w:type="dxa"/>
            <w:vAlign w:val="bottom"/>
          </w:tcPr>
          <w:p>
            <w:pPr>
              <w:spacing w:after="0"/>
              <w:rPr>
                <w:sz w:val="24"/>
                <w:szCs w:val="24"/>
                <w:color w:val="auto"/>
              </w:rPr>
            </w:pPr>
          </w:p>
        </w:tc>
        <w:tc>
          <w:tcPr>
            <w:tcW w:w="4500" w:type="dxa"/>
            <w:vAlign w:val="bottom"/>
            <w:gridSpan w:val="3"/>
          </w:tcPr>
          <w:p>
            <w:pPr>
              <w:jc w:val="right"/>
              <w:ind w:right="3360"/>
              <w:spacing w:after="0"/>
              <w:rPr>
                <w:sz w:val="20"/>
                <w:szCs w:val="20"/>
                <w:color w:val="auto"/>
              </w:rPr>
            </w:pPr>
            <w:r>
              <w:rPr>
                <w:rFonts w:ascii="Arial" w:cs="Arial" w:eastAsia="Arial" w:hAnsi="Arial"/>
                <w:sz w:val="17"/>
                <w:szCs w:val="17"/>
                <w:color w:val="auto"/>
              </w:rPr>
              <w:t>F-57</w:t>
            </w: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80" w:firstLine="413"/>
        <w:spacing w:after="0" w:line="272" w:lineRule="auto"/>
        <w:rPr>
          <w:sz w:val="20"/>
          <w:szCs w:val="20"/>
          <w:color w:val="auto"/>
        </w:rPr>
      </w:pPr>
      <w:r>
        <w:rPr>
          <w:rFonts w:ascii="Arial" w:cs="Arial" w:eastAsia="Arial" w:hAnsi="Arial"/>
          <w:sz w:val="17"/>
          <w:szCs w:val="17"/>
          <w:color w:val="auto"/>
        </w:rPr>
        <w:t>The assets acquired and liabilities assumed were recorded at their estimated fair values and the results of operations were included in the Company’s consolidated results as of the acquisition date.</w:t>
      </w:r>
    </w:p>
    <w:p>
      <w:pPr>
        <w:spacing w:after="0" w:line="165"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The contingent consideration performance targets for earnout payments are based on the contractual Annual Recurring Revenue (“ARR”) for each of the twelve-month periods ending December 31, 2020 and December 31, 2021. Potential payouts range from $0 to $5.0 million and $0 to</w:t>
      </w:r>
    </w:p>
    <w:p>
      <w:pPr>
        <w:ind w:left="460" w:right="320"/>
        <w:spacing w:after="0" w:line="257" w:lineRule="auto"/>
        <w:rPr>
          <w:sz w:val="20"/>
          <w:szCs w:val="20"/>
          <w:color w:val="auto"/>
        </w:rPr>
      </w:pPr>
      <w:r>
        <w:rPr>
          <w:rFonts w:ascii="Arial" w:cs="Arial" w:eastAsia="Arial" w:hAnsi="Arial"/>
          <w:sz w:val="17"/>
          <w:szCs w:val="17"/>
          <w:color w:val="auto"/>
        </w:rPr>
        <w:t>$10.0 million based on ARR of below $8.5 million to over $9.5 million and below $12.0 million to over $16.0 million for each of the twelve-month periods ending December 31, 2020 and 2021, respectively.</w:t>
      </w:r>
    </w:p>
    <w:p>
      <w:pPr>
        <w:spacing w:after="0" w:line="177"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 xml:space="preserve">The Company estimated the fair value of contingent consideration to be $6.9 million and $5.2 million at September 30, 2021 and December 31, 2020, respectively, based on the achievement of 2020 ARR targets and the probability of achieving the 2021 targets. Refer to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w:t>
      </w:r>
    </w:p>
    <w:p>
      <w:pPr>
        <w:spacing w:after="0" w:line="175" w:lineRule="exact"/>
        <w:rPr>
          <w:sz w:val="20"/>
          <w:szCs w:val="20"/>
          <w:color w:val="auto"/>
        </w:rPr>
      </w:pPr>
    </w:p>
    <w:p>
      <w:pPr>
        <w:jc w:val="both"/>
        <w:ind w:left="460" w:right="180" w:firstLine="413"/>
        <w:spacing w:after="0" w:line="260" w:lineRule="auto"/>
        <w:rPr>
          <w:sz w:val="20"/>
          <w:szCs w:val="20"/>
          <w:color w:val="auto"/>
        </w:rPr>
      </w:pPr>
      <w:r>
        <w:rPr>
          <w:rFonts w:ascii="Arial" w:cs="Arial" w:eastAsia="Arial" w:hAnsi="Arial"/>
          <w:sz w:val="17"/>
          <w:szCs w:val="17"/>
          <w:color w:val="auto"/>
        </w:rPr>
        <w:t>The purchase accounting for the Monocl acquisition was finalized as of December 31, 2020. The fair values assigned to tangible and identified intangible assets acquired and liabilities assumed were based on management’s estimates and assumptions. The final allocation of the acquisition-date fair values of assets and liabilities as of December 31, 2020, was as follows:</w:t>
      </w:r>
    </w:p>
    <w:p>
      <w:pPr>
        <w:spacing w:after="0" w:line="195" w:lineRule="exact"/>
        <w:rPr>
          <w:sz w:val="20"/>
          <w:szCs w:val="20"/>
          <w:color w:val="auto"/>
        </w:rPr>
      </w:pPr>
    </w:p>
    <w:tbl>
      <w:tblPr>
        <w:tblLayout w:type="fixed"/>
        <w:tblInd w:w="2120" w:type="dxa"/>
        <w:tblCellMar>
          <w:top w:w="0" w:type="dxa"/>
          <w:left w:w="0" w:type="dxa"/>
          <w:bottom w:w="0" w:type="dxa"/>
          <w:right w:w="0" w:type="dxa"/>
        </w:tblCellMar>
      </w:tblPr>
      <w:tr>
        <w:trPr>
          <w:trHeight w:val="172"/>
        </w:trPr>
        <w:tc>
          <w:tcPr>
            <w:tcW w:w="62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0" w:type="dxa"/>
            <w:vAlign w:val="bottom"/>
          </w:tcPr>
          <w:p>
            <w:pPr>
              <w:spacing w:after="0"/>
              <w:rPr>
                <w:sz w:val="14"/>
                <w:szCs w:val="14"/>
                <w:color w:val="auto"/>
              </w:rPr>
            </w:pPr>
          </w:p>
        </w:tc>
        <w:tc>
          <w:tcPr>
            <w:tcW w:w="7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October 27,</w:t>
            </w:r>
          </w:p>
        </w:tc>
        <w:tc>
          <w:tcPr>
            <w:tcW w:w="0" w:type="dxa"/>
            <w:vAlign w:val="bottom"/>
          </w:tcPr>
          <w:p>
            <w:pPr>
              <w:spacing w:after="0"/>
              <w:rPr>
                <w:sz w:val="1"/>
                <w:szCs w:val="1"/>
                <w:color w:val="auto"/>
              </w:rPr>
            </w:pPr>
          </w:p>
        </w:tc>
      </w:tr>
      <w:tr>
        <w:trPr>
          <w:trHeight w:val="104"/>
        </w:trPr>
        <w:tc>
          <w:tcPr>
            <w:tcW w:w="6220" w:type="dxa"/>
            <w:vAlign w:val="bottom"/>
            <w:vMerge w:val="restart"/>
          </w:tcPr>
          <w:p>
            <w:pPr>
              <w:spacing w:after="0"/>
              <w:rPr>
                <w:sz w:val="20"/>
                <w:szCs w:val="20"/>
                <w:color w:val="auto"/>
              </w:rPr>
            </w:pPr>
            <w:r>
              <w:rPr>
                <w:rFonts w:ascii="Arial" w:cs="Arial" w:eastAsia="Arial" w:hAnsi="Arial"/>
                <w:sz w:val="13"/>
                <w:szCs w:val="13"/>
                <w:b w:val="1"/>
                <w:bCs w:val="1"/>
                <w:color w:val="auto"/>
              </w:rPr>
              <w:t>Preliminary allocation:</w:t>
            </w:r>
          </w:p>
        </w:tc>
        <w:tc>
          <w:tcPr>
            <w:tcW w:w="2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22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18,900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(2,137)</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(2,884)</w:t>
            </w:r>
          </w:p>
        </w:tc>
        <w:tc>
          <w:tcPr>
            <w:tcW w:w="0" w:type="dxa"/>
            <w:vAlign w:val="bottom"/>
          </w:tcPr>
          <w:p>
            <w:pPr>
              <w:spacing w:after="0"/>
              <w:rPr>
                <w:sz w:val="1"/>
                <w:szCs w:val="1"/>
                <w:color w:val="auto"/>
              </w:rPr>
            </w:pPr>
          </w:p>
        </w:tc>
      </w:tr>
      <w:tr>
        <w:trPr>
          <w:trHeight w:val="208"/>
        </w:trPr>
        <w:tc>
          <w:tcPr>
            <w:tcW w:w="622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2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9"/>
              </w:rPr>
              <w:t>46,346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recorded goodwill, customer relationships, data, technology, and trademark of $28.3 million, $11.9 million, $3.0 million,</w:t>
      </w:r>
    </w:p>
    <w:p>
      <w:pPr>
        <w:spacing w:after="0" w:line="30" w:lineRule="exact"/>
        <w:rPr>
          <w:sz w:val="20"/>
          <w:szCs w:val="20"/>
          <w:color w:val="auto"/>
        </w:rPr>
      </w:pPr>
    </w:p>
    <w:p>
      <w:pPr>
        <w:jc w:val="both"/>
        <w:ind w:left="460" w:right="160"/>
        <w:spacing w:after="0" w:line="253" w:lineRule="auto"/>
        <w:rPr>
          <w:sz w:val="20"/>
          <w:szCs w:val="20"/>
          <w:color w:val="auto"/>
        </w:rPr>
      </w:pPr>
      <w:r>
        <w:rPr>
          <w:rFonts w:ascii="Arial" w:cs="Arial" w:eastAsia="Arial" w:hAnsi="Arial"/>
          <w:sz w:val="17"/>
          <w:szCs w:val="17"/>
          <w:color w:val="auto"/>
        </w:rPr>
        <w:t>$2.6 million and $1.4 million, respectively, as of the acquisition date. The goodwill recognized includes the fair value of the assembled workforce and any expected synergies gained through the acquisition. The Company determined that the goodwill resulting from the acquisition is not deductible for tax purposes.</w:t>
      </w:r>
    </w:p>
    <w:p>
      <w:pPr>
        <w:spacing w:after="0" w:line="181" w:lineRule="exact"/>
        <w:rPr>
          <w:sz w:val="20"/>
          <w:szCs w:val="20"/>
          <w:color w:val="auto"/>
        </w:rPr>
      </w:pPr>
    </w:p>
    <w:p>
      <w:pPr>
        <w:ind w:left="460" w:right="300" w:firstLine="413"/>
        <w:spacing w:after="0" w:line="303" w:lineRule="auto"/>
        <w:rPr>
          <w:sz w:val="20"/>
          <w:szCs w:val="20"/>
          <w:color w:val="auto"/>
        </w:rPr>
      </w:pPr>
      <w:r>
        <w:rPr>
          <w:rFonts w:ascii="Arial" w:cs="Arial" w:eastAsia="Arial" w:hAnsi="Arial"/>
          <w:sz w:val="16"/>
          <w:szCs w:val="16"/>
          <w:color w:val="auto"/>
        </w:rPr>
        <w:t>Customer relationships represent the estimated fair value of the underlying relationships with the acquired entity’s business customers and are amortized using the annual pattern of cash flows (economic value method) over the estimated 14-year life of this asset.</w:t>
      </w:r>
    </w:p>
    <w:p>
      <w:pPr>
        <w:spacing w:after="0" w:line="143"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6"/>
          <w:szCs w:val="16"/>
          <w:color w:val="auto"/>
        </w:rPr>
        <w:t>Data includes proprietary data on medical and scientific expert personnel. 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trademark represents the estimated fair value of the registered trademarks, logo and domain names associated with the Monocl corporate brand. The data, technology, and trademark are amortized using the straight-line method over the estimated remaining useful life of 3 years, 8 years, and 19 years, respectively.</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0760"/>
          </w:cols>
          <w:pgMar w:left="320" w:top="440" w:right="81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income (loss).</w:t>
      </w:r>
    </w:p>
    <w:p>
      <w:pPr>
        <w:spacing w:after="0" w:line="165" w:lineRule="exact"/>
        <w:rPr>
          <w:sz w:val="20"/>
          <w:szCs w:val="20"/>
          <w:color w:val="auto"/>
        </w:rPr>
      </w:pPr>
    </w:p>
    <w:p>
      <w:pPr>
        <w:ind w:left="460" w:right="80" w:firstLine="413"/>
        <w:spacing w:after="0" w:line="340" w:lineRule="auto"/>
        <w:rPr>
          <w:sz w:val="20"/>
          <w:szCs w:val="20"/>
          <w:color w:val="auto"/>
        </w:rPr>
      </w:pPr>
      <w:r>
        <w:rPr>
          <w:rFonts w:ascii="Arial" w:cs="Arial" w:eastAsia="Arial" w:hAnsi="Arial"/>
          <w:sz w:val="15"/>
          <w:szCs w:val="15"/>
          <w:color w:val="auto"/>
        </w:rPr>
        <w:t>The results of operations of Monocl are included in the Company’s consolidated results since the date of acquisition. The revenue and net loss of Monocl reflected in the consolidated statements of operations for the year ended December 31, 2020 were $1.2 million and $1.6 million, respectively.</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Unaudited Pro Forma Supplementary Data:</w:t>
      </w:r>
    </w:p>
    <w:p>
      <w:pPr>
        <w:spacing w:after="0" w:line="217"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328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46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 2020</w:t>
            </w:r>
          </w:p>
        </w:tc>
        <w:tc>
          <w:tcPr>
            <w:tcW w:w="0" w:type="dxa"/>
            <w:vAlign w:val="bottom"/>
          </w:tcPr>
          <w:p>
            <w:pPr>
              <w:spacing w:after="0"/>
              <w:rPr>
                <w:sz w:val="1"/>
                <w:szCs w:val="1"/>
                <w:color w:val="auto"/>
              </w:rPr>
            </w:pPr>
          </w:p>
        </w:tc>
      </w:tr>
      <w:tr>
        <w:trPr>
          <w:trHeight w:val="132"/>
        </w:trPr>
        <w:tc>
          <w:tcPr>
            <w:tcW w:w="3280" w:type="dxa"/>
            <w:vAlign w:val="bottom"/>
            <w:vMerge w:val="continue"/>
          </w:tcPr>
          <w:p>
            <w:pPr>
              <w:spacing w:after="0"/>
              <w:rPr>
                <w:sz w:val="11"/>
                <w:szCs w:val="11"/>
                <w:color w:val="auto"/>
              </w:rPr>
            </w:pPr>
          </w:p>
        </w:tc>
        <w:tc>
          <w:tcPr>
            <w:tcW w:w="24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840" w:type="dxa"/>
            <w:vAlign w:val="bottom"/>
            <w:gridSpan w:val="2"/>
            <w:shd w:val="clear" w:color="auto" w:fill="CCEEFF"/>
          </w:tcPr>
          <w:p>
            <w:pPr>
              <w:ind w:left="24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91,750</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20"/>
                <w:szCs w:val="20"/>
                <w:color w:val="auto"/>
              </w:rPr>
            </w:pPr>
            <w:r>
              <w:rPr>
                <w:rFonts w:ascii="Arial" w:cs="Arial" w:eastAsia="Arial" w:hAnsi="Arial"/>
                <w:sz w:val="17"/>
                <w:szCs w:val="17"/>
                <w:color w:val="auto"/>
              </w:rPr>
              <w:t>Net loss</w:t>
            </w:r>
          </w:p>
        </w:tc>
        <w:tc>
          <w:tcPr>
            <w:tcW w:w="2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(43,763)</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60" w:right="280" w:firstLine="413"/>
        <w:spacing w:after="0" w:line="301" w:lineRule="auto"/>
        <w:rPr>
          <w:sz w:val="20"/>
          <w:szCs w:val="20"/>
          <w:color w:val="auto"/>
        </w:rPr>
      </w:pPr>
      <w:r>
        <w:rPr>
          <w:rFonts w:ascii="Arial" w:cs="Arial" w:eastAsia="Arial" w:hAnsi="Arial"/>
          <w:sz w:val="15"/>
          <w:szCs w:val="15"/>
          <w:color w:val="auto"/>
        </w:rPr>
        <w:t>The pro forma net loss includes adjustments to amortization expense for the valuation of other intangible assets of $0.6 million and interest expense related to incremental borrowings used to finance the transaction of $0.8 million and for the nine months ended September 30,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87" w:lineRule="exact"/>
        <w:rPr>
          <w:sz w:val="20"/>
          <w:szCs w:val="20"/>
          <w:color w:val="auto"/>
        </w:rPr>
      </w:pPr>
    </w:p>
    <w:p>
      <w:pPr>
        <w:ind w:left="860" w:hanging="403"/>
        <w:spacing w:after="0"/>
        <w:tabs>
          <w:tab w:leader="none" w:pos="860"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08"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6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following table represents a disaggregation of revenue from arrangements with customers for the nine months ended September 30, 2021 and 2020, respectively:</w:t>
      </w:r>
    </w:p>
    <w:p>
      <w:pPr>
        <w:spacing w:after="0" w:line="172"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17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526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76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2"/>
        </w:trPr>
        <w:tc>
          <w:tcPr>
            <w:tcW w:w="5260" w:type="dxa"/>
            <w:vAlign w:val="bottom"/>
            <w:tcBorders>
              <w:bottom w:val="single" w:sz="8" w:color="CCEEFF"/>
            </w:tcBorders>
            <w:vMerge w:val="continue"/>
          </w:tcPr>
          <w:p>
            <w:pPr>
              <w:spacing w:after="0"/>
              <w:rPr>
                <w:sz w:val="11"/>
                <w:szCs w:val="11"/>
                <w:color w:val="auto"/>
              </w:rPr>
            </w:pPr>
          </w:p>
        </w:tc>
        <w:tc>
          <w:tcPr>
            <w:tcW w:w="640" w:type="dxa"/>
            <w:vAlign w:val="bottom"/>
            <w:tcBorders>
              <w:top w:val="single" w:sz="8" w:color="auto"/>
              <w:bottom w:val="single" w:sz="8" w:color="auto"/>
            </w:tcBorders>
          </w:tcPr>
          <w:p>
            <w:pPr>
              <w:jc w:val="right"/>
              <w:ind w:right="124"/>
              <w:spacing w:after="0" w:line="132"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60"/>
              <w:spacing w:after="0" w:line="13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Platform subscriptions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$ 118,545</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$ 83,814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7"/>
                <w:szCs w:val="17"/>
                <w:color w:val="auto"/>
              </w:rPr>
              <w:t>Professional services</w:t>
            </w:r>
          </w:p>
        </w:tc>
        <w:tc>
          <w:tcPr>
            <w:tcW w:w="640" w:type="dxa"/>
            <w:vAlign w:val="bottom"/>
          </w:tcPr>
          <w:p>
            <w:pPr>
              <w:jc w:val="right"/>
              <w:spacing w:after="0"/>
              <w:rPr>
                <w:sz w:val="20"/>
                <w:szCs w:val="20"/>
                <w:color w:val="auto"/>
              </w:rPr>
            </w:pPr>
            <w:r>
              <w:rPr>
                <w:rFonts w:ascii="Arial" w:cs="Arial" w:eastAsia="Arial" w:hAnsi="Arial"/>
                <w:sz w:val="17"/>
                <w:szCs w:val="17"/>
                <w:color w:val="auto"/>
              </w:rPr>
              <w:t>1,296</w:t>
            </w:r>
          </w:p>
        </w:tc>
        <w:tc>
          <w:tcPr>
            <w:tcW w:w="46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845</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119,841</w:t>
            </w:r>
          </w:p>
        </w:tc>
        <w:tc>
          <w:tcPr>
            <w:tcW w:w="4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$ 84,659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w:t>
      </w:r>
    </w:p>
    <w:p>
      <w:pPr>
        <w:spacing w:after="0" w:line="172"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8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6"/>
              </w:rPr>
              <w:t>December 31,</w:t>
            </w:r>
          </w:p>
        </w:tc>
      </w:tr>
      <w:tr>
        <w:trPr>
          <w:trHeight w:val="160"/>
        </w:trPr>
        <w:tc>
          <w:tcPr>
            <w:tcW w:w="28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7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5"/>
        </w:trPr>
        <w:tc>
          <w:tcPr>
            <w:tcW w:w="2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Accounts receivable, net</w:t>
            </w:r>
          </w:p>
        </w:tc>
        <w:tc>
          <w:tcPr>
            <w:tcW w:w="1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27,886</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60" w:type="dxa"/>
            <w:vAlign w:val="bottom"/>
            <w:shd w:val="clear" w:color="auto" w:fill="CCEEFF"/>
          </w:tcPr>
          <w:p>
            <w:pPr>
              <w:spacing w:after="0"/>
              <w:rPr>
                <w:sz w:val="16"/>
                <w:szCs w:val="16"/>
                <w:color w:val="auto"/>
              </w:rPr>
            </w:pPr>
          </w:p>
        </w:tc>
      </w:tr>
      <w:tr>
        <w:trPr>
          <w:trHeight w:val="203"/>
        </w:trPr>
        <w:tc>
          <w:tcPr>
            <w:tcW w:w="282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5,359</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2,947</w:t>
            </w:r>
          </w:p>
        </w:tc>
      </w:tr>
      <w:tr>
        <w:trPr>
          <w:trHeight w:val="203"/>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9,388</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5,952</w:t>
            </w:r>
          </w:p>
        </w:tc>
      </w:tr>
      <w:tr>
        <w:trPr>
          <w:trHeight w:val="214"/>
        </w:trPr>
        <w:tc>
          <w:tcPr>
            <w:tcW w:w="2820" w:type="dxa"/>
            <w:vAlign w:val="bottom"/>
          </w:tcPr>
          <w:p>
            <w:pPr>
              <w:spacing w:after="0"/>
              <w:rPr>
                <w:sz w:val="20"/>
                <w:szCs w:val="20"/>
                <w:color w:val="auto"/>
              </w:rPr>
            </w:pPr>
            <w:r>
              <w:rPr>
                <w:rFonts w:ascii="Arial" w:cs="Arial" w:eastAsia="Arial" w:hAnsi="Arial"/>
                <w:sz w:val="17"/>
                <w:szCs w:val="17"/>
                <w:color w:val="auto"/>
              </w:rPr>
              <w:t>Deferred revenues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7"/>
                <w:szCs w:val="17"/>
                <w:color w:val="auto"/>
              </w:rPr>
              <w:t>70,179</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61,200</w:t>
            </w:r>
          </w:p>
        </w:tc>
      </w:tr>
      <w:tr>
        <w:trPr>
          <w:trHeight w:val="329"/>
        </w:trPr>
        <w:tc>
          <w:tcPr>
            <w:tcW w:w="2820" w:type="dxa"/>
            <w:vAlign w:val="bottom"/>
          </w:tcPr>
          <w:p>
            <w:pPr>
              <w:spacing w:after="0"/>
              <w:rPr>
                <w:sz w:val="24"/>
                <w:szCs w:val="24"/>
                <w:color w:val="auto"/>
              </w:rPr>
            </w:pPr>
          </w:p>
        </w:tc>
        <w:tc>
          <w:tcPr>
            <w:tcW w:w="1960" w:type="dxa"/>
            <w:vAlign w:val="bottom"/>
            <w:gridSpan w:val="2"/>
          </w:tcPr>
          <w:p>
            <w:pPr>
              <w:ind w:left="520"/>
              <w:spacing w:after="0"/>
              <w:rPr>
                <w:sz w:val="20"/>
                <w:szCs w:val="20"/>
                <w:color w:val="auto"/>
              </w:rPr>
            </w:pPr>
            <w:r>
              <w:rPr>
                <w:rFonts w:ascii="Arial" w:cs="Arial" w:eastAsia="Arial" w:hAnsi="Arial"/>
                <w:sz w:val="17"/>
                <w:szCs w:val="17"/>
                <w:color w:val="auto"/>
              </w:rPr>
              <w:t>F-59</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20"/>
          </w:cols>
          <w:pgMar w:left="320" w:top="440" w:right="85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 summary of the activity impacting the deferred contract costs for the nine months ended September 30, 2021 and the year ended December 31,</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2020 is presented below:</w:t>
      </w:r>
    </w:p>
    <w:p>
      <w:pPr>
        <w:spacing w:after="0" w:line="205"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r>
      <w:tr>
        <w:trPr>
          <w:trHeight w:val="160"/>
        </w:trPr>
        <w:tc>
          <w:tcPr>
            <w:tcW w:w="44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95"/>
        </w:trPr>
        <w:tc>
          <w:tcPr>
            <w:tcW w:w="4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8,899</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100" w:type="dxa"/>
            <w:vAlign w:val="bottom"/>
            <w:shd w:val="clear" w:color="auto" w:fill="CCEEFF"/>
          </w:tcPr>
          <w:p>
            <w:pPr>
              <w:spacing w:after="0"/>
              <w:rPr>
                <w:sz w:val="16"/>
                <w:szCs w:val="16"/>
                <w:color w:val="auto"/>
              </w:rPr>
            </w:pPr>
          </w:p>
        </w:tc>
      </w:tr>
      <w:tr>
        <w:trPr>
          <w:trHeight w:val="203"/>
        </w:trPr>
        <w:tc>
          <w:tcPr>
            <w:tcW w:w="4480" w:type="dxa"/>
            <w:vAlign w:val="bottom"/>
          </w:tcPr>
          <w:p>
            <w:pPr>
              <w:ind w:left="340"/>
              <w:spacing w:after="0"/>
              <w:rPr>
                <w:sz w:val="20"/>
                <w:szCs w:val="20"/>
                <w:color w:val="auto"/>
              </w:rPr>
            </w:pPr>
            <w:r>
              <w:rPr>
                <w:rFonts w:ascii="Arial" w:cs="Arial" w:eastAsia="Arial" w:hAnsi="Arial"/>
                <w:sz w:val="17"/>
                <w:szCs w:val="17"/>
                <w:color w:val="auto"/>
              </w:rPr>
              <w:t>Costs amortized</w:t>
            </w:r>
          </w:p>
        </w:tc>
        <w:tc>
          <w:tcPr>
            <w:tcW w:w="180" w:type="dxa"/>
            <w:vAlign w:val="bottom"/>
          </w:tcPr>
          <w:p>
            <w:pPr>
              <w:spacing w:after="0"/>
              <w:rPr>
                <w:sz w:val="17"/>
                <w:szCs w:val="17"/>
                <w:color w:val="auto"/>
              </w:rPr>
            </w:pPr>
          </w:p>
        </w:tc>
        <w:tc>
          <w:tcPr>
            <w:tcW w:w="1460" w:type="dxa"/>
            <w:vAlign w:val="bottom"/>
            <w:gridSpan w:val="3"/>
          </w:tcPr>
          <w:p>
            <w:pPr>
              <w:jc w:val="right"/>
              <w:ind w:right="760"/>
              <w:spacing w:after="0"/>
              <w:rPr>
                <w:sz w:val="20"/>
                <w:szCs w:val="20"/>
                <w:color w:val="auto"/>
              </w:rPr>
            </w:pPr>
            <w:r>
              <w:rPr>
                <w:rFonts w:ascii="Arial" w:cs="Arial" w:eastAsia="Arial" w:hAnsi="Arial"/>
                <w:sz w:val="17"/>
                <w:szCs w:val="17"/>
                <w:color w:val="auto"/>
              </w:rPr>
              <w:t>(3,195)</w:t>
            </w:r>
          </w:p>
        </w:tc>
        <w:tc>
          <w:tcPr>
            <w:tcW w:w="1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(1,670)</w:t>
            </w:r>
          </w:p>
        </w:tc>
      </w:tr>
      <w:tr>
        <w:trPr>
          <w:trHeight w:val="203"/>
        </w:trPr>
        <w:tc>
          <w:tcPr>
            <w:tcW w:w="4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amounts deferred</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9,043</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7,684</w:t>
            </w:r>
          </w:p>
        </w:tc>
        <w:tc>
          <w:tcPr>
            <w:tcW w:w="100" w:type="dxa"/>
            <w:vAlign w:val="bottom"/>
            <w:shd w:val="clear" w:color="auto" w:fill="CCEEFF"/>
          </w:tcPr>
          <w:p>
            <w:pPr>
              <w:spacing w:after="0"/>
              <w:rPr>
                <w:sz w:val="17"/>
                <w:szCs w:val="17"/>
                <w:color w:val="auto"/>
              </w:rPr>
            </w:pPr>
          </w:p>
        </w:tc>
      </w:tr>
      <w:tr>
        <w:trPr>
          <w:trHeight w:val="213"/>
        </w:trPr>
        <w:tc>
          <w:tcPr>
            <w:tcW w:w="4480" w:type="dxa"/>
            <w:vAlign w:val="bottom"/>
          </w:tcPr>
          <w:p>
            <w:pPr>
              <w:spacing w:after="0"/>
              <w:rPr>
                <w:sz w:val="20"/>
                <w:szCs w:val="20"/>
                <w:color w:val="auto"/>
              </w:rPr>
            </w:pPr>
            <w:r>
              <w:rPr>
                <w:rFonts w:ascii="Arial" w:cs="Arial" w:eastAsia="Arial" w:hAnsi="Arial"/>
                <w:sz w:val="17"/>
                <w:szCs w:val="17"/>
                <w:color w:val="auto"/>
              </w:rPr>
              <w:t>Balance at end of period</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14,747</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80" w:type="dxa"/>
            <w:vAlign w:val="bottom"/>
          </w:tcPr>
          <w:p>
            <w:pPr>
              <w:ind w:left="340"/>
              <w:spacing w:after="0"/>
              <w:rPr>
                <w:sz w:val="20"/>
                <w:szCs w:val="20"/>
                <w:color w:val="auto"/>
              </w:rPr>
            </w:pPr>
            <w:r>
              <w:rPr>
                <w:rFonts w:ascii="Arial" w:cs="Arial" w:eastAsia="Arial" w:hAnsi="Arial"/>
                <w:sz w:val="17"/>
                <w:szCs w:val="17"/>
                <w:color w:val="auto"/>
              </w:rPr>
              <w:t>Current</w:t>
            </w:r>
          </w:p>
        </w:tc>
        <w:tc>
          <w:tcPr>
            <w:tcW w:w="1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5,359</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2,947</w:t>
            </w:r>
          </w:p>
        </w:tc>
      </w:tr>
      <w:tr>
        <w:trPr>
          <w:trHeight w:val="203"/>
        </w:trPr>
        <w:tc>
          <w:tcPr>
            <w:tcW w:w="4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9,388</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100" w:type="dxa"/>
            <w:vAlign w:val="bottom"/>
            <w:shd w:val="clear" w:color="auto" w:fill="CCEEFF"/>
          </w:tcPr>
          <w:p>
            <w:pPr>
              <w:spacing w:after="0"/>
              <w:rPr>
                <w:sz w:val="17"/>
                <w:szCs w:val="17"/>
                <w:color w:val="auto"/>
              </w:rPr>
            </w:pPr>
          </w:p>
        </w:tc>
      </w:tr>
      <w:tr>
        <w:trPr>
          <w:trHeight w:val="208"/>
        </w:trPr>
        <w:tc>
          <w:tcPr>
            <w:tcW w:w="4480" w:type="dxa"/>
            <w:vAlign w:val="bottom"/>
          </w:tcPr>
          <w:p>
            <w:pPr>
              <w:spacing w:after="0"/>
              <w:rPr>
                <w:sz w:val="20"/>
                <w:szCs w:val="20"/>
                <w:color w:val="auto"/>
              </w:rPr>
            </w:pPr>
            <w:r>
              <w:rPr>
                <w:rFonts w:ascii="Arial" w:cs="Arial" w:eastAsia="Arial" w:hAnsi="Arial"/>
                <w:sz w:val="17"/>
                <w:szCs w:val="17"/>
                <w:color w:val="auto"/>
              </w:rPr>
              <w:t>Total deferred contract costs (deferred commissions)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14,747</w:t>
            </w:r>
          </w:p>
        </w:tc>
        <w:tc>
          <w:tcPr>
            <w:tcW w:w="8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r>
      <w:tr>
        <w:trPr>
          <w:trHeight w:val="20"/>
        </w:trPr>
        <w:tc>
          <w:tcPr>
            <w:tcW w:w="4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summary of the activity impacting deferred revenue balances during the nine months ended September 30, 2021 and for the year ended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2020 is presented below:</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54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61,200</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7"/>
                <w:szCs w:val="17"/>
                <w:color w:val="auto"/>
              </w:rPr>
              <w:t>Revenue recognized</w:t>
            </w:r>
          </w:p>
        </w:tc>
        <w:tc>
          <w:tcPr>
            <w:tcW w:w="140" w:type="dxa"/>
            <w:vAlign w:val="bottom"/>
          </w:tcPr>
          <w:p>
            <w:pPr>
              <w:spacing w:after="0"/>
              <w:rPr>
                <w:sz w:val="17"/>
                <w:szCs w:val="17"/>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7"/>
                <w:szCs w:val="17"/>
                <w:color w:val="auto"/>
                <w:w w:val="98"/>
              </w:rPr>
              <w:t>(119,841)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(118,317)</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128,820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133,392</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70,179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61,200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remaining performance obligations consisted of the following:</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8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4"/>
              </w:rPr>
              <w:t>December 31,</w:t>
            </w:r>
          </w:p>
        </w:tc>
      </w:tr>
      <w:tr>
        <w:trPr>
          <w:trHeight w:val="160"/>
        </w:trPr>
        <w:tc>
          <w:tcPr>
            <w:tcW w:w="23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3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3"/>
                <w:szCs w:val="13"/>
                <w:color w:val="auto"/>
              </w:rPr>
            </w:pPr>
          </w:p>
        </w:tc>
      </w:tr>
      <w:tr>
        <w:trPr>
          <w:trHeight w:val="195"/>
        </w:trPr>
        <w:tc>
          <w:tcPr>
            <w:tcW w:w="2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w:t>
            </w:r>
          </w:p>
        </w:tc>
        <w:tc>
          <w:tcPr>
            <w:tcW w:w="3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128,653</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114,284</w:t>
            </w:r>
          </w:p>
        </w:tc>
        <w:tc>
          <w:tcPr>
            <w:tcW w:w="40" w:type="dxa"/>
            <w:vAlign w:val="bottom"/>
            <w:shd w:val="clear" w:color="auto" w:fill="CCEEFF"/>
          </w:tcPr>
          <w:p>
            <w:pPr>
              <w:spacing w:after="0"/>
              <w:rPr>
                <w:sz w:val="16"/>
                <w:szCs w:val="16"/>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7"/>
                <w:szCs w:val="17"/>
                <w:color w:val="auto"/>
              </w:rPr>
              <w:t>Non-current</w:t>
            </w:r>
          </w:p>
        </w:tc>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7"/>
                <w:szCs w:val="17"/>
                <w:color w:val="auto"/>
              </w:rPr>
              <w:t>78,900</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58,250</w:t>
            </w:r>
          </w:p>
        </w:tc>
      </w:tr>
      <w:tr>
        <w:trPr>
          <w:trHeight w:val="25"/>
        </w:trPr>
        <w:tc>
          <w:tcPr>
            <w:tcW w:w="2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207,553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172,534</w:t>
            </w:r>
          </w:p>
        </w:tc>
      </w:tr>
      <w:tr>
        <w:trPr>
          <w:trHeight w:val="20"/>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2300" w:type="dxa"/>
            <w:vAlign w:val="bottom"/>
          </w:tcPr>
          <w:p>
            <w:pPr>
              <w:spacing w:after="0"/>
              <w:rPr>
                <w:sz w:val="24"/>
                <w:szCs w:val="24"/>
                <w:color w:val="auto"/>
              </w:rPr>
            </w:pPr>
          </w:p>
        </w:tc>
        <w:tc>
          <w:tcPr>
            <w:tcW w:w="3420" w:type="dxa"/>
            <w:vAlign w:val="bottom"/>
            <w:gridSpan w:val="2"/>
          </w:tcPr>
          <w:p>
            <w:pPr>
              <w:ind w:left="1460"/>
              <w:spacing w:after="0"/>
              <w:rPr>
                <w:sz w:val="20"/>
                <w:szCs w:val="20"/>
                <w:color w:val="auto"/>
              </w:rPr>
            </w:pPr>
            <w:r>
              <w:rPr>
                <w:rFonts w:ascii="Arial" w:cs="Arial" w:eastAsia="Arial" w:hAnsi="Arial"/>
                <w:sz w:val="17"/>
                <w:szCs w:val="17"/>
                <w:color w:val="auto"/>
              </w:rPr>
              <w:t>F-60</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60"/>
          </w:cols>
          <w:pgMar w:left="320" w:top="440" w:right="81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w w:val="89"/>
              </w:rPr>
              <w:t>September 30,</w:t>
            </w:r>
          </w:p>
        </w:tc>
        <w:tc>
          <w:tcPr>
            <w:tcW w:w="3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5440" w:type="dxa"/>
            <w:vAlign w:val="bottom"/>
            <w:gridSpan w:val="2"/>
          </w:tcPr>
          <w:p>
            <w:pPr>
              <w:ind w:left="980"/>
              <w:spacing w:after="0"/>
              <w:rPr>
                <w:sz w:val="20"/>
                <w:szCs w:val="20"/>
                <w:color w:val="auto"/>
              </w:rPr>
            </w:pPr>
            <w:r>
              <w:rPr>
                <w:rFonts w:ascii="Arial" w:cs="Arial" w:eastAsia="Arial" w:hAnsi="Arial"/>
                <w:sz w:val="13"/>
                <w:szCs w:val="13"/>
                <w:b w:val="1"/>
                <w:bCs w:val="1"/>
                <w:i w:val="1"/>
                <w:iCs w:val="1"/>
                <w:color w:val="auto"/>
              </w:rPr>
              <w:t>(in thousands)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5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Accounts receivable</w:t>
            </w:r>
          </w:p>
        </w:tc>
        <w:tc>
          <w:tcPr>
            <w:tcW w:w="8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28,243</w:t>
            </w:r>
          </w:p>
        </w:tc>
        <w:tc>
          <w:tcPr>
            <w:tcW w:w="4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Unbilled receivable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496</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28,739</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33,964</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ind w:left="340"/>
              <w:spacing w:after="0"/>
              <w:rPr>
                <w:sz w:val="20"/>
                <w:szCs w:val="20"/>
                <w:color w:val="auto"/>
              </w:rPr>
            </w:pPr>
            <w:r>
              <w:rPr>
                <w:rFonts w:ascii="Arial" w:cs="Arial" w:eastAsia="Arial" w:hAnsi="Arial"/>
                <w:sz w:val="17"/>
                <w:szCs w:val="17"/>
                <w:color w:val="auto"/>
              </w:rPr>
              <w:t>Less: allowance for doubtful accounts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7"/>
                <w:szCs w:val="17"/>
                <w:color w:val="auto"/>
              </w:rPr>
              <w:t>(853)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27,886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auto"/>
                <w:w w:val="70"/>
              </w:rPr>
              <w:t>6.</w:t>
            </w:r>
          </w:p>
        </w:tc>
        <w:tc>
          <w:tcPr>
            <w:tcW w:w="5440" w:type="dxa"/>
            <w:vAlign w:val="bottom"/>
            <w:gridSpan w:val="2"/>
            <w:vMerge w:val="restart"/>
          </w:tcPr>
          <w:p>
            <w:pPr>
              <w:ind w:left="140"/>
              <w:spacing w:after="0"/>
              <w:rPr>
                <w:sz w:val="20"/>
                <w:szCs w:val="20"/>
                <w:color w:val="auto"/>
              </w:rPr>
            </w:pPr>
            <w:r>
              <w:rPr>
                <w:rFonts w:ascii="Arial" w:cs="Arial" w:eastAsia="Arial" w:hAnsi="Arial"/>
                <w:sz w:val="17"/>
                <w:szCs w:val="17"/>
                <w:b w:val="1"/>
                <w:bCs w:val="1"/>
                <w:i w:val="1"/>
                <w:iCs w:val="1"/>
                <w:color w:val="auto"/>
              </w:rPr>
              <w:t>Property and Equipment</w:t>
            </w: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60" w:type="dxa"/>
            <w:vAlign w:val="bottom"/>
            <w:vMerge w:val="continue"/>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5440" w:type="dxa"/>
            <w:vAlign w:val="bottom"/>
            <w:gridSpan w:val="2"/>
          </w:tcPr>
          <w:p>
            <w:pPr>
              <w:ind w:left="160"/>
              <w:spacing w:after="0"/>
              <w:rPr>
                <w:sz w:val="20"/>
                <w:szCs w:val="20"/>
                <w:color w:val="auto"/>
              </w:rPr>
            </w:pPr>
            <w:r>
              <w:rPr>
                <w:rFonts w:ascii="Arial" w:cs="Arial" w:eastAsia="Arial" w:hAnsi="Arial"/>
                <w:sz w:val="17"/>
                <w:szCs w:val="17"/>
                <w:color w:val="auto"/>
              </w:rPr>
              <w:t>Property and equipment consisted of the following:</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w w:val="89"/>
              </w:rPr>
              <w:t>September 30,</w:t>
            </w:r>
          </w:p>
        </w:tc>
        <w:tc>
          <w:tcPr>
            <w:tcW w:w="3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5440" w:type="dxa"/>
            <w:vAlign w:val="bottom"/>
            <w:gridSpan w:val="2"/>
          </w:tcPr>
          <w:p>
            <w:pPr>
              <w:ind w:left="980"/>
              <w:spacing w:after="0"/>
              <w:rPr>
                <w:sz w:val="20"/>
                <w:szCs w:val="20"/>
                <w:color w:val="auto"/>
              </w:rPr>
            </w:pPr>
            <w:r>
              <w:rPr>
                <w:rFonts w:ascii="Arial" w:cs="Arial" w:eastAsia="Arial" w:hAnsi="Arial"/>
                <w:sz w:val="13"/>
                <w:szCs w:val="13"/>
                <w:b w:val="1"/>
                <w:bCs w:val="1"/>
                <w:i w:val="1"/>
                <w:iCs w:val="1"/>
                <w:color w:val="auto"/>
              </w:rPr>
              <w:t>(in thousands)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5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Computers and software</w:t>
            </w:r>
          </w:p>
        </w:tc>
        <w:tc>
          <w:tcPr>
            <w:tcW w:w="8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4,455</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Construction and software development in process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6,159</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ind w:left="340"/>
              <w:spacing w:after="0"/>
              <w:rPr>
                <w:sz w:val="20"/>
                <w:szCs w:val="20"/>
                <w:color w:val="auto"/>
              </w:rPr>
            </w:pPr>
            <w:r>
              <w:rPr>
                <w:rFonts w:ascii="Arial" w:cs="Arial" w:eastAsia="Arial" w:hAnsi="Arial"/>
                <w:sz w:val="17"/>
                <w:szCs w:val="17"/>
                <w:color w:val="auto"/>
              </w:rPr>
              <w:t>Less: accumulated depreciation and amortization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(4,104)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(2,911)</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Depreciation and amortization expense associated with property and equipment was $1.2 million and $0.8 million for the nine months ended September 30, 2021 and 2020, respectively.</w:t>
      </w:r>
    </w:p>
    <w:p>
      <w:pPr>
        <w:spacing w:after="0" w:line="304" w:lineRule="exact"/>
        <w:rPr>
          <w:sz w:val="20"/>
          <w:szCs w:val="20"/>
          <w:color w:val="auto"/>
        </w:rPr>
      </w:pPr>
    </w:p>
    <w:p>
      <w:pPr>
        <w:ind w:left="860" w:hanging="403"/>
        <w:spacing w:after="0"/>
        <w:tabs>
          <w:tab w:leader="none" w:pos="86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6"/>
          <w:szCs w:val="16"/>
          <w:color w:val="auto"/>
        </w:rPr>
        <w:t>The carrying amounts of goodwill and intangible assets, as of September 30, 2021 and December 31, 2020, consist of the following:</w:t>
      </w:r>
    </w:p>
    <w:p>
      <w:pPr>
        <w:spacing w:after="0" w:line="239"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September 30, 2021</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21"/>
              <w:spacing w:after="0" w:line="112" w:lineRule="exact"/>
              <w:rPr>
                <w:sz w:val="20"/>
                <w:szCs w:val="20"/>
                <w:color w:val="auto"/>
              </w:rPr>
            </w:pPr>
            <w:r>
              <w:rPr>
                <w:rFonts w:ascii="Arial" w:cs="Arial" w:eastAsia="Arial" w:hAnsi="Arial"/>
                <w:sz w:val="12"/>
                <w:szCs w:val="12"/>
                <w:b w:val="1"/>
                <w:bCs w:val="1"/>
                <w:color w:val="auto"/>
                <w:w w:val="97"/>
              </w:rPr>
              <w:t>Gross</w:t>
            </w:r>
          </w:p>
        </w:tc>
        <w:tc>
          <w:tcPr>
            <w:tcW w:w="162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1"/>
              <w:spacing w:after="0" w:line="139" w:lineRule="exact"/>
              <w:rPr>
                <w:sz w:val="20"/>
                <w:szCs w:val="20"/>
                <w:color w:val="auto"/>
              </w:rPr>
            </w:pPr>
            <w:r>
              <w:rPr>
                <w:rFonts w:ascii="Arial" w:cs="Arial" w:eastAsia="Arial" w:hAnsi="Arial"/>
                <w:sz w:val="13"/>
                <w:szCs w:val="13"/>
                <w:b w:val="1"/>
                <w:bCs w:val="1"/>
                <w:color w:val="auto"/>
              </w:rPr>
              <w:t>Carrying</w:t>
            </w:r>
          </w:p>
        </w:tc>
        <w:tc>
          <w:tcPr>
            <w:tcW w:w="1620" w:type="dxa"/>
            <w:vAlign w:val="bottom"/>
            <w:gridSpan w:val="4"/>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1"/>
              <w:spacing w:after="0"/>
              <w:rPr>
                <w:sz w:val="20"/>
                <w:szCs w:val="20"/>
                <w:color w:val="auto"/>
              </w:rPr>
            </w:pPr>
            <w:r>
              <w:rPr>
                <w:rFonts w:ascii="Arial" w:cs="Arial" w:eastAsia="Arial" w:hAnsi="Arial"/>
                <w:sz w:val="13"/>
                <w:szCs w:val="13"/>
                <w:b w:val="1"/>
                <w:bCs w:val="1"/>
                <w:color w:val="auto"/>
                <w:w w:val="93"/>
              </w:rPr>
              <w:t>Amount</w:t>
            </w:r>
          </w:p>
        </w:tc>
        <w:tc>
          <w:tcPr>
            <w:tcW w:w="1620" w:type="dxa"/>
            <w:vAlign w:val="bottom"/>
            <w:gridSpan w:val="4"/>
          </w:tcPr>
          <w:p>
            <w:pPr>
              <w:ind w:left="480"/>
              <w:spacing w:after="0"/>
              <w:rPr>
                <w:sz w:val="20"/>
                <w:szCs w:val="20"/>
                <w:color w:val="auto"/>
              </w:rPr>
            </w:pPr>
            <w:r>
              <w:rPr>
                <w:rFonts w:ascii="Arial" w:cs="Arial" w:eastAsia="Arial" w:hAnsi="Arial"/>
                <w:sz w:val="13"/>
                <w:szCs w:val="13"/>
                <w:b w:val="1"/>
                <w:bCs w:val="1"/>
                <w:color w:val="auto"/>
              </w:rPr>
              <w:t>Amortization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Finite-lived intangible assets:</w:t>
            </w:r>
          </w:p>
        </w:tc>
        <w:tc>
          <w:tcPr>
            <w:tcW w:w="1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370,030</w:t>
            </w:r>
          </w:p>
        </w:tc>
        <w:tc>
          <w:tcPr>
            <w:tcW w:w="6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(84,159)</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285,871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1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(15,648)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(4,510)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30,990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Database</w:t>
            </w:r>
          </w:p>
        </w:tc>
        <w:tc>
          <w:tcPr>
            <w:tcW w:w="1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(28,246)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2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w w:val="93"/>
              </w:rPr>
              <w:t>(132,563)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366,723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19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20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1,760,730</w:t>
            </w:r>
          </w:p>
        </w:tc>
        <w:tc>
          <w:tcPr>
            <w:tcW w:w="6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w w:val="93"/>
              </w:rPr>
              <w:t>(132,563)</w:t>
            </w:r>
          </w:p>
        </w:tc>
        <w:tc>
          <w:tcPr>
            <w:tcW w:w="260" w:type="dxa"/>
            <w:vAlign w:val="bottom"/>
            <w:gridSpan w:val="2"/>
          </w:tcPr>
          <w:p>
            <w:pPr>
              <w:ind w:left="160"/>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1,628,167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60" w:type="dxa"/>
            <w:vAlign w:val="bottom"/>
            <w:gridSpan w:val="2"/>
          </w:tcPr>
          <w:p>
            <w:pPr>
              <w:jc w:val="right"/>
              <w:ind w:right="880"/>
              <w:spacing w:after="0"/>
              <w:rPr>
                <w:sz w:val="20"/>
                <w:szCs w:val="20"/>
                <w:color w:val="auto"/>
              </w:rPr>
            </w:pPr>
            <w:r>
              <w:rPr>
                <w:rFonts w:ascii="Arial" w:cs="Arial" w:eastAsia="Arial" w:hAnsi="Arial"/>
                <w:sz w:val="17"/>
                <w:szCs w:val="17"/>
                <w:color w:val="auto"/>
              </w:rPr>
              <w:t>F-61</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40" w:right="119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21"/>
              <w:spacing w:after="0" w:line="112" w:lineRule="exact"/>
              <w:rPr>
                <w:sz w:val="20"/>
                <w:szCs w:val="20"/>
                <w:color w:val="auto"/>
              </w:rPr>
            </w:pPr>
            <w:r>
              <w:rPr>
                <w:rFonts w:ascii="Arial" w:cs="Arial" w:eastAsia="Arial" w:hAnsi="Arial"/>
                <w:sz w:val="12"/>
                <w:szCs w:val="12"/>
                <w:b w:val="1"/>
                <w:bCs w:val="1"/>
                <w:color w:val="auto"/>
                <w:w w:val="97"/>
              </w:rPr>
              <w:t>Gross</w:t>
            </w:r>
          </w:p>
        </w:tc>
        <w:tc>
          <w:tcPr>
            <w:tcW w:w="1740" w:type="dxa"/>
            <w:vAlign w:val="bottom"/>
            <w:gridSpan w:val="4"/>
            <w:vMerge w:val="restart"/>
          </w:tcPr>
          <w:p>
            <w:pPr>
              <w:ind w:left="560"/>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1"/>
              <w:spacing w:after="0" w:line="139" w:lineRule="exact"/>
              <w:rPr>
                <w:sz w:val="20"/>
                <w:szCs w:val="20"/>
                <w:color w:val="auto"/>
              </w:rPr>
            </w:pPr>
            <w:r>
              <w:rPr>
                <w:rFonts w:ascii="Arial" w:cs="Arial" w:eastAsia="Arial" w:hAnsi="Arial"/>
                <w:sz w:val="13"/>
                <w:szCs w:val="13"/>
                <w:b w:val="1"/>
                <w:bCs w:val="1"/>
                <w:color w:val="auto"/>
              </w:rPr>
              <w:t>Carrying</w:t>
            </w:r>
          </w:p>
        </w:tc>
        <w:tc>
          <w:tcPr>
            <w:tcW w:w="1740" w:type="dxa"/>
            <w:vAlign w:val="bottom"/>
            <w:gridSpan w:val="4"/>
            <w:vMerge w:val="continue"/>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1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00" w:type="dxa"/>
            <w:vAlign w:val="bottom"/>
          </w:tcPr>
          <w:p>
            <w:pPr>
              <w:spacing w:after="0"/>
              <w:rPr>
                <w:sz w:val="13"/>
                <w:szCs w:val="13"/>
                <w:color w:val="auto"/>
              </w:rPr>
            </w:pPr>
          </w:p>
        </w:tc>
        <w:tc>
          <w:tcPr>
            <w:tcW w:w="680" w:type="dxa"/>
            <w:vAlign w:val="bottom"/>
          </w:tcPr>
          <w:p>
            <w:pPr>
              <w:jc w:val="center"/>
              <w:ind w:right="21"/>
              <w:spacing w:after="0"/>
              <w:rPr>
                <w:sz w:val="20"/>
                <w:szCs w:val="20"/>
                <w:color w:val="auto"/>
              </w:rPr>
            </w:pPr>
            <w:r>
              <w:rPr>
                <w:rFonts w:ascii="Arial" w:cs="Arial" w:eastAsia="Arial" w:hAnsi="Arial"/>
                <w:sz w:val="13"/>
                <w:szCs w:val="13"/>
                <w:b w:val="1"/>
                <w:bCs w:val="1"/>
                <w:color w:val="auto"/>
                <w:w w:val="93"/>
              </w:rPr>
              <w:t>Amount</w:t>
            </w:r>
          </w:p>
        </w:tc>
        <w:tc>
          <w:tcPr>
            <w:tcW w:w="1740" w:type="dxa"/>
            <w:vAlign w:val="bottom"/>
            <w:gridSpan w:val="4"/>
          </w:tcPr>
          <w:p>
            <w:pPr>
              <w:ind w:left="56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Finite-lived intangible assets:</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370,030</w:t>
            </w:r>
          </w:p>
        </w:tc>
        <w:tc>
          <w:tcPr>
            <w:tcW w:w="7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(58,097)</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(10,218)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35,500</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(2,952)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Database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(17,782)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499,286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(89,049)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1,760,730</w:t>
            </w:r>
          </w:p>
        </w:tc>
        <w:tc>
          <w:tcPr>
            <w:tcW w:w="7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(89,049)</w:t>
            </w:r>
          </w:p>
        </w:tc>
        <w:tc>
          <w:tcPr>
            <w:tcW w:w="300" w:type="dxa"/>
            <w:vAlign w:val="bottom"/>
            <w:gridSpan w:val="2"/>
          </w:tcPr>
          <w:p>
            <w:pPr>
              <w:ind w:left="22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220" w:firstLine="413"/>
        <w:spacing w:after="0" w:line="272" w:lineRule="auto"/>
        <w:rPr>
          <w:sz w:val="20"/>
          <w:szCs w:val="20"/>
          <w:color w:val="auto"/>
        </w:rPr>
      </w:pPr>
      <w:r>
        <w:rPr>
          <w:rFonts w:ascii="Arial" w:cs="Arial" w:eastAsia="Arial" w:hAnsi="Arial"/>
          <w:sz w:val="17"/>
          <w:szCs w:val="17"/>
          <w:color w:val="auto"/>
        </w:rPr>
        <w:t>Amortization expense associated with finite-lived intangible assets was $43.5 million for both the nine months ended September 30, 2021 and 2020, of which $15.9 million and $14.3 million was included in cost of revenue for the respective periods.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were no changes to the carrying amount of goodwill in the nine months ended September 30, 2021.</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 determined it had one reporting unit. There was no impairment of goodwill in the nine months ended September 30, 2021 or 2020.</w:t>
      </w:r>
    </w:p>
    <w:p>
      <w:pPr>
        <w:spacing w:after="0" w:line="372" w:lineRule="exact"/>
        <w:rPr>
          <w:sz w:val="20"/>
          <w:szCs w:val="20"/>
          <w:color w:val="auto"/>
        </w:rPr>
      </w:pPr>
    </w:p>
    <w:p>
      <w:pPr>
        <w:ind w:left="860" w:hanging="403"/>
        <w:spacing w:after="0"/>
        <w:tabs>
          <w:tab w:leader="none" w:pos="86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September 30, 2021 and December 31, 2020, respectively:</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September 30, 2021</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300" w:type="dxa"/>
            <w:vAlign w:val="bottom"/>
            <w:gridSpan w:val="4"/>
          </w:tcPr>
          <w:p>
            <w:pPr>
              <w:ind w:left="600"/>
              <w:spacing w:after="0" w:line="112" w:lineRule="exact"/>
              <w:rPr>
                <w:sz w:val="20"/>
                <w:szCs w:val="20"/>
                <w:color w:val="auto"/>
              </w:rPr>
            </w:pPr>
            <w:r>
              <w:rPr>
                <w:rFonts w:ascii="Arial" w:cs="Arial" w:eastAsia="Arial" w:hAnsi="Arial"/>
                <w:sz w:val="12"/>
                <w:szCs w:val="12"/>
                <w:b w:val="1"/>
                <w:bCs w:val="1"/>
                <w:color w:val="auto"/>
              </w:rPr>
              <w:t>Unamortized debt</w:t>
            </w:r>
          </w:p>
        </w:tc>
        <w:tc>
          <w:tcPr>
            <w:tcW w:w="20" w:type="dxa"/>
            <w:vAlign w:val="bottom"/>
          </w:tcPr>
          <w:p>
            <w:pPr>
              <w:spacing w:after="0"/>
              <w:rPr>
                <w:sz w:val="9"/>
                <w:szCs w:val="9"/>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4"/>
              </w:rPr>
              <w:t>Total debt,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Principal</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right"/>
              <w:ind w:right="740"/>
              <w:spacing w:after="0" w:line="139" w:lineRule="exact"/>
              <w:rPr>
                <w:sz w:val="20"/>
                <w:szCs w:val="20"/>
                <w:color w:val="auto"/>
              </w:rPr>
            </w:pPr>
            <w:r>
              <w:rPr>
                <w:rFonts w:ascii="Arial" w:cs="Arial" w:eastAsia="Arial" w:hAnsi="Arial"/>
                <w:sz w:val="13"/>
                <w:szCs w:val="13"/>
                <w:b w:val="1"/>
                <w:bCs w:val="1"/>
                <w:color w:val="auto"/>
                <w:w w:val="85"/>
              </w:rPr>
              <w:t>issuance costs /</w:t>
            </w: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w w:val="88"/>
              </w:rPr>
              <w:t>financing costs</w:t>
            </w:r>
          </w:p>
        </w:tc>
        <w:tc>
          <w:tcPr>
            <w:tcW w:w="2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2021 Term Loan</w:t>
            </w:r>
          </w:p>
        </w:tc>
        <w:tc>
          <w:tcPr>
            <w:tcW w:w="1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$275,000</w:t>
            </w: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(2,737)</w:t>
            </w: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$272,263</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Less: current portion of long-term debt</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Long-term debt</w:t>
            </w: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265,388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300" w:type="dxa"/>
            <w:vAlign w:val="bottom"/>
            <w:gridSpan w:val="4"/>
          </w:tcPr>
          <w:p>
            <w:pPr>
              <w:ind w:left="600"/>
              <w:spacing w:after="0" w:line="112" w:lineRule="exact"/>
              <w:rPr>
                <w:sz w:val="20"/>
                <w:szCs w:val="20"/>
                <w:color w:val="auto"/>
              </w:rPr>
            </w:pPr>
            <w:r>
              <w:rPr>
                <w:rFonts w:ascii="Arial" w:cs="Arial" w:eastAsia="Arial" w:hAnsi="Arial"/>
                <w:sz w:val="12"/>
                <w:szCs w:val="12"/>
                <w:b w:val="1"/>
                <w:bCs w:val="1"/>
                <w:color w:val="auto"/>
              </w:rPr>
              <w:t>Unamortized debt</w:t>
            </w:r>
          </w:p>
        </w:tc>
        <w:tc>
          <w:tcPr>
            <w:tcW w:w="20" w:type="dxa"/>
            <w:vAlign w:val="bottom"/>
          </w:tcPr>
          <w:p>
            <w:pPr>
              <w:spacing w:after="0"/>
              <w:rPr>
                <w:sz w:val="9"/>
                <w:szCs w:val="9"/>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4"/>
              </w:rPr>
              <w:t>Total debt,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Principal</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right"/>
              <w:ind w:right="740"/>
              <w:spacing w:after="0" w:line="139" w:lineRule="exact"/>
              <w:rPr>
                <w:sz w:val="20"/>
                <w:szCs w:val="20"/>
                <w:color w:val="auto"/>
              </w:rPr>
            </w:pPr>
            <w:r>
              <w:rPr>
                <w:rFonts w:ascii="Arial" w:cs="Arial" w:eastAsia="Arial" w:hAnsi="Arial"/>
                <w:sz w:val="13"/>
                <w:szCs w:val="13"/>
                <w:b w:val="1"/>
                <w:bCs w:val="1"/>
                <w:color w:val="auto"/>
                <w:w w:val="85"/>
              </w:rPr>
              <w:t>issuance costs /</w:t>
            </w: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w w:val="88"/>
              </w:rPr>
              <w:t>financing costs</w:t>
            </w:r>
          </w:p>
        </w:tc>
        <w:tc>
          <w:tcPr>
            <w:tcW w:w="2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2019 Term Loan</w:t>
            </w:r>
          </w:p>
        </w:tc>
        <w:tc>
          <w:tcPr>
            <w:tcW w:w="1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(10,865)</w:t>
            </w: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$433,510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Paid in kind interest on 2019 Term Loan</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Loan</w:t>
            </w:r>
          </w:p>
        </w:tc>
        <w:tc>
          <w:tcPr>
            <w:tcW w:w="1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7"/>
                <w:szCs w:val="17"/>
                <w:color w:val="auto"/>
              </w:rPr>
              <w:t>Total debt</w:t>
            </w:r>
          </w:p>
        </w:tc>
        <w:tc>
          <w:tcPr>
            <w:tcW w:w="18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0"/>
              <w:spacing w:after="0"/>
              <w:rPr>
                <w:sz w:val="20"/>
                <w:szCs w:val="20"/>
                <w:color w:val="auto"/>
              </w:rPr>
            </w:pPr>
            <w:r>
              <w:rPr>
                <w:rFonts w:ascii="Arial" w:cs="Arial" w:eastAsia="Arial" w:hAnsi="Arial"/>
                <w:sz w:val="17"/>
                <w:szCs w:val="17"/>
                <w:color w:val="auto"/>
              </w:rPr>
              <w:t>(10,865)</w:t>
            </w:r>
          </w:p>
        </w:tc>
        <w:tc>
          <w:tcPr>
            <w:tcW w:w="6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461,877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Less: current portion of long-term debt</w:t>
            </w:r>
          </w:p>
        </w:tc>
        <w:tc>
          <w:tcPr>
            <w:tcW w:w="1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457,197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160" w:firstLine="413"/>
        <w:spacing w:after="0" w:line="277" w:lineRule="auto"/>
        <w:rPr>
          <w:sz w:val="20"/>
          <w:szCs w:val="20"/>
          <w:color w:val="auto"/>
        </w:rPr>
      </w:pPr>
      <w:r>
        <w:rPr>
          <w:rFonts w:ascii="Arial" w:cs="Arial" w:eastAsia="Arial" w:hAnsi="Arial"/>
          <w:sz w:val="16"/>
          <w:szCs w:val="16"/>
          <w:color w:val="auto"/>
        </w:rPr>
        <w:t>On September 17, 2021, the Company repaid the outstanding principal balances of the 2019 Term Loan, as described below, of $442.1 million, paid in kind interest, as described below, of $10.4 million, 2019 Delayed Draw Term Loan, as described below, of $17.9 million and related accrued interest payable of $4.2 million totaling $474.6 million using the proceeds from the 2021 Term Loan, as described below, of $275.0 million and net proceeds of the IPO of $199.6 million, inclusive of accrued interest expense. The effective interest rate for</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680"/>
          </w:cols>
          <w:pgMar w:left="320" w:top="440" w:right="89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these loans under the 2019 Credit Agreement, as described below, was 6.25% as of the repayment date. The Company recognized a $9.9 million loss on the extinguishment of debt relating to the write off of unamortized debt issuance costs.</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2021 Credit Agreement</w:t>
      </w:r>
    </w:p>
    <w:p>
      <w:pPr>
        <w:spacing w:after="0" w:line="108" w:lineRule="exact"/>
        <w:rPr>
          <w:sz w:val="20"/>
          <w:szCs w:val="20"/>
          <w:color w:val="auto"/>
        </w:rPr>
      </w:pPr>
    </w:p>
    <w:p>
      <w:pPr>
        <w:ind w:left="460" w:right="60" w:firstLine="413"/>
        <w:spacing w:after="0" w:line="268" w:lineRule="auto"/>
        <w:rPr>
          <w:sz w:val="20"/>
          <w:szCs w:val="20"/>
          <w:color w:val="auto"/>
        </w:rPr>
      </w:pPr>
      <w:r>
        <w:rPr>
          <w:rFonts w:ascii="Arial" w:cs="Arial" w:eastAsia="Arial" w:hAnsi="Arial"/>
          <w:sz w:val="16"/>
          <w:szCs w:val="16"/>
          <w:color w:val="auto"/>
        </w:rPr>
        <w:t>On September 17, 2021, Definitive Healthcare Holdings, LLC, a Delaware limited liability company (“DH Holdings”), an indirect subsidiary of Definitive Healthcare Corp.,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the 2019 Credit Agreement (as described below). Both the 2021 Term Loan and the 2021 Revolving Line of Credit mature on September 17, 2026. The 2021 Credit Facilities include customary affirmative, negative and financial covenants. The 2021 Credit Facilities are guaranteed by all of DH Holdings’s wholly-owned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174"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$275.0 million outstanding on the 2021 Term Loan at September 30, 2021.</w:t>
      </w:r>
    </w:p>
    <w:p>
      <w:pPr>
        <w:spacing w:after="0" w:line="165"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September 30, 2021.</w:t>
      </w:r>
    </w:p>
    <w:p>
      <w:pPr>
        <w:spacing w:after="0" w:line="179"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For both the 2021 Term Loan and 2021 Revolving Line of Credit, DH Holdings may elect from several interest rate options based on the LIBO Rate or the Base Rate plus an applicable margin. The applicable margin will be based on the total leverage ratio beginning in the fiscal year ended December 31, 2022. As of September 30, 2021, the effective interest rate was 2.37%.</w:t>
      </w:r>
    </w:p>
    <w:p>
      <w:pPr>
        <w:spacing w:after="0" w:line="175"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2019 Credit Agreement</w:t>
      </w:r>
    </w:p>
    <w:p>
      <w:pPr>
        <w:spacing w:after="0" w:line="108" w:lineRule="exact"/>
        <w:rPr>
          <w:sz w:val="20"/>
          <w:szCs w:val="20"/>
          <w:color w:val="auto"/>
        </w:rPr>
      </w:pPr>
    </w:p>
    <w:p>
      <w:pPr>
        <w:jc w:val="both"/>
        <w:ind w:left="460" w:right="240" w:firstLine="413"/>
        <w:spacing w:after="0" w:line="260" w:lineRule="auto"/>
        <w:rPr>
          <w:sz w:val="20"/>
          <w:szCs w:val="20"/>
          <w:color w:val="auto"/>
        </w:rPr>
      </w:pPr>
      <w:r>
        <w:rPr>
          <w:rFonts w:ascii="Arial" w:cs="Arial" w:eastAsia="Arial" w:hAnsi="Arial"/>
          <w:sz w:val="17"/>
          <w:szCs w:val="17"/>
          <w:color w:val="auto"/>
        </w:rPr>
        <w:t>On July 16, 2019, DH Holdings entered into a credit agreement (the “2019 Credit Agreement”) by and among DH Holdings, the lenders party thereto and Owl Rock Capital Corporation, as administrative agent. Under the 2019 Credit Agreement, a $450.0 million term loan facility (the “2019 Term Loan”), a $100.0 million delayed draw term</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0760"/>
          </w:cols>
          <w:pgMar w:left="320" w:top="440" w:right="81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253" w:lineRule="auto"/>
        <w:rPr>
          <w:sz w:val="20"/>
          <w:szCs w:val="20"/>
          <w:color w:val="auto"/>
        </w:rPr>
      </w:pPr>
      <w:r>
        <w:rPr>
          <w:rFonts w:ascii="Arial" w:cs="Arial" w:eastAsia="Arial" w:hAnsi="Arial"/>
          <w:sz w:val="17"/>
          <w:szCs w:val="17"/>
          <w:color w:val="auto"/>
        </w:rPr>
        <w:t>loan facility (the “2019 Delayed Draw Term Loan”) and a $25.0 million revolving line of credit (the “2019 Revolving Line of Credit”) were made available to DH Holdings. The 2019 Credit Agreement included customary affirmative, negative and financial covenants. All facilities under the 2019 Credit Agreement were guaranteed, by DH Holdings’s wholly-owned domestic restricted subsidiary, Definitive Healthcare LLC, a Massachusetts limited liability company and AIDH Buyer, LLC, a Delaware limited liability company and the direct parent company of DH Holdings, and were secured by a lien on substantially all of the assets of DH Holdings and the guarantors, including a pledge of the equity of DH Holdings, in each case, subject to customary exceptions.</w:t>
      </w:r>
    </w:p>
    <w:p>
      <w:pPr>
        <w:spacing w:after="0" w:line="182"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The 2019 Term Loan had a maturity date of July 16, 2026 and was issued with an original issue discount of $11.3 million and amortized to interest expense over the term of the agreement using the effective interest method. Interest on a portion of the loan ($100.0 million of the $450.0 million principal amount) was treated as paid in kind and added to the principal balance to be paid off at maturity. DH Holdings could elect from several interest rate options based on the Eurodollar Rate or the Base Rate plus an applicable margin. Quarterly principal payments of $1.1 million began in December 2019 and were required through the 2019 Term Loan’s maturity, at which time a balloon payment of $419.6 million, excluding the paid in kind portion, was due. The paid in kind interest was payable on the maturity date. 2019 Term Loan was subject to excess cash flow payments annually beginning in the fiscal year ended December 31, 2020 based on the total leverage ratio. There was $454.8 million outstanding on the 2019 Term Loan at December 31, 2020, including $10.4 million of paid in kind interest. The effective interest rate for the 2019 Term Loan and paid in kind effective interest was 6.50% at December 31, 2020.</w:t>
      </w:r>
    </w:p>
    <w:p>
      <w:pPr>
        <w:spacing w:after="0" w:line="170"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The 2019 Delayed Draw Term Loan had a maturity of July 16, 2026. The 2019 Delayed Draw Term Loan was issued with an original issue discount of $1.3 million. DH Holdings could draw down funds under the 2019 Delayed Draw Term Loan until July 16, 2021. As of December 31, 2020, DH Holdings drew $18.0 million on the 2019 Delayed Draw Term Loan, in connection with the Monocl acquisition. DH Holdings could elect from several interest rate options based on the Eurodollar Rate or the Base Rate plus an applicable margin. Quarterly in arrears through July 16, 2021, DH Holdings was required to pay the bank a fee equal to 1% per annum of the amount of the 2019 Delayed Draw Term Loan unused capacity. Quarterly principal payments began in December 2020 in quarterly installments equal to 0.25% of the aggregate amount outstanding on the 2019 Delayed Draw Term Loan, and are required through the note’s maturity, at which time a payment of the entire outstanding principal balance will be due. The outstanding balance on the 2019 Delayed Draw Term Loan was $18.0 million at December 31, 2020. The effective interest rate for the 2019 Delayed Draw Term Loan was 6.50% at December 31, 2020.</w:t>
      </w:r>
    </w:p>
    <w:p>
      <w:pPr>
        <w:spacing w:after="0" w:line="170"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The 2019 Revolving Line of Credit had a maturity of July 16, 2024. DH Holdings could elect from several interest rate options based on the Eurodollar Rate or the Base Rate plus an applicable margin. During 2020, $25.0 million was drawn on the 2019 Revolving Line of Credit and subsequently paid back in 2020. There was no outstanding balance on the 2019 Revolving Line of Credit at December 31, 2020. No draws on the 2019 Revolving Line of Credit were made in 2021 and the 2019 Credit Agreement was terminated on September 17, 2021.</w:t>
      </w:r>
    </w:p>
    <w:p>
      <w:pPr>
        <w:spacing w:after="0" w:line="164" w:lineRule="exact"/>
        <w:rPr>
          <w:sz w:val="20"/>
          <w:szCs w:val="20"/>
          <w:color w:val="auto"/>
        </w:rPr>
      </w:pPr>
    </w:p>
    <w:p>
      <w:pPr>
        <w:ind w:left="460" w:right="220" w:firstLine="413"/>
        <w:spacing w:after="0" w:line="270" w:lineRule="auto"/>
        <w:rPr>
          <w:sz w:val="20"/>
          <w:szCs w:val="20"/>
          <w:color w:val="auto"/>
        </w:rPr>
      </w:pPr>
      <w:r>
        <w:rPr>
          <w:rFonts w:ascii="Arial" w:cs="Arial" w:eastAsia="Arial" w:hAnsi="Arial"/>
          <w:sz w:val="16"/>
          <w:szCs w:val="16"/>
          <w:color w:val="auto"/>
        </w:rPr>
        <w:t>In connection with the 2019 Credit Agreement, the Company originally capitalized financing costs totaling $14.1 million, $13.4 million for the 2019 Term Loan and $0.7 million for the 2019 Revolving Line of Credit. In October 2020, the Company capitalized an additional $0.2 million in financing costs associated with the 2019 Delayed Draw Term Loan borrowing. These financing costs were recorded as deferred financing costs in the condensed consolidated balance sheets and amortized over the remaining lives of the respective borrowing using the effective interest method. The Company expensed capitalized financing costs for the 2019 Credit Agreement through interest expense of $1.5 million for the nine months ended September 30, 2021 and 2020, respectively. At December 31, 2020, the unamortized financing costs for the 2019 Revolving Line of Credit of $0.5 million was classified in other assets in the consolidated balance sheet.</w:t>
      </w:r>
    </w:p>
    <w:p>
      <w:pPr>
        <w:spacing w:after="0" w:line="109"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0780"/>
          </w:cols>
          <w:pgMar w:left="320" w:top="440" w:right="79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08"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5" w:lineRule="exact"/>
        <w:rPr>
          <w:sz w:val="20"/>
          <w:szCs w:val="20"/>
          <w:color w:val="auto"/>
        </w:rPr>
      </w:pPr>
    </w:p>
    <w:p>
      <w:pPr>
        <w:ind w:left="460" w:right="180" w:firstLine="413"/>
        <w:spacing w:after="0" w:line="311"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0" w:lineRule="exact"/>
        <w:rPr>
          <w:sz w:val="20"/>
          <w:szCs w:val="20"/>
          <w:color w:val="auto"/>
        </w:rPr>
      </w:pPr>
    </w:p>
    <w:p>
      <w:pPr>
        <w:ind w:left="460" w:right="80" w:firstLine="413"/>
        <w:spacing w:after="0" w:line="284"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contingent consideration, which resulted from the earn-outs associated with the Monocl acquisition, is measured at fair value on a recurring</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basis. The fair value was estimated using a variation of the income approach, known as the real options method, where ARR was simulated in a risk-</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neutral framework using Geometric Brownian Motion, a well-accepted model of stock price behavior that is used in option pricing models such as the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Black-Scholes option pricing model. The risk-neutral expected (probability-weighted) earnout payments were then calculated based on simulation</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results. An increase to a probability of achievement would result in a higher fair value measurement. At September 30, 2021 and December 31, 2020,</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the contingent consideration was estimated at $6.9 million and $5.2 million, respectively. The current portion of the earn-out liability</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($6.9 million and $1.5 million at September 30, 2021 and December 31, 2020, respectively) is included in accrued expenses and other current liabilities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the consolidated balance sheets, and the non-current portion (nil at September 30, 2021 and $3.7 million at December 31, 2020) in other long-term</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liabilities. A payment of $1.5 million was made in April 2021.</w:t>
      </w:r>
    </w:p>
    <w:p>
      <w:pPr>
        <w:spacing w:after="0" w:line="198" w:lineRule="exact"/>
        <w:rPr>
          <w:sz w:val="20"/>
          <w:szCs w:val="20"/>
          <w:color w:val="auto"/>
        </w:rPr>
      </w:pPr>
    </w:p>
    <w:p>
      <w:pPr>
        <w:ind w:left="460" w:right="140" w:firstLine="413"/>
        <w:spacing w:after="0" w:line="284" w:lineRule="auto"/>
        <w:rPr>
          <w:sz w:val="20"/>
          <w:szCs w:val="20"/>
          <w:color w:val="auto"/>
        </w:rPr>
      </w:pPr>
      <w:r>
        <w:rPr>
          <w:rFonts w:ascii="Arial" w:cs="Arial" w:eastAsia="Arial" w:hAnsi="Arial"/>
          <w:sz w:val="16"/>
          <w:szCs w:val="16"/>
          <w:color w:val="auto"/>
        </w:rPr>
        <w:t>Earn-out liabilities are classified within Level 3 in the fair value hierarchy because the methodology used to develop the estimated fair value includes significant unobservable inputs reflecting management’s own assumptions. The valuation techniques and significant unobservable inputs used in recurring Level 3 fair value measurements were as follows as of September 30, 2021 and December 31, 2020:</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600" w:type="dxa"/>
            <w:vAlign w:val="bottom"/>
          </w:tcPr>
          <w:p>
            <w:pPr>
              <w:spacing w:after="0"/>
              <w:rPr>
                <w:sz w:val="20"/>
                <w:szCs w:val="20"/>
                <w:color w:val="auto"/>
              </w:rPr>
            </w:pPr>
            <w:r>
              <w:rPr>
                <w:rFonts w:ascii="Arial" w:cs="Arial" w:eastAsia="Arial" w:hAnsi="Arial"/>
                <w:sz w:val="13"/>
                <w:szCs w:val="13"/>
                <w:b w:val="1"/>
                <w:bCs w:val="1"/>
                <w:color w:val="auto"/>
                <w:w w:val="93"/>
              </w:rPr>
              <w:t>Fair Value</w:t>
            </w:r>
          </w:p>
        </w:tc>
        <w:tc>
          <w:tcPr>
            <w:tcW w:w="560" w:type="dxa"/>
            <w:vAlign w:val="bottom"/>
          </w:tcPr>
          <w:p>
            <w:pPr>
              <w:spacing w:after="0"/>
              <w:rPr>
                <w:sz w:val="14"/>
                <w:szCs w:val="14"/>
                <w:color w:val="auto"/>
              </w:rPr>
            </w:pPr>
          </w:p>
        </w:tc>
        <w:tc>
          <w:tcPr>
            <w:tcW w:w="3460" w:type="dxa"/>
            <w:vAlign w:val="bottom"/>
          </w:tcPr>
          <w:p>
            <w:pPr>
              <w:ind w:left="1140"/>
              <w:spacing w:after="0"/>
              <w:rPr>
                <w:sz w:val="20"/>
                <w:szCs w:val="20"/>
                <w:color w:val="auto"/>
              </w:rPr>
            </w:pPr>
            <w:r>
              <w:rPr>
                <w:rFonts w:ascii="Arial" w:cs="Arial" w:eastAsia="Arial" w:hAnsi="Arial"/>
                <w:sz w:val="13"/>
                <w:szCs w:val="13"/>
                <w:b w:val="1"/>
                <w:bCs w:val="1"/>
                <w:color w:val="auto"/>
              </w:rPr>
              <w:t>Valuation Technique</w:t>
            </w:r>
          </w:p>
        </w:tc>
        <w:tc>
          <w:tcPr>
            <w:tcW w:w="520" w:type="dxa"/>
            <w:vAlign w:val="bottom"/>
          </w:tcPr>
          <w:p>
            <w:pPr>
              <w:spacing w:after="0"/>
              <w:rPr>
                <w:sz w:val="14"/>
                <w:szCs w:val="14"/>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1"/>
              </w:rPr>
              <w:t>Unobservable Inputs</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1"/>
              </w:rPr>
              <w:t>Discount Rate</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0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w w:val="94"/>
              </w:rPr>
              <w:t>$  6,905</w:t>
            </w:r>
          </w:p>
        </w:tc>
        <w:tc>
          <w:tcPr>
            <w:tcW w:w="560" w:type="dxa"/>
            <w:vAlign w:val="bottom"/>
            <w:vMerge w:val="continue"/>
            <w:shd w:val="clear" w:color="auto" w:fill="CCEEFF"/>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520" w:type="dxa"/>
            <w:vAlign w:val="bottom"/>
            <w:vMerge w:val="continue"/>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Discount rate</w:t>
            </w:r>
          </w:p>
        </w:tc>
        <w:tc>
          <w:tcPr>
            <w:tcW w:w="580" w:type="dxa"/>
            <w:vAlign w:val="bottom"/>
            <w:vMerge w:val="continue"/>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w:t>
      </w:r>
    </w:p>
    <w:p>
      <w:pPr>
        <w:spacing w:after="0" w:line="172"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62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September 30,</w:t>
            </w:r>
          </w:p>
        </w:tc>
        <w:tc>
          <w:tcPr>
            <w:tcW w:w="120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48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1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4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 and other adjustments</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(1,500)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5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w:t>
            </w: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380" w:firstLine="413"/>
        <w:spacing w:after="0" w:line="260" w:lineRule="auto"/>
        <w:rPr>
          <w:sz w:val="20"/>
          <w:szCs w:val="20"/>
          <w:color w:val="auto"/>
        </w:rPr>
      </w:pPr>
      <w:r>
        <w:rPr>
          <w:rFonts w:ascii="Arial" w:cs="Arial" w:eastAsia="Arial" w:hAnsi="Arial"/>
          <w:sz w:val="17"/>
          <w:szCs w:val="17"/>
          <w:color w:val="auto"/>
        </w:rPr>
        <w:t>Adjustments to the earn-out liabilities in periods subsequent to the completion of acquisitions were made using scenario-based modeling to estimate the probability of achievement and are reflected within transaction expenses in the condensed consolidated statements of operations. As of September 30, 2021, the Company had</w:t>
      </w:r>
    </w:p>
    <w:p>
      <w:pPr>
        <w:spacing w:after="0" w:line="11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0800"/>
          </w:cols>
          <w:pgMar w:left="320" w:top="440" w:right="77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72" w:lineRule="auto"/>
        <w:rPr>
          <w:sz w:val="20"/>
          <w:szCs w:val="20"/>
          <w:color w:val="auto"/>
        </w:rPr>
      </w:pPr>
      <w:r>
        <w:rPr>
          <w:rFonts w:ascii="Arial" w:cs="Arial" w:eastAsia="Arial" w:hAnsi="Arial"/>
          <w:sz w:val="17"/>
          <w:szCs w:val="17"/>
          <w:color w:val="auto"/>
        </w:rPr>
        <w:t>the potential to make a maximum of $10.0 million and a minimum of $0.0 million (undiscounted) in earn-out payments. Assuming the achievement of the applicable performance criteria, these earn-out payments will be made in April 2022.</w:t>
      </w:r>
    </w:p>
    <w:p>
      <w:pPr>
        <w:spacing w:after="0" w:line="165"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the Consolidated Financial Statements in the Company’s IPO Prospectus.</w:t>
      </w:r>
    </w:p>
    <w:p>
      <w:pPr>
        <w:spacing w:after="0" w:line="305" w:lineRule="exact"/>
        <w:rPr>
          <w:sz w:val="20"/>
          <w:szCs w:val="20"/>
          <w:color w:val="auto"/>
        </w:rPr>
      </w:pPr>
    </w:p>
    <w:p>
      <w:pPr>
        <w:ind w:left="860" w:hanging="403"/>
        <w:spacing w:after="0"/>
        <w:tabs>
          <w:tab w:leader="none" w:pos="860"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42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280" w:type="dxa"/>
            <w:vAlign w:val="bottom"/>
            <w:gridSpan w:val="3"/>
          </w:tcPr>
          <w:p>
            <w:pPr>
              <w:ind w:left="1160"/>
              <w:spacing w:after="0"/>
              <w:rPr>
                <w:sz w:val="20"/>
                <w:szCs w:val="20"/>
                <w:color w:val="auto"/>
              </w:rPr>
            </w:pPr>
            <w:r>
              <w:rPr>
                <w:rFonts w:ascii="Arial" w:cs="Arial" w:eastAsia="Arial" w:hAnsi="Arial"/>
                <w:sz w:val="13"/>
                <w:szCs w:val="13"/>
                <w:b w:val="1"/>
                <w:bCs w:val="1"/>
                <w:color w:val="auto"/>
                <w:w w:val="90"/>
              </w:rPr>
              <w:t>September 30, 2021</w:t>
            </w:r>
          </w:p>
        </w:tc>
        <w:tc>
          <w:tcPr>
            <w:tcW w:w="2140" w:type="dxa"/>
            <w:vAlign w:val="bottom"/>
            <w:gridSpan w:val="4"/>
          </w:tcPr>
          <w:p>
            <w:pPr>
              <w:ind w:left="1000"/>
              <w:spacing w:after="0"/>
              <w:rPr>
                <w:sz w:val="20"/>
                <w:szCs w:val="20"/>
                <w:color w:val="auto"/>
              </w:rPr>
            </w:pPr>
            <w:r>
              <w:rPr>
                <w:rFonts w:ascii="Arial" w:cs="Arial" w:eastAsia="Arial" w:hAnsi="Arial"/>
                <w:sz w:val="13"/>
                <w:szCs w:val="13"/>
                <w:b w:val="1"/>
                <w:bCs w:val="1"/>
                <w:color w:val="auto"/>
                <w:w w:val="95"/>
              </w:rPr>
              <w:t>December 31, 2020</w:t>
            </w:r>
          </w:p>
        </w:tc>
      </w:tr>
      <w:tr>
        <w:trPr>
          <w:trHeight w:val="195"/>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Payroll and payroll-related</w:t>
            </w:r>
          </w:p>
        </w:tc>
        <w:tc>
          <w:tcPr>
            <w:tcW w:w="1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7,246</w:t>
            </w:r>
          </w:p>
        </w:tc>
        <w:tc>
          <w:tcPr>
            <w:tcW w:w="10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Accrued interest</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233</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5,365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Sales taxes</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1,146</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4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Other</w:t>
            </w:r>
          </w:p>
        </w:tc>
        <w:tc>
          <w:tcPr>
            <w:tcW w:w="1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3,654</w:t>
            </w:r>
          </w:p>
        </w:tc>
        <w:tc>
          <w:tcPr>
            <w:tcW w:w="1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19,296</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17,321</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2" w:lineRule="exact"/>
        <w:rPr>
          <w:sz w:val="20"/>
          <w:szCs w:val="20"/>
          <w:color w:val="auto"/>
        </w:rPr>
      </w:pPr>
    </w:p>
    <w:p>
      <w:pPr>
        <w:ind w:left="860" w:hanging="403"/>
        <w:spacing w:after="0"/>
        <w:tabs>
          <w:tab w:leader="none" w:pos="86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The Company leases office facilities in Massachusetts, Vermont and Sweden, the terms of which expire at various times through the year 2030. In 2019, the Company signed a new office lease agreement which commenced in 2020 and will continue through 2027.</w:t>
      </w:r>
    </w:p>
    <w:p>
      <w:pPr>
        <w:spacing w:after="0" w:line="165" w:lineRule="exact"/>
        <w:rPr>
          <w:sz w:val="20"/>
          <w:szCs w:val="20"/>
          <w:color w:val="auto"/>
        </w:rPr>
      </w:pPr>
    </w:p>
    <w:p>
      <w:pPr>
        <w:ind w:left="460" w:right="380" w:firstLine="413"/>
        <w:spacing w:after="0" w:line="260" w:lineRule="auto"/>
        <w:rPr>
          <w:sz w:val="20"/>
          <w:szCs w:val="20"/>
          <w:color w:val="auto"/>
        </w:rPr>
      </w:pPr>
      <w:r>
        <w:rPr>
          <w:rFonts w:ascii="Arial" w:cs="Arial" w:eastAsia="Arial" w:hAnsi="Arial"/>
          <w:sz w:val="17"/>
          <w:szCs w:val="17"/>
          <w:color w:val="auto"/>
        </w:rPr>
        <w:t>Total rent expense for the nine months ended September 30, 2021 was $2.1 million, respectively, and rent expense for the nine months ended September 30, 2020 was $1.4 million, respectively. Rent expense was classified in selling, general, and administrative expense in the condensed consolidated statements of operations for all periods presented.</w:t>
      </w:r>
    </w:p>
    <w:p>
      <w:pPr>
        <w:spacing w:after="0" w:line="314" w:lineRule="exact"/>
        <w:rPr>
          <w:sz w:val="20"/>
          <w:szCs w:val="20"/>
          <w:color w:val="auto"/>
        </w:rPr>
      </w:pPr>
    </w:p>
    <w:p>
      <w:pPr>
        <w:ind w:left="860" w:hanging="403"/>
        <w:spacing w:after="0"/>
        <w:tabs>
          <w:tab w:leader="none" w:pos="86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Stockholders’ Equity and Members’ Equity</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Company has Class A Common Stock, Class B Common Stock and Preferred Stock. Holders of outstanding shares of Class A Common Stock and Class B Common Stock will vote as a single class on all matters on which stockholders are entitled to vote generally, except as otherwise required by law. Class B Common Stock issued to holders of Definitive OpCo Units that are unvested shall have no vote per share until such time as such Units have vested.</w:t>
      </w:r>
    </w:p>
    <w:p>
      <w:pPr>
        <w:spacing w:after="0" w:line="179" w:lineRule="exact"/>
        <w:rPr>
          <w:sz w:val="20"/>
          <w:szCs w:val="20"/>
          <w:color w:val="auto"/>
        </w:rPr>
      </w:pPr>
    </w:p>
    <w:p>
      <w:pPr>
        <w:ind w:left="460" w:right="340" w:firstLine="413"/>
        <w:spacing w:after="0" w:line="256" w:lineRule="auto"/>
        <w:rPr>
          <w:sz w:val="20"/>
          <w:szCs w:val="20"/>
          <w:color w:val="auto"/>
        </w:rPr>
      </w:pPr>
      <w:r>
        <w:rPr>
          <w:rFonts w:ascii="Arial" w:cs="Arial" w:eastAsia="Arial" w:hAnsi="Arial"/>
          <w:sz w:val="17"/>
          <w:szCs w:val="17"/>
          <w:color w:val="auto"/>
        </w:rPr>
        <w:t>Class A Common Stockholders are entitled to receive dividends, if declared by our board of directors out of legally available funds.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79"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Class B Common Stockholders are not entitled to economic interests in Definitive Healthcare Corp. and do not have any right to receive dividends or to receive a distribution upon a liquidation or winding up of Definitive Healthcare Corp.</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0780"/>
          </w:cols>
          <w:pgMar w:left="320" w:top="440" w:right="79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Shares of Preferred Stock have not been issued at September 30, 2021. The board of directors may authorize one or more series of Preferred Stock (including convertible Preferred Stock) and will determine, with respect to any series of Preferred Stock, the voting rights, preferences, participation, or other special rights and limitations.</w:t>
      </w:r>
    </w:p>
    <w:p>
      <w:pPr>
        <w:spacing w:after="0" w:line="175"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color w:val="auto"/>
        </w:rPr>
        <w:t>Under the Amended Definitive OpCo LLC Agreement, the holders of LLC Units have the right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Shares of Class B Common Stock and their corresponding LLC Units will be canceled on a one-for-one basis once an exchange has been completed.</w:t>
      </w:r>
    </w:p>
    <w:p>
      <w:pPr>
        <w:spacing w:after="0" w:line="164"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Description of Business</w:t>
      </w:r>
      <w:r>
        <w:rPr>
          <w:rFonts w:ascii="Arial" w:cs="Arial" w:eastAsia="Arial" w:hAnsi="Arial"/>
          <w:sz w:val="17"/>
          <w:szCs w:val="17"/>
          <w:color w:val="auto"/>
        </w:rPr>
        <w:t>, the Company was formed by Advent International (“Advent”) for the purpose of acquiring Definitive Holdco. Upon formation of the Company, two classes of units were established: Class A Units (“Class A Units”) and Class B Units (“Class B Units”), collectively “the Units”.</w:t>
      </w:r>
    </w:p>
    <w:p>
      <w:pPr>
        <w:spacing w:after="0" w:line="175"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The table below provides a summary of the number of Class A and Class B units authorized, issued and outstanding as of December 31, 2020, respectively.</w:t>
      </w:r>
    </w:p>
    <w:p>
      <w:pPr>
        <w:spacing w:after="0" w:line="182" w:lineRule="exact"/>
        <w:rPr>
          <w:sz w:val="20"/>
          <w:szCs w:val="20"/>
          <w:color w:val="auto"/>
        </w:rPr>
      </w:pPr>
    </w:p>
    <w:tbl>
      <w:tblPr>
        <w:tblLayout w:type="fixed"/>
        <w:tblInd w:w="2120" w:type="dxa"/>
        <w:tblCellMar>
          <w:top w:w="0" w:type="dxa"/>
          <w:left w:w="0" w:type="dxa"/>
          <w:bottom w:w="0" w:type="dxa"/>
          <w:right w:w="0" w:type="dxa"/>
        </w:tblCellMar>
      </w:tblPr>
      <w:tr>
        <w:trPr>
          <w:trHeight w:val="160"/>
        </w:trPr>
        <w:tc>
          <w:tcPr>
            <w:tcW w:w="580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3"/>
              </w:rPr>
              <w:t>December 31, 2020</w:t>
            </w:r>
          </w:p>
        </w:tc>
      </w:tr>
      <w:tr>
        <w:trPr>
          <w:trHeight w:val="183"/>
        </w:trPr>
        <w:tc>
          <w:tcPr>
            <w:tcW w:w="5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Class A units:</w:t>
            </w: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5800" w:type="dxa"/>
            <w:vAlign w:val="bottom"/>
          </w:tcPr>
          <w:p>
            <w:pPr>
              <w:ind w:left="340"/>
              <w:spacing w:after="0"/>
              <w:rPr>
                <w:sz w:val="20"/>
                <w:szCs w:val="20"/>
                <w:color w:val="auto"/>
              </w:rPr>
            </w:pPr>
            <w:r>
              <w:rPr>
                <w:rFonts w:ascii="Arial" w:cs="Arial" w:eastAsia="Arial" w:hAnsi="Arial"/>
                <w:sz w:val="17"/>
                <w:szCs w:val="17"/>
                <w:color w:val="auto"/>
              </w:rPr>
              <w:t>Authorized, issued and outstanding Class A units</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130,245,990</w:t>
            </w: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Class B units: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800" w:type="dxa"/>
            <w:vAlign w:val="bottom"/>
          </w:tcPr>
          <w:p>
            <w:pPr>
              <w:ind w:left="340"/>
              <w:spacing w:after="0"/>
              <w:rPr>
                <w:sz w:val="20"/>
                <w:szCs w:val="20"/>
                <w:color w:val="auto"/>
              </w:rPr>
            </w:pPr>
            <w:r>
              <w:rPr>
                <w:rFonts w:ascii="Arial" w:cs="Arial" w:eastAsia="Arial" w:hAnsi="Arial"/>
                <w:sz w:val="17"/>
                <w:szCs w:val="17"/>
                <w:color w:val="auto"/>
              </w:rPr>
              <w:t>Authorized Class B units</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8,088,877</w:t>
            </w:r>
          </w:p>
        </w:tc>
      </w:tr>
      <w:tr>
        <w:trPr>
          <w:trHeight w:val="203"/>
        </w:trPr>
        <w:tc>
          <w:tcPr>
            <w:tcW w:w="5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Class B units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3,720,063</w:t>
            </w:r>
          </w:p>
        </w:tc>
      </w:tr>
      <w:tr>
        <w:trPr>
          <w:trHeight w:val="214"/>
        </w:trPr>
        <w:tc>
          <w:tcPr>
            <w:tcW w:w="5800" w:type="dxa"/>
            <w:vAlign w:val="bottom"/>
          </w:tcPr>
          <w:p>
            <w:pPr>
              <w:ind w:left="340"/>
              <w:spacing w:after="0"/>
              <w:rPr>
                <w:sz w:val="20"/>
                <w:szCs w:val="20"/>
                <w:color w:val="auto"/>
              </w:rPr>
            </w:pPr>
            <w:r>
              <w:rPr>
                <w:rFonts w:ascii="Arial" w:cs="Arial" w:eastAsia="Arial" w:hAnsi="Arial"/>
                <w:sz w:val="17"/>
                <w:szCs w:val="17"/>
                <w:color w:val="auto"/>
              </w:rPr>
              <w:t>Outstanding Class B units (Vested Class B units)</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474,920</w:t>
            </w:r>
          </w:p>
        </w:tc>
      </w:tr>
    </w:tbl>
    <w:p>
      <w:pPr>
        <w:spacing w:after="0" w:line="178" w:lineRule="exact"/>
        <w:rPr>
          <w:sz w:val="20"/>
          <w:szCs w:val="20"/>
          <w:color w:val="auto"/>
        </w:rPr>
      </w:pPr>
    </w:p>
    <w:p>
      <w:pPr>
        <w:ind w:left="460" w:right="140" w:firstLine="413"/>
        <w:spacing w:after="0" w:line="303" w:lineRule="auto"/>
        <w:rPr>
          <w:sz w:val="20"/>
          <w:szCs w:val="20"/>
          <w:color w:val="auto"/>
        </w:rPr>
      </w:pPr>
      <w:r>
        <w:rPr>
          <w:rFonts w:ascii="Arial" w:cs="Arial" w:eastAsia="Arial" w:hAnsi="Arial"/>
          <w:sz w:val="16"/>
          <w:szCs w:val="16"/>
          <w:color w:val="auto"/>
        </w:rPr>
        <w:t xml:space="preserve">During 2021, the Company issued 363,516 new Class A units worth $5.8 million, consisting of a capital contribution of $5.5 million and equity-based compensation expense of $0.3 million. Refer to Note 13. </w:t>
      </w:r>
      <w:r>
        <w:rPr>
          <w:rFonts w:ascii="Arial" w:cs="Arial" w:eastAsia="Arial" w:hAnsi="Arial"/>
          <w:sz w:val="16"/>
          <w:szCs w:val="16"/>
          <w:i w:val="1"/>
          <w:iCs w:val="1"/>
          <w:color w:val="auto"/>
        </w:rPr>
        <w:t>Equity-Based Compensation</w:t>
      </w:r>
      <w:r>
        <w:rPr>
          <w:rFonts w:ascii="Arial" w:cs="Arial" w:eastAsia="Arial" w:hAnsi="Arial"/>
          <w:sz w:val="16"/>
          <w:szCs w:val="16"/>
          <w:color w:val="auto"/>
        </w:rPr>
        <w:t xml:space="preserve"> for more detail on Class B units.</w:t>
      </w:r>
    </w:p>
    <w:p>
      <w:pPr>
        <w:spacing w:after="0" w:line="283" w:lineRule="exact"/>
        <w:rPr>
          <w:sz w:val="20"/>
          <w:szCs w:val="20"/>
          <w:color w:val="auto"/>
        </w:rPr>
      </w:pPr>
    </w:p>
    <w:p>
      <w:pPr>
        <w:ind w:left="860" w:hanging="403"/>
        <w:spacing w:after="0"/>
        <w:tabs>
          <w:tab w:leader="none" w:pos="86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Equity-Based Compensation</w:t>
      </w:r>
    </w:p>
    <w:p>
      <w:pPr>
        <w:spacing w:after="0" w:line="108" w:lineRule="exact"/>
        <w:rPr>
          <w:sz w:val="20"/>
          <w:szCs w:val="20"/>
          <w:color w:val="auto"/>
        </w:rPr>
      </w:pPr>
    </w:p>
    <w:p>
      <w:pPr>
        <w:jc w:val="both"/>
        <w:ind w:left="460" w:right="160" w:firstLine="413"/>
        <w:spacing w:after="0" w:line="260" w:lineRule="auto"/>
        <w:rPr>
          <w:sz w:val="20"/>
          <w:szCs w:val="20"/>
          <w:color w:val="auto"/>
        </w:rPr>
      </w:pPr>
      <w:r>
        <w:rPr>
          <w:rFonts w:ascii="Arial" w:cs="Arial" w:eastAsia="Arial" w:hAnsi="Arial"/>
          <w:sz w:val="17"/>
          <w:szCs w:val="17"/>
          <w:color w:val="auto"/>
        </w:rPr>
        <w:t>Equity-based compensation expense is allocated to all departments in the accompanying condensed consolidated statements of operations based on the recipients of the compensation. A summary of the expense by line item in the consolidated statements of operations for the nine months ended September 30, 2021 and 2020, respectively, is provided in the following table.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5"/>
              </w:rPr>
              <w:t>Nine Months Ended</w:t>
            </w:r>
          </w:p>
        </w:tc>
        <w:tc>
          <w:tcPr>
            <w:tcW w:w="0" w:type="dxa"/>
            <w:vAlign w:val="bottom"/>
          </w:tcPr>
          <w:p>
            <w:pPr>
              <w:spacing w:after="0"/>
              <w:rPr>
                <w:sz w:val="1"/>
                <w:szCs w:val="1"/>
                <w:color w:val="auto"/>
              </w:rPr>
            </w:pPr>
          </w:p>
        </w:tc>
      </w:tr>
      <w:tr>
        <w:trPr>
          <w:trHeight w:val="160"/>
        </w:trPr>
        <w:tc>
          <w:tcPr>
            <w:tcW w:w="634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80" w:type="dxa"/>
            <w:vAlign w:val="bottom"/>
          </w:tcPr>
          <w:p>
            <w:pPr>
              <w:spacing w:after="0"/>
              <w:rPr>
                <w:sz w:val="13"/>
                <w:szCs w:val="13"/>
                <w:color w:val="auto"/>
              </w:rPr>
            </w:pPr>
          </w:p>
        </w:tc>
        <w:tc>
          <w:tcPr>
            <w:tcW w:w="142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32"/>
        </w:trPr>
        <w:tc>
          <w:tcPr>
            <w:tcW w:w="634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22"/>
              <w:spacing w:after="0" w:line="132" w:lineRule="exact"/>
              <w:rPr>
                <w:sz w:val="20"/>
                <w:szCs w:val="20"/>
                <w:color w:val="auto"/>
              </w:rPr>
            </w:pPr>
            <w:r>
              <w:rPr>
                <w:rFonts w:ascii="Arial" w:cs="Arial" w:eastAsia="Arial" w:hAnsi="Arial"/>
                <w:sz w:val="13"/>
                <w:szCs w:val="13"/>
                <w:b w:val="1"/>
                <w:bCs w:val="1"/>
                <w:color w:val="auto"/>
                <w:w w:val="96"/>
              </w:rPr>
              <w:t>2021</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8"/>
              <w:spacing w:after="0" w:line="132" w:lineRule="exact"/>
              <w:rPr>
                <w:sz w:val="20"/>
                <w:szCs w:val="20"/>
                <w:color w:val="auto"/>
              </w:rPr>
            </w:pPr>
            <w:r>
              <w:rPr>
                <w:rFonts w:ascii="Arial" w:cs="Arial" w:eastAsia="Arial" w:hAnsi="Arial"/>
                <w:sz w:val="13"/>
                <w:szCs w:val="13"/>
                <w:b w:val="1"/>
                <w:bCs w:val="1"/>
                <w:color w:val="auto"/>
                <w:w w:val="89"/>
              </w:rPr>
              <w:t>2020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Cost of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Sales and marketing</w:t>
            </w:r>
          </w:p>
        </w:tc>
        <w:tc>
          <w:tcPr>
            <w:tcW w:w="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567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3,351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4,338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1,330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2021 Equity Incentive Plan</w:t>
      </w:r>
    </w:p>
    <w:p>
      <w:pPr>
        <w:spacing w:after="0" w:line="108" w:lineRule="exact"/>
        <w:rPr>
          <w:sz w:val="20"/>
          <w:szCs w:val="20"/>
          <w:color w:val="auto"/>
        </w:rPr>
      </w:pPr>
    </w:p>
    <w:p>
      <w:pPr>
        <w:jc w:val="both"/>
        <w:ind w:left="460" w:right="340" w:firstLine="413"/>
        <w:spacing w:after="0" w:line="284" w:lineRule="auto"/>
        <w:rPr>
          <w:sz w:val="20"/>
          <w:szCs w:val="20"/>
          <w:color w:val="auto"/>
        </w:rPr>
      </w:pPr>
      <w:r>
        <w:rPr>
          <w:rFonts w:ascii="Arial" w:cs="Arial" w:eastAsia="Arial" w:hAnsi="Arial"/>
          <w:sz w:val="16"/>
          <w:szCs w:val="16"/>
          <w:color w:val="auto"/>
        </w:rPr>
        <w:t>As of September 15, 2021, in connection with its IPO, the Company adopted the Definitive Healthcare Corp. 2021 Equity Incentive Plan (the “2021 Plan”). The types of grants available under the 2021 Plan include stock options (both incentive and non-qualified), stock appreciation rights (“SARs”), restricted stock awards (“RSAs”), restricted stock units (“RSUs”), and stock-based awards.</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0760"/>
          </w:cols>
          <w:pgMar w:left="320" w:top="440" w:right="81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The aggregate number of shares of Class A Common Stock available for grant under the 2021 Plan was 8,989,039 shares at September 30, 2021. As of September 30, 2021, 1,464,681 RSUs have been granted under the 2021 Plan. The outstanding RSUs have time-based and/or performance-based vesting criteria. Outstanding time-based RSUs generally vest partially on the one year anniversary of each grant and quarterly over the subsequent two- or three-year period. Outstanding performance-based RSUs vest annually over three years upon the achievement of certain performance targets and continued service, the measurement period for which begins January 1, 2022. As such, no stock-based compensation expense associated with performance-based RSUs was recorded in the third quarter of 2021.</w:t>
      </w:r>
    </w:p>
    <w:p>
      <w:pPr>
        <w:spacing w:after="0" w:line="167" w:lineRule="exact"/>
        <w:rPr>
          <w:sz w:val="20"/>
          <w:szCs w:val="20"/>
          <w:color w:val="auto"/>
        </w:rPr>
      </w:pPr>
    </w:p>
    <w:p>
      <w:pPr>
        <w:ind w:left="460" w:right="900" w:firstLine="413"/>
        <w:spacing w:after="0" w:line="272" w:lineRule="auto"/>
        <w:rPr>
          <w:sz w:val="20"/>
          <w:szCs w:val="20"/>
          <w:color w:val="auto"/>
        </w:rPr>
      </w:pPr>
      <w:r>
        <w:rPr>
          <w:rFonts w:ascii="Arial" w:cs="Arial" w:eastAsia="Arial" w:hAnsi="Arial"/>
          <w:sz w:val="17"/>
          <w:szCs w:val="17"/>
          <w:color w:val="auto"/>
        </w:rPr>
        <w:t>The following table summarizes the Company’s unvested time-based and performance-based RSU activity for the nine months ended September 30, 2021.</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Time-Based</w:t>
            </w: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8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Performance-Based</w:t>
            </w:r>
          </w:p>
        </w:tc>
        <w:tc>
          <w:tcPr>
            <w:tcW w:w="0" w:type="dxa"/>
            <w:vAlign w:val="bottom"/>
          </w:tcPr>
          <w:p>
            <w:pPr>
              <w:spacing w:after="0"/>
              <w:rPr>
                <w:sz w:val="1"/>
                <w:szCs w:val="1"/>
                <w:color w:val="auto"/>
              </w:rPr>
            </w:pPr>
          </w:p>
        </w:tc>
      </w:tr>
      <w:tr>
        <w:trPr>
          <w:trHeight w:val="112"/>
        </w:trPr>
        <w:tc>
          <w:tcPr>
            <w:tcW w:w="426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Restricted</w:t>
            </w: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59"/>
              <w:spacing w:after="0" w:line="112" w:lineRule="exact"/>
              <w:rPr>
                <w:sz w:val="20"/>
                <w:szCs w:val="20"/>
                <w:color w:val="auto"/>
              </w:rPr>
            </w:pPr>
            <w:r>
              <w:rPr>
                <w:rFonts w:ascii="Arial" w:cs="Arial" w:eastAsia="Arial" w:hAnsi="Arial"/>
                <w:sz w:val="12"/>
                <w:szCs w:val="12"/>
                <w:b w:val="1"/>
                <w:bCs w:val="1"/>
                <w:color w:val="auto"/>
              </w:rPr>
              <w:t>Weighted</w:t>
            </w:r>
          </w:p>
        </w:tc>
        <w:tc>
          <w:tcPr>
            <w:tcW w:w="620" w:type="dxa"/>
            <w:vAlign w:val="bottom"/>
          </w:tcPr>
          <w:p>
            <w:pPr>
              <w:spacing w:after="0"/>
              <w:rPr>
                <w:sz w:val="9"/>
                <w:szCs w:val="9"/>
                <w:color w:val="auto"/>
              </w:rPr>
            </w:pPr>
          </w:p>
        </w:tc>
        <w:tc>
          <w:tcPr>
            <w:tcW w:w="10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Restricted</w:t>
            </w: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99"/>
              <w:spacing w:after="0" w:line="112" w:lineRule="exact"/>
              <w:rPr>
                <w:sz w:val="20"/>
                <w:szCs w:val="20"/>
                <w:color w:val="auto"/>
              </w:rPr>
            </w:pPr>
            <w:r>
              <w:rPr>
                <w:rFonts w:ascii="Arial" w:cs="Arial" w:eastAsia="Arial" w:hAnsi="Arial"/>
                <w:sz w:val="12"/>
                <w:szCs w:val="12"/>
                <w:b w:val="1"/>
                <w:bCs w:val="1"/>
                <w:color w:val="auto"/>
              </w:rPr>
              <w:t>Weighted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3"/>
          </w:tcPr>
          <w:p>
            <w:pPr>
              <w:jc w:val="center"/>
              <w:ind w:right="640"/>
              <w:spacing w:after="0" w:line="139" w:lineRule="exact"/>
              <w:rPr>
                <w:sz w:val="20"/>
                <w:szCs w:val="20"/>
                <w:color w:val="auto"/>
              </w:rPr>
            </w:pPr>
            <w:r>
              <w:rPr>
                <w:rFonts w:ascii="Arial" w:cs="Arial" w:eastAsia="Arial" w:hAnsi="Arial"/>
                <w:sz w:val="13"/>
                <w:szCs w:val="13"/>
                <w:b w:val="1"/>
                <w:bCs w:val="1"/>
                <w:color w:val="auto"/>
                <w:w w:val="95"/>
              </w:rPr>
              <w:t>Average Grant</w:t>
            </w:r>
          </w:p>
        </w:tc>
        <w:tc>
          <w:tcPr>
            <w:tcW w:w="1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right"/>
              <w:ind w:right="80"/>
              <w:spacing w:after="0" w:line="139" w:lineRule="exact"/>
              <w:rPr>
                <w:sz w:val="20"/>
                <w:szCs w:val="20"/>
                <w:color w:val="auto"/>
              </w:rPr>
            </w:pPr>
            <w:r>
              <w:rPr>
                <w:rFonts w:ascii="Arial" w:cs="Arial" w:eastAsia="Arial" w:hAnsi="Arial"/>
                <w:sz w:val="13"/>
                <w:szCs w:val="13"/>
                <w:b w:val="1"/>
                <w:bCs w:val="1"/>
                <w:color w:val="auto"/>
                <w:w w:val="95"/>
              </w:rPr>
              <w:t>Average Grant</w:t>
            </w: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5"/>
              </w:rPr>
              <w:t>Stock Units</w:t>
            </w:r>
          </w:p>
        </w:tc>
        <w:tc>
          <w:tcPr>
            <w:tcW w:w="620" w:type="dxa"/>
            <w:vAlign w:val="bottom"/>
          </w:tcPr>
          <w:p>
            <w:pPr>
              <w:spacing w:after="0"/>
              <w:rPr>
                <w:sz w:val="13"/>
                <w:szCs w:val="13"/>
                <w:color w:val="auto"/>
              </w:rPr>
            </w:pPr>
          </w:p>
        </w:tc>
        <w:tc>
          <w:tcPr>
            <w:tcW w:w="154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5"/>
              </w:rPr>
              <w:t>Date Fair Value</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Stock Units</w:t>
            </w:r>
          </w:p>
        </w:tc>
        <w:tc>
          <w:tcPr>
            <w:tcW w:w="320" w:type="dxa"/>
            <w:vAlign w:val="bottom"/>
          </w:tcPr>
          <w:p>
            <w:pPr>
              <w:spacing w:after="0"/>
              <w:rPr>
                <w:sz w:val="13"/>
                <w:szCs w:val="1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3"/>
              </w:rPr>
              <w:t>Date Fair Value</w:t>
            </w:r>
          </w:p>
        </w:tc>
        <w:tc>
          <w:tcPr>
            <w:tcW w:w="0" w:type="dxa"/>
            <w:vAlign w:val="bottom"/>
          </w:tcPr>
          <w:p>
            <w:pPr>
              <w:spacing w:after="0"/>
              <w:rPr>
                <w:sz w:val="1"/>
                <w:szCs w:val="1"/>
                <w:color w:val="auto"/>
              </w:rPr>
            </w:pPr>
          </w:p>
        </w:tc>
      </w:tr>
      <w:tr>
        <w:trPr>
          <w:trHeight w:val="195"/>
        </w:trPr>
        <w:tc>
          <w:tcPr>
            <w:tcW w:w="42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Unvested at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center"/>
              <w:ind w:left="339"/>
              <w:spacing w:after="0"/>
              <w:rPr>
                <w:sz w:val="20"/>
                <w:szCs w:val="20"/>
                <w:color w:val="auto"/>
              </w:rPr>
            </w:pPr>
            <w:r>
              <w:rPr>
                <w:rFonts w:ascii="Arial" w:cs="Arial" w:eastAsia="Arial" w:hAnsi="Arial"/>
                <w:sz w:val="17"/>
                <w:szCs w:val="17"/>
                <w:color w:val="auto"/>
                <w:w w:val="93"/>
              </w:rPr>
              <w:t>—</w:t>
            </w:r>
          </w:p>
        </w:tc>
        <w:tc>
          <w:tcPr>
            <w:tcW w:w="6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7"/>
                <w:szCs w:val="17"/>
                <w:color w:val="auto"/>
              </w:rPr>
              <w:t>Granted</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1,300,328</w:t>
            </w:r>
          </w:p>
        </w:tc>
        <w:tc>
          <w:tcPr>
            <w:tcW w:w="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27.00</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164,353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3"/>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7"/>
                <w:szCs w:val="17"/>
                <w:color w:val="auto"/>
              </w:rPr>
              <w:t>Forfeited</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(2,656)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27.00</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Unvested at end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1,297,672</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center"/>
              <w:ind w:left="319"/>
              <w:spacing w:after="0"/>
              <w:rPr>
                <w:sz w:val="20"/>
                <w:szCs w:val="20"/>
                <w:color w:val="auto"/>
              </w:rPr>
            </w:pPr>
            <w:r>
              <w:rPr>
                <w:rFonts w:ascii="Arial" w:cs="Arial" w:eastAsia="Arial" w:hAnsi="Arial"/>
                <w:sz w:val="17"/>
                <w:szCs w:val="17"/>
                <w:color w:val="auto"/>
                <w:w w:val="89"/>
              </w:rPr>
              <w:t>27.00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164,353</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Company recognized $0.4 million in stock-based compensation expense associated with RSUs granted in 2021. Total unrecognized expense was estimated to be $39.1 million for both time-based vesting and performance-based vesting awards at September 30, 2021, to be recognized over a weighted-average period of approximately 4.0 years.</w:t>
      </w:r>
    </w:p>
    <w:p>
      <w:pPr>
        <w:spacing w:after="0" w:line="276"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2019 Equity Incentive Plan</w:t>
      </w:r>
    </w:p>
    <w:p>
      <w:pPr>
        <w:spacing w:after="0" w:line="108"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In July 2019, the Company and its Board of Members approved the 2019 Equity Incentive Plan (“the 2019 Plan”) under which the Parent Company had reserved approximately 8,088,877 Class B Units (the “2019 Incentive Equity Pool”). The 2019 Incentive Equity Pool was utilized for the issuance of units to employees, consultants, directors, managers, or others providing services to the Company pursuant to Board of Members approval. These interests were considered profit interests, which, in general, entitle the holder of the unit to a pro rata share of the increase in value of the unit over the base value determined at the award date and were subject to such vesting and other restrictions as the Board of Members deemed appropriate. Any units forfeited or repurchased were available for future grants under the 2019 Incentive Equity Pool.</w:t>
      </w:r>
    </w:p>
    <w:p>
      <w:pPr>
        <w:spacing w:after="0" w:line="167" w:lineRule="exact"/>
        <w:rPr>
          <w:sz w:val="20"/>
          <w:szCs w:val="20"/>
          <w:color w:val="auto"/>
        </w:rPr>
      </w:pPr>
    </w:p>
    <w:p>
      <w:pPr>
        <w:ind w:left="460" w:right="60" w:firstLine="413"/>
        <w:spacing w:after="0" w:line="290" w:lineRule="auto"/>
        <w:rPr>
          <w:sz w:val="20"/>
          <w:szCs w:val="20"/>
          <w:color w:val="auto"/>
        </w:rPr>
      </w:pPr>
      <w:r>
        <w:rPr>
          <w:rFonts w:ascii="Arial" w:cs="Arial" w:eastAsia="Arial" w:hAnsi="Arial"/>
          <w:sz w:val="15"/>
          <w:szCs w:val="15"/>
          <w:color w:val="auto"/>
        </w:rPr>
        <w:t>The units had time-based and/or performance-based vesting criteria. Generally, the time-based units vested in equal annual installments over a four-year period on the anniversary date of the vest date. The performance-based units vested based on the achievement of specified returns on investments upon a change of control or qualifying event, as defined in the agreement. In connection with the IPO, performance-based forfeiture conditions for unvested units were waived through a modification of the awards and, after the IPO, all such unvested awards became subjected to time-vesting over three years from the IPO Date. As a result of the modification of the terms of such performance-vesting awards, we recorded compensation expense based on the fair value of the units that otherwise would have been forfeited, using the IPO price of $27.00 per share. The total compensation expense related to modification was $9.0 million, which will be recognized over the respective remaining service periods. The Company recorded $0.2 million in stock-based compensation expense associated with these performance-vesting units in the third quarter of 2021.</w:t>
      </w:r>
    </w:p>
    <w:p>
      <w:pPr>
        <w:spacing w:after="0" w:line="156"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In connection with the retirement of an executive officer, the Company accelerated the vesting of 24,049 unvested time-vesting Class B units and 48,099 of his unvested performance-vesting Class B units. The Company</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0780"/>
          </w:cols>
          <w:pgMar w:left="320" w:top="440" w:right="79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380"/>
        <w:spacing w:after="0" w:line="272" w:lineRule="auto"/>
        <w:rPr>
          <w:sz w:val="20"/>
          <w:szCs w:val="20"/>
          <w:color w:val="auto"/>
        </w:rPr>
      </w:pPr>
      <w:r>
        <w:rPr>
          <w:rFonts w:ascii="Arial" w:cs="Arial" w:eastAsia="Arial" w:hAnsi="Arial"/>
          <w:sz w:val="17"/>
          <w:szCs w:val="17"/>
          <w:color w:val="auto"/>
        </w:rPr>
        <w:t>recorded incremental compensation expense of approximately $1.9 million during the third quarter 2021. Upon separation, the remaining 72,149 in Class B units were forfeited.</w:t>
      </w:r>
    </w:p>
    <w:p>
      <w:pPr>
        <w:spacing w:after="0" w:line="165"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Effective September 15, 2021, the Company will no longer grant any awards under the 2019 Plan, though previously granted awards under the 2019 Plan remain outstanding and governed by the 2019 Plan, except for the modifications discussed above.</w:t>
      </w:r>
    </w:p>
    <w:p>
      <w:pPr>
        <w:spacing w:after="0" w:line="165" w:lineRule="exact"/>
        <w:rPr>
          <w:sz w:val="20"/>
          <w:szCs w:val="20"/>
          <w:color w:val="auto"/>
        </w:rPr>
      </w:pPr>
    </w:p>
    <w:p>
      <w:pPr>
        <w:ind w:left="460" w:right="60" w:firstLine="413"/>
        <w:spacing w:after="0" w:line="290" w:lineRule="auto"/>
        <w:rPr>
          <w:sz w:val="20"/>
          <w:szCs w:val="20"/>
          <w:color w:val="auto"/>
        </w:rPr>
      </w:pPr>
      <w:r>
        <w:rPr>
          <w:rFonts w:ascii="Arial" w:cs="Arial" w:eastAsia="Arial" w:hAnsi="Arial"/>
          <w:sz w:val="15"/>
          <w:szCs w:val="15"/>
          <w:color w:val="auto"/>
        </w:rPr>
        <w:t>For awards granted in the 2019 Plan, the Company assessed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4900" w:type="dxa"/>
            <w:vAlign w:val="bottom"/>
          </w:tcPr>
          <w:p>
            <w:pPr>
              <w:spacing w:after="0"/>
              <w:rPr>
                <w:sz w:val="13"/>
                <w:szCs w:val="13"/>
                <w:color w:val="auto"/>
              </w:rPr>
            </w:pPr>
          </w:p>
        </w:tc>
        <w:tc>
          <w:tcPr>
            <w:tcW w:w="186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15, 2021</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 2020</w:t>
            </w:r>
          </w:p>
        </w:tc>
      </w:tr>
      <w:tr>
        <w:trPr>
          <w:trHeight w:val="195"/>
        </w:trPr>
        <w:tc>
          <w:tcPr>
            <w:tcW w:w="49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Expected option term</w:t>
            </w: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8"/>
              </w:rPr>
              <w:t>0.30—0.70 years</w:t>
            </w:r>
          </w:p>
        </w:tc>
        <w:tc>
          <w:tcPr>
            <w:tcW w:w="7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5"/>
              </w:rPr>
              <w:t>5.5 years</w:t>
            </w:r>
          </w:p>
        </w:tc>
      </w:tr>
      <w:tr>
        <w:trPr>
          <w:trHeight w:val="203"/>
        </w:trPr>
        <w:tc>
          <w:tcPr>
            <w:tcW w:w="490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1860" w:type="dxa"/>
            <w:vAlign w:val="bottom"/>
            <w:gridSpan w:val="2"/>
          </w:tcPr>
          <w:p>
            <w:pPr>
              <w:jc w:val="center"/>
              <w:ind w:right="700"/>
              <w:spacing w:after="0"/>
              <w:rPr>
                <w:sz w:val="20"/>
                <w:szCs w:val="20"/>
                <w:color w:val="auto"/>
              </w:rPr>
            </w:pPr>
            <w:r>
              <w:rPr>
                <w:rFonts w:ascii="Arial" w:cs="Arial" w:eastAsia="Arial" w:hAnsi="Arial"/>
                <w:sz w:val="17"/>
                <w:szCs w:val="17"/>
                <w:color w:val="auto"/>
                <w:w w:val="91"/>
              </w:rPr>
              <w:t>0.01%—0.06%</w:t>
            </w:r>
          </w:p>
        </w:tc>
        <w:tc>
          <w:tcPr>
            <w:tcW w:w="1080" w:type="dxa"/>
            <w:vAlign w:val="bottom"/>
          </w:tcPr>
          <w:p>
            <w:pPr>
              <w:jc w:val="right"/>
              <w:ind w:right="240"/>
              <w:spacing w:after="0"/>
              <w:rPr>
                <w:sz w:val="20"/>
                <w:szCs w:val="20"/>
                <w:color w:val="auto"/>
              </w:rPr>
            </w:pPr>
            <w:r>
              <w:rPr>
                <w:rFonts w:ascii="Arial" w:cs="Arial" w:eastAsia="Arial" w:hAnsi="Arial"/>
                <w:sz w:val="17"/>
                <w:szCs w:val="17"/>
                <w:color w:val="auto"/>
              </w:rPr>
              <w:t>1.73%</w:t>
            </w:r>
          </w:p>
        </w:tc>
      </w:tr>
      <w:tr>
        <w:trPr>
          <w:trHeight w:val="20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7"/>
                <w:szCs w:val="17"/>
                <w:color w:val="auto"/>
              </w:rPr>
              <w:t>30%</w:t>
            </w:r>
          </w:p>
        </w:tc>
        <w:tc>
          <w:tcPr>
            <w:tcW w:w="7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0"/>
              <w:spacing w:after="0"/>
              <w:rPr>
                <w:sz w:val="20"/>
                <w:szCs w:val="20"/>
                <w:color w:val="auto"/>
              </w:rPr>
            </w:pPr>
            <w:r>
              <w:rPr>
                <w:rFonts w:ascii="Arial" w:cs="Arial" w:eastAsia="Arial" w:hAnsi="Arial"/>
                <w:sz w:val="17"/>
                <w:szCs w:val="17"/>
                <w:color w:val="auto"/>
              </w:rPr>
              <w:t>35%</w:t>
            </w:r>
          </w:p>
        </w:tc>
      </w:tr>
    </w:tbl>
    <w:p>
      <w:pPr>
        <w:spacing w:after="0" w:line="190"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In connection with the Reorganization Transactions and the IPO, unvested Class B Units held directly by employees of the Company or indirectly through Definitive OpCo, were exchanged for unvested Definitive OpCo units based on their respective participation thresholds and the IPO price of $27.00 per share. The time-based units issued upon the exchange remain subject to the same service vesting requirements as the original Class B Units. The pre-IPO performance-based units were exchanged for time-based units and will vest over a three-year period beginning on the date of the IPO. The following table summarizes the Company’s unvested time-based and performance-based unit activity from January 1, 2021 through September 30, 2021.</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580" w:type="dxa"/>
            <w:vAlign w:val="bottom"/>
          </w:tcPr>
          <w:p>
            <w:pPr>
              <w:spacing w:after="0"/>
              <w:rPr>
                <w:sz w:val="13"/>
                <w:szCs w:val="13"/>
                <w:color w:val="auto"/>
              </w:rPr>
            </w:pPr>
          </w:p>
        </w:tc>
        <w:tc>
          <w:tcPr>
            <w:tcW w:w="1460" w:type="dxa"/>
            <w:vAlign w:val="bottom"/>
            <w:gridSpan w:val="5"/>
          </w:tcPr>
          <w:p>
            <w:pPr>
              <w:jc w:val="right"/>
              <w:spacing w:after="0"/>
              <w:rPr>
                <w:sz w:val="20"/>
                <w:szCs w:val="20"/>
                <w:color w:val="auto"/>
              </w:rPr>
            </w:pPr>
            <w:r>
              <w:rPr>
                <w:rFonts w:ascii="Arial" w:cs="Arial" w:eastAsia="Arial" w:hAnsi="Arial"/>
                <w:sz w:val="13"/>
                <w:szCs w:val="13"/>
                <w:b w:val="1"/>
                <w:bCs w:val="1"/>
                <w:color w:val="auto"/>
              </w:rPr>
              <w:t>Time-Based</w:t>
            </w: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60" w:type="dxa"/>
            <w:vAlign w:val="bottom"/>
            <w:gridSpan w:val="6"/>
          </w:tcPr>
          <w:p>
            <w:pPr>
              <w:ind w:left="540"/>
              <w:spacing w:after="0"/>
              <w:rPr>
                <w:sz w:val="20"/>
                <w:szCs w:val="20"/>
                <w:color w:val="auto"/>
              </w:rPr>
            </w:pPr>
            <w:r>
              <w:rPr>
                <w:rFonts w:ascii="Arial" w:cs="Arial" w:eastAsia="Arial" w:hAnsi="Arial"/>
                <w:sz w:val="13"/>
                <w:szCs w:val="13"/>
                <w:b w:val="1"/>
                <w:bCs w:val="1"/>
                <w:color w:val="auto"/>
              </w:rPr>
              <w:t>Performance-Based</w:t>
            </w:r>
          </w:p>
        </w:tc>
        <w:tc>
          <w:tcPr>
            <w:tcW w:w="0" w:type="dxa"/>
            <w:vAlign w:val="bottom"/>
          </w:tcPr>
          <w:p>
            <w:pPr>
              <w:spacing w:after="0"/>
              <w:rPr>
                <w:sz w:val="1"/>
                <w:szCs w:val="1"/>
                <w:color w:val="auto"/>
              </w:rPr>
            </w:pPr>
          </w:p>
        </w:tc>
      </w:tr>
      <w:tr>
        <w:trPr>
          <w:trHeight w:val="112"/>
        </w:trPr>
        <w:tc>
          <w:tcPr>
            <w:tcW w:w="4580" w:type="dxa"/>
            <w:vAlign w:val="bottom"/>
          </w:tcPr>
          <w:p>
            <w:pPr>
              <w:spacing w:after="0"/>
              <w:rPr>
                <w:sz w:val="9"/>
                <w:szCs w:val="9"/>
                <w:color w:val="auto"/>
              </w:rPr>
            </w:pPr>
          </w:p>
        </w:tc>
        <w:tc>
          <w:tcPr>
            <w:tcW w:w="106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3"/>
                <w:szCs w:val="13"/>
                <w:b w:val="1"/>
                <w:bCs w:val="1"/>
                <w:color w:val="auto"/>
                <w:w w:val="96"/>
              </w:rPr>
              <w:t>Non-Vested</w:t>
            </w: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98"/>
              <w:spacing w:after="0" w:line="112" w:lineRule="exact"/>
              <w:rPr>
                <w:sz w:val="20"/>
                <w:szCs w:val="20"/>
                <w:color w:val="auto"/>
              </w:rPr>
            </w:pPr>
            <w:r>
              <w:rPr>
                <w:rFonts w:ascii="Arial" w:cs="Arial" w:eastAsia="Arial" w:hAnsi="Arial"/>
                <w:sz w:val="12"/>
                <w:szCs w:val="12"/>
                <w:b w:val="1"/>
                <w:bCs w:val="1"/>
                <w:color w:val="auto"/>
                <w:w w:val="99"/>
              </w:rPr>
              <w:t>Weighted</w:t>
            </w:r>
          </w:p>
        </w:tc>
        <w:tc>
          <w:tcPr>
            <w:tcW w:w="460" w:type="dxa"/>
            <w:vAlign w:val="bottom"/>
          </w:tcPr>
          <w:p>
            <w:pPr>
              <w:spacing w:after="0"/>
              <w:rPr>
                <w:sz w:val="9"/>
                <w:szCs w:val="9"/>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Non-Vested</w:t>
            </w: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38"/>
              <w:spacing w:after="0" w:line="112" w:lineRule="exact"/>
              <w:rPr>
                <w:sz w:val="20"/>
                <w:szCs w:val="20"/>
                <w:color w:val="auto"/>
              </w:rPr>
            </w:pPr>
            <w:r>
              <w:rPr>
                <w:rFonts w:ascii="Arial" w:cs="Arial" w:eastAsia="Arial" w:hAnsi="Arial"/>
                <w:sz w:val="12"/>
                <w:szCs w:val="12"/>
                <w:b w:val="1"/>
                <w:bCs w:val="1"/>
                <w:color w:val="auto"/>
                <w:w w:val="99"/>
              </w:rPr>
              <w:t>Weighted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right"/>
              <w:ind w:right="480"/>
              <w:spacing w:after="0" w:line="139" w:lineRule="exact"/>
              <w:rPr>
                <w:sz w:val="20"/>
                <w:szCs w:val="20"/>
                <w:color w:val="auto"/>
              </w:rPr>
            </w:pPr>
            <w:r>
              <w:rPr>
                <w:rFonts w:ascii="Arial" w:cs="Arial" w:eastAsia="Arial" w:hAnsi="Arial"/>
                <w:sz w:val="13"/>
                <w:szCs w:val="13"/>
                <w:b w:val="1"/>
                <w:bCs w:val="1"/>
                <w:color w:val="auto"/>
                <w:w w:val="95"/>
              </w:rPr>
              <w:t>Average Grant</w:t>
            </w: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5"/>
              </w:rPr>
              <w:t>Average Grant</w:t>
            </w: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Units</w:t>
            </w:r>
          </w:p>
        </w:tc>
        <w:tc>
          <w:tcPr>
            <w:tcW w:w="240" w:type="dxa"/>
            <w:vAlign w:val="bottom"/>
          </w:tcPr>
          <w:p>
            <w:pPr>
              <w:spacing w:after="0"/>
              <w:rPr>
                <w:sz w:val="13"/>
                <w:szCs w:val="13"/>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w w:val="93"/>
              </w:rPr>
              <w:t>Date Fair Value</w:t>
            </w: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Units</w:t>
            </w:r>
          </w:p>
        </w:tc>
        <w:tc>
          <w:tcPr>
            <w:tcW w:w="240" w:type="dxa"/>
            <w:vAlign w:val="bottom"/>
          </w:tcPr>
          <w:p>
            <w:pPr>
              <w:spacing w:after="0"/>
              <w:rPr>
                <w:sz w:val="13"/>
                <w:szCs w:val="13"/>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Date Fair Value</w:t>
            </w:r>
          </w:p>
        </w:tc>
        <w:tc>
          <w:tcPr>
            <w:tcW w:w="0" w:type="dxa"/>
            <w:vAlign w:val="bottom"/>
          </w:tcPr>
          <w:p>
            <w:pPr>
              <w:spacing w:after="0"/>
              <w:rPr>
                <w:sz w:val="1"/>
                <w:szCs w:val="1"/>
                <w:color w:val="auto"/>
              </w:rPr>
            </w:pPr>
          </w:p>
        </w:tc>
      </w:tr>
      <w:tr>
        <w:trPr>
          <w:trHeight w:val="195"/>
        </w:trPr>
        <w:tc>
          <w:tcPr>
            <w:tcW w:w="45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Non-vested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1,404,720</w:t>
            </w: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4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1,840,423</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center"/>
              <w:ind w:left="398"/>
              <w:spacing w:after="0"/>
              <w:rPr>
                <w:sz w:val="20"/>
                <w:szCs w:val="20"/>
                <w:color w:val="auto"/>
              </w:rPr>
            </w:pPr>
            <w:r>
              <w:rPr>
                <w:rFonts w:ascii="Arial" w:cs="Arial" w:eastAsia="Arial" w:hAnsi="Arial"/>
                <w:sz w:val="17"/>
                <w:szCs w:val="17"/>
                <w:color w:val="auto"/>
                <w:w w:val="90"/>
              </w:rPr>
              <w:t>2.35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Arial" w:cs="Arial" w:eastAsia="Arial" w:hAnsi="Arial"/>
                <w:sz w:val="17"/>
                <w:szCs w:val="17"/>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1,477,323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1.41</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1,177,308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left="338"/>
              <w:spacing w:after="0"/>
              <w:rPr>
                <w:sz w:val="20"/>
                <w:szCs w:val="20"/>
                <w:color w:val="auto"/>
              </w:rPr>
            </w:pPr>
            <w:r>
              <w:rPr>
                <w:rFonts w:ascii="Arial" w:cs="Arial" w:eastAsia="Arial" w:hAnsi="Arial"/>
                <w:sz w:val="17"/>
                <w:szCs w:val="17"/>
                <w:color w:val="auto"/>
                <w:w w:val="90"/>
              </w:rPr>
              <w:t>0.41</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(437,731)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3.64</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2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1060" w:type="dxa"/>
            <w:vAlign w:val="bottom"/>
            <w:gridSpan w:val="3"/>
          </w:tcPr>
          <w:p>
            <w:pPr>
              <w:jc w:val="right"/>
              <w:ind w:right="220"/>
              <w:spacing w:after="0"/>
              <w:rPr>
                <w:sz w:val="20"/>
                <w:szCs w:val="20"/>
                <w:color w:val="auto"/>
              </w:rPr>
            </w:pPr>
            <w:r>
              <w:rPr>
                <w:rFonts w:ascii="Arial" w:cs="Arial" w:eastAsia="Arial" w:hAnsi="Arial"/>
                <w:sz w:val="17"/>
                <w:szCs w:val="17"/>
                <w:color w:val="auto"/>
              </w:rPr>
              <w:t>(13,770)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3.65</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(18,361)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left="338"/>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Non-vested at September 15, 2021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2,430,542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2.29</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2,999,370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center"/>
              <w:ind w:left="338"/>
              <w:spacing w:after="0"/>
              <w:rPr>
                <w:sz w:val="20"/>
                <w:szCs w:val="20"/>
                <w:color w:val="auto"/>
              </w:rPr>
            </w:pPr>
            <w:r>
              <w:rPr>
                <w:rFonts w:ascii="Arial" w:cs="Arial" w:eastAsia="Arial" w:hAnsi="Arial"/>
                <w:sz w:val="17"/>
                <w:szCs w:val="17"/>
                <w:color w:val="auto"/>
                <w:w w:val="90"/>
              </w:rPr>
              <w:t>1.59</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340"/>
              <w:spacing w:after="0"/>
              <w:rPr>
                <w:sz w:val="20"/>
                <w:szCs w:val="20"/>
                <w:color w:val="auto"/>
              </w:rPr>
            </w:pPr>
            <w:r>
              <w:rPr>
                <w:rFonts w:ascii="Arial" w:cs="Arial" w:eastAsia="Arial" w:hAnsi="Arial"/>
                <w:sz w:val="17"/>
                <w:szCs w:val="17"/>
                <w:color w:val="auto"/>
              </w:rPr>
              <w:t>Effect of Reorganization Transactions and IPO</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7"/>
                <w:szCs w:val="17"/>
                <w:color w:val="auto"/>
                <w:w w:val="94"/>
              </w:rPr>
              <w:t>(1,165,679)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2.08</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(1,318,171)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left="338"/>
              <w:spacing w:after="0"/>
              <w:rPr>
                <w:sz w:val="20"/>
                <w:szCs w:val="20"/>
                <w:color w:val="auto"/>
              </w:rPr>
            </w:pPr>
            <w:r>
              <w:rPr>
                <w:rFonts w:ascii="Arial" w:cs="Arial" w:eastAsia="Arial" w:hAnsi="Arial"/>
                <w:sz w:val="17"/>
                <w:szCs w:val="17"/>
                <w:color w:val="auto"/>
                <w:w w:val="90"/>
              </w:rPr>
              <w:t>1.39</w:t>
            </w:r>
          </w:p>
        </w:tc>
        <w:tc>
          <w:tcPr>
            <w:tcW w:w="0" w:type="dxa"/>
            <w:vAlign w:val="bottom"/>
          </w:tcPr>
          <w:p>
            <w:pPr>
              <w:spacing w:after="0"/>
              <w:rPr>
                <w:sz w:val="1"/>
                <w:szCs w:val="1"/>
                <w:color w:val="auto"/>
              </w:rPr>
            </w:pPr>
          </w:p>
        </w:tc>
      </w:tr>
      <w:tr>
        <w:trPr>
          <w:trHeight w:val="191"/>
        </w:trPr>
        <w:tc>
          <w:tcPr>
            <w:tcW w:w="458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Performance-based units exchanged for time-based</w:t>
            </w: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units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1,681,199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1.74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(1,681,199)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338"/>
              <w:spacing w:after="0"/>
              <w:rPr>
                <w:sz w:val="20"/>
                <w:szCs w:val="20"/>
                <w:color w:val="auto"/>
              </w:rPr>
            </w:pPr>
            <w:r>
              <w:rPr>
                <w:rFonts w:ascii="Arial" w:cs="Arial" w:eastAsia="Arial" w:hAnsi="Arial"/>
                <w:sz w:val="17"/>
                <w:szCs w:val="17"/>
                <w:color w:val="auto"/>
                <w:w w:val="90"/>
              </w:rPr>
              <w:t>1.74</w:t>
            </w: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Arial" w:cs="Arial" w:eastAsia="Arial" w:hAnsi="Arial"/>
                <w:sz w:val="17"/>
                <w:szCs w:val="17"/>
                <w:color w:val="auto"/>
              </w:rPr>
              <w:t>Vested</w:t>
            </w:r>
          </w:p>
        </w:tc>
        <w:tc>
          <w:tcPr>
            <w:tcW w:w="1060" w:type="dxa"/>
            <w:vAlign w:val="bottom"/>
            <w:gridSpan w:val="3"/>
          </w:tcPr>
          <w:p>
            <w:pPr>
              <w:jc w:val="right"/>
              <w:ind w:right="220"/>
              <w:spacing w:after="0"/>
              <w:rPr>
                <w:sz w:val="20"/>
                <w:szCs w:val="20"/>
                <w:color w:val="auto"/>
              </w:rPr>
            </w:pPr>
            <w:r>
              <w:rPr>
                <w:rFonts w:ascii="Arial" w:cs="Arial" w:eastAsia="Arial" w:hAnsi="Arial"/>
                <w:sz w:val="17"/>
                <w:szCs w:val="17"/>
                <w:color w:val="auto"/>
              </w:rPr>
              <w:t>(74,049)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2.75</w:t>
            </w:r>
          </w:p>
        </w:tc>
        <w:tc>
          <w:tcPr>
            <w:tcW w:w="10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left="2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(72,149)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2.78</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2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color w:val="auto"/>
              </w:rPr>
              <w:t>Non-vested at September 30, 2021</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2,799,864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2.02</w:t>
            </w:r>
          </w:p>
        </w:tc>
        <w:tc>
          <w:tcPr>
            <w:tcW w:w="10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left="2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In connection with the Reorganization Transactions and the IPO, 912,651 vested Class B Units held directly by employees of the Company or indirectly through Definitive OpCo were exchanged into 578,217 vested Definitive OpCo units based on their respective participation thresholds and the IPO price of $27.00 per share.</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0780"/>
          </w:cols>
          <w:pgMar w:left="320" w:top="440" w:right="79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40" w:firstLine="413"/>
        <w:spacing w:after="0" w:line="296" w:lineRule="auto"/>
        <w:rPr>
          <w:sz w:val="20"/>
          <w:szCs w:val="20"/>
          <w:color w:val="auto"/>
        </w:rPr>
      </w:pPr>
      <w:r>
        <w:rPr>
          <w:rFonts w:ascii="Arial" w:cs="Arial" w:eastAsia="Arial" w:hAnsi="Arial"/>
          <w:sz w:val="15"/>
          <w:szCs w:val="15"/>
          <w:color w:val="auto"/>
        </w:rPr>
        <w:t>The Company recorded $1.5 million in stock-based compensation expense associated with time-based units in the nine months ended September 30, 2021. The Company recorded $1.3 million in stock-based compensation expense associated with unexchanged time-based units in the nine months ended September 30, 2020. At September 30, 2021, the Company had approximately $18.4 million of unrecognized unit-based compensation expense for unvested time-based units, including those that were exchanged for time-based units at IPO. The expense, which will be recorded under the terms of the 2019 Plan, is expected to be recognized over a weighted-average period of approximately 2.8 years.</w:t>
      </w:r>
    </w:p>
    <w:p>
      <w:pPr>
        <w:spacing w:after="0" w:line="291" w:lineRule="exact"/>
        <w:rPr>
          <w:sz w:val="20"/>
          <w:szCs w:val="20"/>
          <w:color w:val="auto"/>
        </w:rPr>
      </w:pPr>
    </w:p>
    <w:p>
      <w:pPr>
        <w:ind w:left="860" w:hanging="403"/>
        <w:spacing w:after="0"/>
        <w:tabs>
          <w:tab w:leader="none" w:pos="86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08" w:lineRule="exact"/>
        <w:rPr>
          <w:sz w:val="20"/>
          <w:szCs w:val="20"/>
          <w:color w:val="auto"/>
        </w:rPr>
      </w:pPr>
    </w:p>
    <w:p>
      <w:pPr>
        <w:jc w:val="both"/>
        <w:ind w:left="460" w:right="300" w:firstLine="413"/>
        <w:spacing w:after="0" w:line="260"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incurred $1.7 million in employer matching contributions during the nine months ended September 30, 2021, and $1.1 million during the nine months ended September 30, 2020.</w:t>
      </w:r>
    </w:p>
    <w:p>
      <w:pPr>
        <w:spacing w:after="0" w:line="314" w:lineRule="exact"/>
        <w:rPr>
          <w:sz w:val="20"/>
          <w:szCs w:val="20"/>
          <w:color w:val="auto"/>
        </w:rPr>
      </w:pPr>
    </w:p>
    <w:p>
      <w:pPr>
        <w:ind w:left="860" w:hanging="403"/>
        <w:spacing w:after="0"/>
        <w:tabs>
          <w:tab w:leader="none" w:pos="86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08"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 xml:space="preserve">As described in Note 1. </w:t>
      </w:r>
      <w:r>
        <w:rPr>
          <w:rFonts w:ascii="Arial" w:cs="Arial" w:eastAsia="Arial" w:hAnsi="Arial"/>
          <w:sz w:val="16"/>
          <w:szCs w:val="16"/>
          <w:i w:val="1"/>
          <w:iCs w:val="1"/>
          <w:color w:val="auto"/>
        </w:rPr>
        <w:t>Business Organization</w:t>
      </w:r>
      <w:r>
        <w:rPr>
          <w:rFonts w:ascii="Arial" w:cs="Arial" w:eastAsia="Arial" w:hAnsi="Arial"/>
          <w:sz w:val="16"/>
          <w:szCs w:val="16"/>
          <w:color w:val="auto"/>
        </w:rPr>
        <w:t xml:space="preserve"> and Note 12. </w:t>
      </w:r>
      <w:r>
        <w:rPr>
          <w:rFonts w:ascii="Arial" w:cs="Arial" w:eastAsia="Arial" w:hAnsi="Arial"/>
          <w:sz w:val="16"/>
          <w:szCs w:val="16"/>
          <w:i w:val="1"/>
          <w:iCs w:val="1"/>
          <w:color w:val="auto"/>
        </w:rPr>
        <w:t>Stockholders’ Equity and Members’ Equity</w:t>
      </w:r>
      <w:r>
        <w:rPr>
          <w:rFonts w:ascii="Arial" w:cs="Arial" w:eastAsia="Arial" w:hAnsi="Arial"/>
          <w:sz w:val="16"/>
          <w:szCs w:val="16"/>
          <w:color w:val="auto"/>
        </w:rPr>
        <w:t>, as a result of the IPO, Definitive Healthcare Corp. began consolidating the financial results of Definitive OpCo. Definitive OpCo is treated as a partnership for U.S. federal and most applicable state and local income tax purposes. As a partnership, Definitive OpCo is not subject to U.S. federal and certain state and local income taxes. Any taxable income or loss generated by Definitive OpCo is passed through to and included in the taxable income or loss of its members, including Definitive Healthcare Corp., based on its economic interest held in Definitive OpCo. Definitive Healthcare Corp. was formed on May 5, 2021 and did not engage in any operations prior to the IPO. Definitive Healthcare Corp. is taxed as a corporation and is subject to U.S. federal, state, and local income taxes with respect to its allocable share of any taxable income or loss of Definitive OpCo, as well as such taxes on any stand-alone income or loss generated by Definitive Healthcare Corp. The Company has recorded an immaterial amount of tax expense associated with corporations owned by Definitive OpCo within general and administrative expense.</w:t>
      </w:r>
    </w:p>
    <w:p>
      <w:pPr>
        <w:spacing w:after="0" w:line="170"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As of September 30, 2021, management performed an assessment of the recoverability of deferred tax assets. Management determined, based on the accounting standards applicable to such assessment, that sufficient negative evidence to conclude it was more likely than not that its deferred tax assets would not be realized and has recorded a valuation allowance against substantially all of its deferred tax assets. In the event that management determines the Company would be able to realize its deferred tax assets in the future in excess of their net recorded amount, an adjustment to the valuation allowance would be made which would reduce the provision for income taxes.</w:t>
      </w:r>
    </w:p>
    <w:p>
      <w:pPr>
        <w:spacing w:after="0" w:line="165" w:lineRule="exact"/>
        <w:rPr>
          <w:sz w:val="20"/>
          <w:szCs w:val="20"/>
          <w:color w:val="auto"/>
        </w:rPr>
      </w:pPr>
    </w:p>
    <w:p>
      <w:pPr>
        <w:ind w:left="460" w:right="340" w:firstLine="413"/>
        <w:spacing w:after="0" w:line="260" w:lineRule="auto"/>
        <w:rPr>
          <w:sz w:val="20"/>
          <w:szCs w:val="20"/>
          <w:color w:val="auto"/>
        </w:rPr>
      </w:pPr>
      <w:r>
        <w:rPr>
          <w:rFonts w:ascii="Arial" w:cs="Arial" w:eastAsia="Arial" w:hAnsi="Arial"/>
          <w:sz w:val="17"/>
          <w:szCs w:val="17"/>
          <w:color w:val="auto"/>
        </w:rPr>
        <w:t>As of September 30, 2021 the Company has a net deferred tax liability of $71.3 million which was recorded through equity as part of the Reorganization Transactions. The net deferred tax liability principally relates to taxable temporary differences that cannot be considered a source of income to recover the deferred tax assets due to attribute limitation rules.</w:t>
      </w:r>
    </w:p>
    <w:p>
      <w:pPr>
        <w:spacing w:after="0" w:line="175" w:lineRule="exact"/>
        <w:rPr>
          <w:sz w:val="20"/>
          <w:szCs w:val="20"/>
          <w:color w:val="auto"/>
        </w:rPr>
      </w:pPr>
    </w:p>
    <w:p>
      <w:pPr>
        <w:jc w:val="both"/>
        <w:ind w:left="460" w:right="180" w:firstLine="413"/>
        <w:spacing w:after="0" w:line="311" w:lineRule="auto"/>
        <w:rPr>
          <w:sz w:val="20"/>
          <w:szCs w:val="20"/>
          <w:color w:val="auto"/>
        </w:rPr>
      </w:pPr>
      <w:r>
        <w:rPr>
          <w:rFonts w:ascii="Arial" w:cs="Arial" w:eastAsia="Arial" w:hAnsi="Arial"/>
          <w:sz w:val="15"/>
          <w:szCs w:val="15"/>
          <w:color w:val="auto"/>
        </w:rPr>
        <w:t>The Company recognizes uncertain income tax positions when it is more-likely-than-not the position will be sustained upon examination. As of September 30, 2021 and December 31, 2020, the Company has not identified any uncertain tax positions and has not recognized any related reserves. The Company’s effective tax rate was (0.3)% and 0.0% for the nine months ended September 30, 2021 and 2020, respectively.</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108" w:lineRule="exact"/>
        <w:rPr>
          <w:sz w:val="20"/>
          <w:szCs w:val="20"/>
          <w:color w:val="auto"/>
        </w:rPr>
      </w:pPr>
    </w:p>
    <w:p>
      <w:pPr>
        <w:jc w:val="both"/>
        <w:ind w:left="460" w:right="140" w:firstLine="413"/>
        <w:spacing w:after="0" w:line="260" w:lineRule="auto"/>
        <w:rPr>
          <w:sz w:val="20"/>
          <w:szCs w:val="20"/>
          <w:color w:val="auto"/>
        </w:rPr>
      </w:pPr>
      <w:r>
        <w:rPr>
          <w:rFonts w:ascii="Arial" w:cs="Arial" w:eastAsia="Arial" w:hAnsi="Arial"/>
          <w:sz w:val="17"/>
          <w:szCs w:val="17"/>
          <w:color w:val="auto"/>
        </w:rPr>
        <w:t>Pursuant to the Company’s election under Section 754 of the Internal Revenue Code of 1986, as amended (the “Code”), the Company expects to obtain an increase in its share of the tax basis in the net assets of Definitive OpCo when LLC Interests are redeemed or exchanged by other members. The Company plans to</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F-70</w:t>
      </w:r>
    </w:p>
    <w:p>
      <w:pPr>
        <w:sectPr>
          <w:pgSz w:w="11900" w:h="16838" w:orient="portrait"/>
          <w:cols w:equalWidth="0" w:num="1">
            <w:col w:w="10760"/>
          </w:cols>
          <w:pgMar w:left="320" w:top="440" w:right="81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spacing w:after="0" w:line="277" w:lineRule="auto"/>
        <w:rPr>
          <w:sz w:val="20"/>
          <w:szCs w:val="20"/>
          <w:color w:val="auto"/>
        </w:rPr>
      </w:pPr>
      <w:r>
        <w:rPr>
          <w:rFonts w:ascii="Arial" w:cs="Arial" w:eastAsia="Arial" w:hAnsi="Arial"/>
          <w:sz w:val="16"/>
          <w:szCs w:val="16"/>
          <w:color w:val="auto"/>
        </w:rPr>
        <w:t>make an election under Section 754 of the Code for each taxable year in which a redemption of exchange of LLC Interest occurs.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assets to the extent tax basis is allocated to those assets.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connection with the IPO, the Company entered into a Tax Receivable Agreement (“TRA”) and recorded a liability under the TRA of</w:t>
      </w:r>
    </w:p>
    <w:p>
      <w:pPr>
        <w:spacing w:after="0" w:line="19" w:lineRule="exact"/>
        <w:rPr>
          <w:sz w:val="20"/>
          <w:szCs w:val="20"/>
          <w:color w:val="auto"/>
        </w:rPr>
      </w:pPr>
    </w:p>
    <w:p>
      <w:pPr>
        <w:ind w:left="460" w:right="20"/>
        <w:spacing w:after="0" w:line="267" w:lineRule="auto"/>
        <w:rPr>
          <w:sz w:val="20"/>
          <w:szCs w:val="20"/>
          <w:color w:val="auto"/>
        </w:rPr>
      </w:pPr>
      <w:r>
        <w:rPr>
          <w:rFonts w:ascii="Arial" w:cs="Arial" w:eastAsia="Arial" w:hAnsi="Arial"/>
          <w:sz w:val="16"/>
          <w:szCs w:val="16"/>
          <w:color w:val="auto"/>
        </w:rPr>
        <w:t>$146.1 million as of September 30, 2021 through equity as part of the Reorganization Transactions. Under the TRA, the Company generally will be required to pay certain of our pre-IPO owners 85% of the amount of cash savings, if any, in U.S. federal, state, or local tax that the Company actually realizes directly or indirectly (or is deemed to realize in certain circumstances) as a result of (i) certain tax attributes created as a result of any sales or exchanges (as determined for U.S. federal income tax purposes) to or with the Company of their interests in Definitive OpCo, including any basis adjustment relating to the assets of Definitive OpCo, (ii) certain favorable tax attributes acquired by the Company from the Blocker Companies in the Reorganization Transactions (including net operating losses and the unamortized portion of the increase in tax basis in the tangible and intangible assets of Definitive OpCo resulting from the prior acquisitions of interests in Definitive OpCo by the Blocker Companies), and (iii) tax benefits attributable to payments made under the TRA. The Company expects to benefit from the remaining 15% of any tax benefits that it may realize. To the extent that the Company is unable to timely make payments under the TRA for any reason, such payments generally will be deferred and will accrue interest until paid. No amounts are expected to be paid within the next 12 months.</w:t>
      </w:r>
    </w:p>
    <w:p>
      <w:pPr>
        <w:spacing w:after="0" w:line="309" w:lineRule="exact"/>
        <w:rPr>
          <w:sz w:val="20"/>
          <w:szCs w:val="20"/>
          <w:color w:val="auto"/>
        </w:rPr>
      </w:pPr>
    </w:p>
    <w:p>
      <w:pPr>
        <w:ind w:left="860" w:hanging="403"/>
        <w:spacing w:after="0"/>
        <w:tabs>
          <w:tab w:leader="none" w:pos="86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Loss Per Share</w:t>
      </w:r>
    </w:p>
    <w:p>
      <w:pPr>
        <w:spacing w:after="0" w:line="108"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181" w:lineRule="exact"/>
        <w:rPr>
          <w:sz w:val="20"/>
          <w:szCs w:val="20"/>
          <w:color w:val="auto"/>
        </w:rPr>
      </w:pPr>
    </w:p>
    <w:p>
      <w:pPr>
        <w:ind w:left="460" w:right="140" w:firstLine="413"/>
        <w:spacing w:after="0" w:line="311" w:lineRule="auto"/>
        <w:rPr>
          <w:sz w:val="20"/>
          <w:szCs w:val="20"/>
          <w:color w:val="auto"/>
        </w:rPr>
      </w:pPr>
      <w:r>
        <w:rPr>
          <w:rFonts w:ascii="Arial" w:cs="Arial" w:eastAsia="Arial" w:hAnsi="Arial"/>
          <w:sz w:val="15"/>
          <w:szCs w:val="15"/>
          <w:color w:val="auto"/>
        </w:rPr>
        <w:t>Prior to the IPO, the Definitive OpCo membership structure included Class A and Class B member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nine months ended September 30, 2020.</w:t>
      </w:r>
    </w:p>
    <w:p>
      <w:pPr>
        <w:spacing w:after="0" w:line="140"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net loss per share of Class A Common Stock for the nine-months ended September 30, 2021. The basic and diluted earnings per share for the nine-months ended September 30, 2021 reflects only the period from September 15, 2021 to September 30, 2021, which represents the period wherein the Company had outstanding Class A Common Stock.</w:t>
      </w:r>
    </w:p>
    <w:p>
      <w:pPr>
        <w:spacing w:after="0" w:line="186"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0"/>
        </w:trPr>
        <w:tc>
          <w:tcPr>
            <w:tcW w:w="52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Numerator:</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7"/>
                <w:szCs w:val="17"/>
                <w:color w:val="auto"/>
              </w:rPr>
              <w:t>Net loss</w:t>
            </w:r>
          </w:p>
        </w:tc>
        <w:tc>
          <w:tcPr>
            <w:tcW w:w="6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(46,493)</w:t>
            </w:r>
          </w:p>
        </w:tc>
        <w:tc>
          <w:tcPr>
            <w:tcW w:w="0" w:type="dxa"/>
            <w:vAlign w:val="bottom"/>
          </w:tcPr>
          <w:p>
            <w:pPr>
              <w:spacing w:after="0"/>
              <w:rPr>
                <w:sz w:val="1"/>
                <w:szCs w:val="1"/>
                <w:color w:val="auto"/>
              </w:rPr>
            </w:pPr>
          </w:p>
        </w:tc>
      </w:tr>
      <w:tr>
        <w:trPr>
          <w:trHeight w:val="190"/>
        </w:trPr>
        <w:tc>
          <w:tcPr>
            <w:tcW w:w="52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Less: Net loss attributable to Definitive OpCo before Reorganization</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Transactions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(33,343)</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7"/>
                <w:szCs w:val="17"/>
                <w:color w:val="auto"/>
              </w:rPr>
              <w:t>Less: Net loss attributable to noncontrolling interests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(5,172)</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Definitive Healthcare Corp.</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(7,978)</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3340"/>
              <w:spacing w:after="0"/>
              <w:rPr>
                <w:sz w:val="20"/>
                <w:szCs w:val="20"/>
                <w:color w:val="auto"/>
              </w:rPr>
            </w:pPr>
            <w:r>
              <w:rPr>
                <w:rFonts w:ascii="Arial" w:cs="Arial" w:eastAsia="Arial" w:hAnsi="Arial"/>
                <w:sz w:val="17"/>
                <w:szCs w:val="17"/>
                <w:color w:val="auto"/>
              </w:rPr>
              <w:t>F-71</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sets forth the computation of basic and diluted net loss per share of Class A Common Stock (per share amounts unaudited):</w:t>
      </w:r>
    </w:p>
    <w:p>
      <w:pPr>
        <w:sectPr>
          <w:pgSz w:w="11900" w:h="16838" w:orient="portrait"/>
          <w:cols w:equalWidth="0" w:num="1">
            <w:col w:w="10760"/>
          </w:cols>
          <w:pgMar w:left="320" w:top="440" w:right="81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120"/>
        <w:spacing w:after="0"/>
        <w:rPr>
          <w:sz w:val="20"/>
          <w:szCs w:val="20"/>
          <w:color w:val="auto"/>
        </w:rPr>
      </w:pPr>
      <w:r>
        <w:rPr>
          <w:rFonts w:ascii="Arial" w:cs="Arial" w:eastAsia="Arial" w:hAnsi="Arial"/>
          <w:sz w:val="13"/>
          <w:szCs w:val="13"/>
          <w:b w:val="1"/>
          <w:bCs w:val="1"/>
          <w:i w:val="1"/>
          <w:iCs w:val="1"/>
          <w:color w:val="auto"/>
        </w:rPr>
        <w:t>(in thousands, except number of shares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5080</wp:posOffset>
            </wp:positionV>
            <wp:extent cx="4455160" cy="1289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4"/>
          <w:szCs w:val="14"/>
          <w:b w:val="1"/>
          <w:bCs w:val="1"/>
          <w:color w:val="auto"/>
        </w:rPr>
        <w:t>Basic net loss per share attributable to common stockholders</w:t>
      </w:r>
    </w:p>
    <w:p>
      <w:pPr>
        <w:spacing w:after="0" w:line="3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Numerator:</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Allocation of net loss attributable to Definitive Healthcare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-108585</wp:posOffset>
            </wp:positionV>
            <wp:extent cx="4455160" cy="1289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spacing w:after="0" w:line="10"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Weighted average number of shares of Class A outstanding</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-115570</wp:posOffset>
            </wp:positionV>
            <wp:extent cx="4455160" cy="1289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1720"/>
        <w:spacing w:after="0"/>
        <w:rPr>
          <w:sz w:val="20"/>
          <w:szCs w:val="20"/>
          <w:color w:val="auto"/>
        </w:rPr>
      </w:pPr>
      <w:r>
        <w:rPr>
          <w:rFonts w:ascii="Arial" w:cs="Arial" w:eastAsia="Arial" w:hAnsi="Arial"/>
          <w:sz w:val="12"/>
          <w:szCs w:val="12"/>
          <w:b w:val="1"/>
          <w:bCs w:val="1"/>
          <w:color w:val="auto"/>
        </w:rPr>
        <w:t>Nine Months Ended</w:t>
      </w:r>
    </w:p>
    <w:p>
      <w:pPr>
        <w:spacing w:after="0" w:line="5" w:lineRule="exact"/>
        <w:rPr>
          <w:sz w:val="20"/>
          <w:szCs w:val="20"/>
          <w:color w:val="auto"/>
        </w:rPr>
      </w:pPr>
    </w:p>
    <w:p>
      <w:pPr>
        <w:jc w:val="center"/>
        <w:ind w:right="1720"/>
        <w:spacing w:after="0"/>
        <w:rPr>
          <w:sz w:val="20"/>
          <w:szCs w:val="20"/>
          <w:color w:val="auto"/>
        </w:rPr>
      </w:pPr>
      <w:r>
        <w:rPr>
          <w:rFonts w:ascii="Arial" w:cs="Arial" w:eastAsia="Arial" w:hAnsi="Arial"/>
          <w:sz w:val="13"/>
          <w:szCs w:val="13"/>
          <w:b w:val="1"/>
          <w:bCs w:val="1"/>
          <w:color w:val="auto"/>
        </w:rPr>
        <w:t>September 30,</w:t>
      </w:r>
    </w:p>
    <w:p>
      <w:pPr>
        <w:jc w:val="center"/>
        <w:ind w:right="1720"/>
        <w:spacing w:after="0"/>
        <w:rPr>
          <w:sz w:val="20"/>
          <w:szCs w:val="20"/>
          <w:color w:val="auto"/>
        </w:rPr>
      </w:pPr>
      <w:r>
        <w:rPr>
          <w:rFonts w:ascii="Arial" w:cs="Arial" w:eastAsia="Arial" w:hAnsi="Arial"/>
          <w:sz w:val="13"/>
          <w:szCs w:val="13"/>
          <w:b w:val="1"/>
          <w:bCs w:val="1"/>
          <w:color w:val="auto"/>
        </w:rPr>
        <w:t>2021</w:t>
      </w:r>
    </w:p>
    <w:p>
      <w:pPr>
        <w:spacing w:after="0" w:line="389" w:lineRule="exact"/>
        <w:rPr>
          <w:sz w:val="20"/>
          <w:szCs w:val="20"/>
          <w:color w:val="auto"/>
        </w:rPr>
      </w:pPr>
    </w:p>
    <w:p>
      <w:pPr>
        <w:ind w:left="740" w:hanging="735"/>
        <w:spacing w:after="0"/>
        <w:tabs>
          <w:tab w:leader="none" w:pos="74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(7,978)</w:t>
      </w:r>
    </w:p>
    <w:p>
      <w:pPr>
        <w:spacing w:after="0" w:line="41"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5"/>
          <w:szCs w:val="15"/>
          <w:color w:val="auto"/>
        </w:rPr>
        <w:t>88,263,333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397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24" w:lineRule="exact"/>
        <w:rPr>
          <w:sz w:val="20"/>
          <w:szCs w:val="20"/>
          <w:color w:val="auto"/>
        </w:rPr>
      </w:pPr>
    </w:p>
    <w:p>
      <w:pPr>
        <w:ind w:left="820" w:hanging="815"/>
        <w:spacing w:after="0"/>
        <w:tabs>
          <w:tab w:leader="none" w:pos="82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397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397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397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140" w:space="720"/>
            <w:col w:w="2900"/>
          </w:cols>
          <w:pgMar w:left="320" w:top="440" w:right="819" w:bottom="1440" w:gutter="0" w:footer="0" w:header="0"/>
          <w:type w:val="continuous"/>
        </w:sectPr>
      </w:pPr>
    </w:p>
    <w:p>
      <w:pPr>
        <w:spacing w:after="0" w:line="60"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175"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7"/>
          <w:szCs w:val="17"/>
          <w:color w:val="auto"/>
        </w:rPr>
        <w:t>The following table presents potentially dilutive securities excluded from the computation of diluted net loss per share for the period presented because their effect would have been anti-dilutive:</w:t>
      </w:r>
    </w:p>
    <w:p>
      <w:pPr>
        <w:spacing w:after="0" w:line="172"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Nine Months Ended</w:t>
            </w:r>
          </w:p>
        </w:tc>
      </w:tr>
      <w:tr>
        <w:trPr>
          <w:trHeight w:val="139"/>
        </w:trPr>
        <w:tc>
          <w:tcPr>
            <w:tcW w:w="5800" w:type="dxa"/>
            <w:vAlign w:val="bottom"/>
          </w:tcPr>
          <w:p>
            <w:pPr>
              <w:spacing w:after="0"/>
              <w:rPr>
                <w:sz w:val="12"/>
                <w:szCs w:val="12"/>
                <w:color w:val="auto"/>
              </w:rPr>
            </w:pPr>
          </w:p>
        </w:tc>
        <w:tc>
          <w:tcPr>
            <w:tcW w:w="122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2"/>
              </w:rPr>
              <w:t>September 30,</w:t>
            </w:r>
          </w:p>
        </w:tc>
      </w:tr>
      <w:tr>
        <w:trPr>
          <w:trHeight w:val="160"/>
        </w:trPr>
        <w:tc>
          <w:tcPr>
            <w:tcW w:w="58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60" w:type="dxa"/>
            <w:vAlign w:val="bottom"/>
            <w:tcBorders>
              <w:bottom w:val="single" w:sz="8" w:color="CCEEFF"/>
            </w:tcBorders>
          </w:tcPr>
          <w:p>
            <w:pPr>
              <w:spacing w:after="0"/>
              <w:rPr>
                <w:sz w:val="13"/>
                <w:szCs w:val="13"/>
                <w:color w:val="auto"/>
              </w:rPr>
            </w:pPr>
          </w:p>
        </w:tc>
      </w:tr>
      <w:tr>
        <w:trPr>
          <w:trHeight w:val="195"/>
        </w:trPr>
        <w:tc>
          <w:tcPr>
            <w:tcW w:w="5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Definitive OpCo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57,192,893</w:t>
            </w:r>
          </w:p>
        </w:tc>
        <w:tc>
          <w:tcPr>
            <w:tcW w:w="60" w:type="dxa"/>
            <w:vAlign w:val="bottom"/>
            <w:shd w:val="clear" w:color="auto" w:fill="CCEEFF"/>
          </w:tcPr>
          <w:p>
            <w:pPr>
              <w:spacing w:after="0"/>
              <w:rPr>
                <w:sz w:val="16"/>
                <w:szCs w:val="16"/>
                <w:color w:val="auto"/>
              </w:rPr>
            </w:pPr>
          </w:p>
        </w:tc>
      </w:tr>
    </w:tbl>
    <w:p>
      <w:pPr>
        <w:spacing w:after="0" w:line="329" w:lineRule="exact"/>
        <w:rPr>
          <w:sz w:val="20"/>
          <w:szCs w:val="20"/>
          <w:color w:val="auto"/>
        </w:rPr>
      </w:pPr>
    </w:p>
    <w:p>
      <w:pPr>
        <w:ind w:left="860" w:hanging="403"/>
        <w:spacing w:after="0"/>
        <w:tabs>
          <w:tab w:leader="none" w:pos="86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Revenues by geographic area presented based upon the location of the customer are as follows: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tcPr>
          <w:p>
            <w:pPr>
              <w:ind w:left="20"/>
              <w:spacing w:after="0"/>
              <w:rPr>
                <w:sz w:val="20"/>
                <w:szCs w:val="20"/>
                <w:color w:val="auto"/>
              </w:rPr>
            </w:pPr>
            <w:r>
              <w:rPr>
                <w:rFonts w:ascii="Arial" w:cs="Arial" w:eastAsia="Arial" w:hAnsi="Arial"/>
                <w:sz w:val="13"/>
                <w:szCs w:val="13"/>
                <w:b w:val="1"/>
                <w:bCs w:val="1"/>
                <w:color w:val="auto"/>
              </w:rPr>
              <w:t>For the Nine Months Ended</w:t>
            </w:r>
          </w:p>
        </w:tc>
        <w:tc>
          <w:tcPr>
            <w:tcW w:w="0" w:type="dxa"/>
            <w:vAlign w:val="bottom"/>
          </w:tcPr>
          <w:p>
            <w:pPr>
              <w:spacing w:after="0"/>
              <w:rPr>
                <w:sz w:val="1"/>
                <w:szCs w:val="1"/>
                <w:color w:val="auto"/>
              </w:rPr>
            </w:pPr>
          </w:p>
        </w:tc>
      </w:tr>
      <w:tr>
        <w:trPr>
          <w:trHeight w:val="160"/>
        </w:trPr>
        <w:tc>
          <w:tcPr>
            <w:tcW w:w="59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90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64"/>
              <w:spacing w:after="0" w:line="132" w:lineRule="exact"/>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0"/>
              <w:spacing w:after="0" w:line="132" w:lineRule="exact"/>
              <w:rPr>
                <w:sz w:val="20"/>
                <w:szCs w:val="20"/>
                <w:color w:val="auto"/>
              </w:rPr>
            </w:pPr>
            <w:r>
              <w:rPr>
                <w:rFonts w:ascii="Arial" w:cs="Arial" w:eastAsia="Arial" w:hAnsi="Arial"/>
                <w:sz w:val="13"/>
                <w:szCs w:val="13"/>
                <w:b w:val="1"/>
                <w:bCs w:val="1"/>
                <w:color w:val="auto"/>
                <w:w w:val="96"/>
              </w:rPr>
              <w:t>2020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114,339</w:t>
            </w: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84,659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7"/>
                <w:szCs w:val="17"/>
                <w:color w:val="auto"/>
              </w:rPr>
              <w:t>Rest of world</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5,502</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119,841</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84,659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0"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68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Arial" w:cs="Arial" w:eastAsia="Arial" w:hAnsi="Arial"/>
                <w:sz w:val="13"/>
                <w:szCs w:val="13"/>
                <w:b w:val="1"/>
                <w:bCs w:val="1"/>
                <w:color w:val="auto"/>
              </w:rPr>
              <w:t>September 30, 2021</w:t>
            </w:r>
          </w:p>
        </w:tc>
        <w:tc>
          <w:tcPr>
            <w:tcW w:w="56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w w:val="93"/>
              </w:rPr>
              <w:t>December 31, 2020</w:t>
            </w:r>
          </w:p>
        </w:tc>
      </w:tr>
      <w:tr>
        <w:trPr>
          <w:trHeight w:val="195"/>
        </w:trPr>
        <w:tc>
          <w:tcPr>
            <w:tcW w:w="2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16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4,311</w:t>
            </w:r>
          </w:p>
        </w:tc>
        <w:tc>
          <w:tcPr>
            <w:tcW w:w="5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7"/>
                <w:szCs w:val="17"/>
                <w:color w:val="auto"/>
              </w:rPr>
              <w:t>Rest of world</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rPr>
              <w:t>386</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r>
      <w:tr>
        <w:trPr>
          <w:trHeight w:val="25"/>
        </w:trPr>
        <w:tc>
          <w:tcPr>
            <w:tcW w:w="2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2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1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4,697</w:t>
            </w: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3,248</w:t>
            </w:r>
          </w:p>
        </w:tc>
      </w:tr>
      <w:tr>
        <w:trPr>
          <w:trHeight w:val="20"/>
        </w:trPr>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2800" w:type="dxa"/>
            <w:vAlign w:val="bottom"/>
          </w:tcPr>
          <w:p>
            <w:pPr>
              <w:spacing w:after="0"/>
              <w:rPr>
                <w:sz w:val="24"/>
                <w:szCs w:val="24"/>
                <w:color w:val="auto"/>
              </w:rPr>
            </w:pPr>
          </w:p>
        </w:tc>
        <w:tc>
          <w:tcPr>
            <w:tcW w:w="2100" w:type="dxa"/>
            <w:vAlign w:val="bottom"/>
            <w:gridSpan w:val="2"/>
          </w:tcPr>
          <w:p>
            <w:pPr>
              <w:ind w:left="960"/>
              <w:spacing w:after="0"/>
              <w:rPr>
                <w:sz w:val="20"/>
                <w:szCs w:val="20"/>
                <w:color w:val="auto"/>
              </w:rPr>
            </w:pPr>
            <w:r>
              <w:rPr>
                <w:rFonts w:ascii="Arial" w:cs="Arial" w:eastAsia="Arial" w:hAnsi="Arial"/>
                <w:sz w:val="17"/>
                <w:szCs w:val="17"/>
                <w:color w:val="auto"/>
              </w:rPr>
              <w:t>F-72</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60"/>
          </w:cols>
          <w:pgMar w:left="320" w:top="440" w:right="819" w:bottom="1440" w:gutter="0" w:footer="0" w:header="0"/>
          <w:type w:val="continuous"/>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08"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The Company has engaged in revenue transactions within the ordinary course of business with entities affiliated with its private equity sponsors and with members of the Company’s board of directors. During each of the nine months ended September 30, 2021 and 2020 the Company recorded revenue of $0.7 million and $0.6 million, respectively. The associated receivable for the revenue transactions amounted to $0.1 million and $0.7 million at September 30, 2021 and December 31, 2020, respectively.</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Company reimburses its private equity sponsors for services and any related travel and out-of-pocket expenses. During the nine months ended September 30, 2021, the Company had expenses for services, travel and out-of-pocket expenses to its private equity sponsors of $0.2 million and was not material for the nine months ended September 30, 2020. The associated payable for the service transactions was not material at September 30, 2021 and December 31, 2020.</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On September 17, 2021, Definitive OpCo entered into an agreement to reimburse approximately $0.9 million in aggregate documented expenses incurred by Advent International, 22C Capital LLC (“22C Capital”), Spectrum Equity Management, L.P. (“Spectrum Equity”), Jason Krantz and MHDH AB and in connection with the Reorganization Transactions. The amounts were included in accrued expenses and other current liabilities as of September 30, 2021 and are expected to be paid in the fourth quarter of 2021.</w:t>
      </w:r>
    </w:p>
    <w:p>
      <w:pPr>
        <w:spacing w:after="0" w:line="179" w:lineRule="exact"/>
        <w:rPr>
          <w:sz w:val="20"/>
          <w:szCs w:val="20"/>
          <w:color w:val="auto"/>
        </w:rPr>
      </w:pPr>
    </w:p>
    <w:p>
      <w:pPr>
        <w:ind w:left="460" w:right="300" w:firstLine="413"/>
        <w:spacing w:after="0" w:line="301" w:lineRule="auto"/>
        <w:rPr>
          <w:sz w:val="20"/>
          <w:szCs w:val="20"/>
          <w:color w:val="auto"/>
        </w:rPr>
      </w:pPr>
      <w:r>
        <w:rPr>
          <w:rFonts w:ascii="Arial" w:cs="Arial" w:eastAsia="Arial" w:hAnsi="Arial"/>
          <w:sz w:val="15"/>
          <w:szCs w:val="15"/>
          <w:color w:val="auto"/>
        </w:rPr>
        <w:t>During the second quarter of 2021, the Company issued 363,516 new Class A units worth $5.8 million to members of the Company’s board of directors. Further, in connection with Definitive Healthcare’s IPO, the underwriters reserved 5% of the common shares for sale at the initial offering price to the Company’s directors, officers and selected senior managers (the “Directed Share Program”). Richard Booth and Samuel A. Hamood participated in the Directed Share Program and purchased 7,407 and 37,037 shares of Class A Common Stock, respectively.</w:t>
      </w:r>
    </w:p>
    <w:p>
      <w:pPr>
        <w:spacing w:after="0" w:line="287" w:lineRule="exact"/>
        <w:rPr>
          <w:sz w:val="20"/>
          <w:szCs w:val="20"/>
          <w:color w:val="auto"/>
        </w:rPr>
      </w:pPr>
    </w:p>
    <w:p>
      <w:pPr>
        <w:ind w:left="860" w:hanging="403"/>
        <w:spacing w:after="0"/>
        <w:tabs>
          <w:tab w:leader="none" w:pos="86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Noncontrolling Interest</w:t>
      </w:r>
    </w:p>
    <w:p>
      <w:pPr>
        <w:spacing w:after="0" w:line="108"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Definitive OpCo Units held by Continuing LLC Members. Changes in Definitive Healthcare Corp.’s ownership interest in its consolidated subsidiaries are accounted for as equity transactions. As such, future redemptions or direct exchanges of OpCo Units by Continuing LLC Members will result in a change in ownership and reduce or increase the amount recorded as Noncontrolling interests and increase or decrease Additional paid-in capital in the Company’s Condensed Consolidated Balance Sheets.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As of September 30, 2021, Definitive Healthcare Corp. held 88,263,333 units in the Definitive OpCo resulting in an ownership interest of 60.7%.</w:t>
      </w:r>
    </w:p>
    <w:p>
      <w:pPr>
        <w:spacing w:after="0" w:line="372" w:lineRule="exact"/>
        <w:rPr>
          <w:sz w:val="20"/>
          <w:szCs w:val="20"/>
          <w:color w:val="auto"/>
        </w:rPr>
      </w:pPr>
    </w:p>
    <w:p>
      <w:pPr>
        <w:ind w:left="860" w:hanging="403"/>
        <w:spacing w:after="0"/>
        <w:tabs>
          <w:tab w:leader="none" w:pos="86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08" w:lineRule="exact"/>
        <w:rPr>
          <w:sz w:val="20"/>
          <w:szCs w:val="20"/>
          <w:color w:val="auto"/>
        </w:rPr>
      </w:pPr>
    </w:p>
    <w:p>
      <w:pPr>
        <w:jc w:val="both"/>
        <w:ind w:left="460" w:right="300" w:firstLine="413"/>
        <w:spacing w:after="0" w:line="287" w:lineRule="auto"/>
        <w:rPr>
          <w:sz w:val="20"/>
          <w:szCs w:val="20"/>
          <w:color w:val="auto"/>
        </w:rPr>
      </w:pPr>
      <w:r>
        <w:rPr>
          <w:rFonts w:ascii="Arial" w:cs="Arial" w:eastAsia="Arial" w:hAnsi="Arial"/>
          <w:sz w:val="15"/>
          <w:szCs w:val="15"/>
          <w:color w:val="auto"/>
        </w:rPr>
        <w:t>Robert Musslewhite was appointed as President of Definitive Healthcare Corp. effective October 7, 2021. In connection with his appointment, Mr. Musslewhite entered into an employment agreement pursuant to which, he will be paid an annual base salary of $0.4 million. Mr. Musslewhite’s annual bonus will equal 68% of his pro-rated base salary calculated from the effective date of his employment agreement. In future years,</w:t>
      </w:r>
    </w:p>
    <w:p>
      <w:pPr>
        <w:spacing w:after="0" w:line="1" w:lineRule="exact"/>
        <w:rPr>
          <w:sz w:val="20"/>
          <w:szCs w:val="20"/>
          <w:color w:val="auto"/>
        </w:rPr>
      </w:pPr>
    </w:p>
    <w:p>
      <w:pPr>
        <w:ind w:left="460" w:right="160"/>
        <w:spacing w:after="0" w:line="257" w:lineRule="auto"/>
        <w:rPr>
          <w:sz w:val="20"/>
          <w:szCs w:val="20"/>
          <w:color w:val="auto"/>
        </w:rPr>
      </w:pPr>
      <w:r>
        <w:rPr>
          <w:rFonts w:ascii="Arial" w:cs="Arial" w:eastAsia="Arial" w:hAnsi="Arial"/>
          <w:sz w:val="17"/>
          <w:szCs w:val="17"/>
          <w:color w:val="auto"/>
        </w:rPr>
        <w:t>Mr. Musslewhite will be eligible to receive an annual bonus of up to 68% of his base salary, determined in the sole discretion of the Board, and will be able to participate in the Company’s exective incentive plan on the same terms as similarly situated executives.</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0780"/>
          </w:cols>
          <w:pgMar w:left="320" w:top="440" w:right="79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In addition, pursuant to his employment agreement, Mr. Musslewhite will be granted a restricted stock unit award of 433,550 shares of the Company’s Class A common stock, which will vest 25% on the one-year anniversary of the grant, followed by quarterly vesting of 6.25% per quarter until fully vested over the subsequent three years. Further, Mr. Musslewhite will be granted a second restricted stock unit award in the amount of 216,450 shares of Class A common stock, 33% of which will vest on the one-year anniversary of the grant, followed by quarterly vesting of 8.33% per quarter until fully vested over the subsequent two years.</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0640"/>
          </w:cols>
          <w:pgMar w:left="320" w:top="440" w:right="93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207645</wp:posOffset>
            </wp:positionV>
            <wp:extent cx="6562090" cy="241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562090" cy="2413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264160</wp:posOffset>
            </wp:positionV>
            <wp:extent cx="65620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0"/>
        <w:spacing w:after="0"/>
        <w:rPr>
          <w:sz w:val="20"/>
          <w:szCs w:val="20"/>
          <w:color w:val="auto"/>
        </w:rPr>
      </w:pPr>
      <w:r>
        <w:rPr>
          <w:rFonts w:ascii="Arial" w:cs="Arial" w:eastAsia="Arial" w:hAnsi="Arial"/>
          <w:sz w:val="27"/>
          <w:szCs w:val="27"/>
          <w:b w:val="1"/>
          <w:bCs w:val="1"/>
          <w:color w:val="auto"/>
        </w:rPr>
        <w:t>11,000,000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320675</wp:posOffset>
            </wp:positionV>
            <wp:extent cx="2010410" cy="410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010410"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40"/>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377190</wp:posOffset>
            </wp:positionV>
            <wp:extent cx="138303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231775</wp:posOffset>
            </wp:positionV>
            <wp:extent cx="13830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Goldman Sachs &amp; Co. LLC</w:t>
      </w:r>
    </w:p>
    <w:p>
      <w:pPr>
        <w:spacing w:after="0" w:line="130"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J.P. Morgan</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Morgan Stanley</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Barclays</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Credit Suisse</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Deutsche Bank Securities</w:t>
      </w:r>
    </w:p>
    <w:p>
      <w:pPr>
        <w:spacing w:after="0" w:line="119"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Canaccord Genuity</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Raymond James</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Stifel</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Drexel Hamilton</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384810</wp:posOffset>
            </wp:positionV>
            <wp:extent cx="138303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November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400685</wp:posOffset>
            </wp:positionV>
            <wp:extent cx="65620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457200</wp:posOffset>
            </wp:positionV>
            <wp:extent cx="6562090" cy="241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562090" cy="24130"/>
                    </a:xfrm>
                    <a:prstGeom prst="rect">
                      <a:avLst/>
                    </a:prstGeom>
                    <a:noFill/>
                  </pic:spPr>
                </pic:pic>
              </a:graphicData>
            </a:graphic>
          </wp:anchor>
        </w:drawing>
      </w:r>
    </w:p>
    <w:sectPr>
      <w:pgSz w:w="11900" w:h="16838" w:orient="portrait"/>
      <w:cols w:equalWidth="0" w:num="1">
        <w:col w:w="10139"/>
      </w:cols>
      <w:pgMar w:left="320" w:top="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1)"/>
      <w:numFmt w:val="decimal"/>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
      <w:numFmt w:val="bullet"/>
      <w:start w:val="1"/>
    </w:lvl>
  </w:abstractNum>
  <w:abstractNum w:abstractNumId="5">
    <w:nsid w:val="53584BCB"/>
    <w:multiLevelType w:val="hybridMultilevel"/>
    <w:lvl w:ilvl="0">
      <w:lvlJc w:val="left"/>
      <w:lvlText w:val="•"/>
      <w:numFmt w:val="bullet"/>
      <w:start w:val="1"/>
    </w:lvl>
  </w:abstractNum>
  <w:abstractNum w:abstractNumId="6">
    <w:nsid w:val="415E286C"/>
    <w:multiLevelType w:val="hybridMultilevel"/>
    <w:lvl w:ilvl="0">
      <w:lvlJc w:val="left"/>
      <w:lvlText w:val="•"/>
      <w:numFmt w:val="bullet"/>
      <w:start w:val="1"/>
    </w:lvl>
  </w:abstractNum>
  <w:abstractNum w:abstractNumId="7">
    <w:nsid w:val="7C58FD05"/>
    <w:multiLevelType w:val="hybridMultilevel"/>
    <w:lvl w:ilvl="0">
      <w:lvlJc w:val="left"/>
      <w:lvlText w:val="•"/>
      <w:numFmt w:val="bullet"/>
      <w:start w:val="1"/>
    </w:lvl>
  </w:abstractNum>
  <w:abstractNum w:abstractNumId="8">
    <w:nsid w:val="23D86AAC"/>
    <w:multiLevelType w:val="hybridMultilevel"/>
    <w:lvl w:ilvl="0">
      <w:lvlJc w:val="left"/>
      <w:lvlText w:val="•"/>
      <w:numFmt w:val="bullet"/>
      <w:start w:val="1"/>
    </w:lvl>
  </w:abstractNum>
  <w:abstractNum w:abstractNumId="9">
    <w:nsid w:val="45E6D486"/>
    <w:multiLevelType w:val="hybridMultilevel"/>
    <w:lvl w:ilvl="0">
      <w:lvlJc w:val="left"/>
      <w:lvlText w:val="•"/>
      <w:numFmt w:val="bullet"/>
      <w:start w:val="1"/>
    </w:lvl>
  </w:abstractNum>
  <w:abstractNum w:abstractNumId="10">
    <w:nsid w:val="5C10FE21"/>
    <w:multiLevelType w:val="hybridMultilevel"/>
    <w:lvl w:ilvl="0">
      <w:lvlJc w:val="left"/>
      <w:lvlText w:val="•"/>
      <w:numFmt w:val="bullet"/>
      <w:start w:val="1"/>
    </w:lvl>
  </w:abstractNum>
  <w:abstractNum w:abstractNumId="11">
    <w:nsid w:val="E7FFA2B"/>
    <w:multiLevelType w:val="hybridMultilevel"/>
    <w:lvl w:ilvl="0">
      <w:lvlJc w:val="left"/>
      <w:lvlText w:val="•"/>
      <w:numFmt w:val="bullet"/>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
      <w:numFmt w:val="bullet"/>
      <w:start w:val="1"/>
    </w:lvl>
  </w:abstractNum>
  <w:abstractNum w:abstractNumId="14">
    <w:nsid w:val="78DF6A55"/>
    <w:multiLevelType w:val="hybridMultilevel"/>
    <w:lvl w:ilvl="0">
      <w:lvlJc w:val="left"/>
      <w:lvlText w:val="•"/>
      <w:numFmt w:val="bullet"/>
      <w:start w:val="1"/>
    </w:lvl>
  </w:abstractNum>
  <w:abstractNum w:abstractNumId="15">
    <w:nsid w:val="39B7AAA2"/>
    <w:multiLevelType w:val="hybridMultilevel"/>
    <w:lvl w:ilvl="0">
      <w:lvlJc w:val="left"/>
      <w:lvlText w:val="•"/>
      <w:numFmt w:val="bullet"/>
      <w:start w:val="1"/>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
      <w:numFmt w:val="bullet"/>
      <w:start w:val="1"/>
    </w:lvl>
  </w:abstractNum>
  <w:abstractNum w:abstractNumId="18">
    <w:nsid w:val="379E21B5"/>
    <w:multiLevelType w:val="hybridMultilevel"/>
    <w:lvl w:ilvl="0">
      <w:lvlJc w:val="left"/>
      <w:lvlText w:val="•"/>
      <w:numFmt w:val="bullet"/>
      <w:start w:val="1"/>
    </w:lvl>
  </w:abstractNum>
  <w:abstractNum w:abstractNumId="19">
    <w:nsid w:val="69E373"/>
    <w:multiLevelType w:val="hybridMultilevel"/>
    <w:lvl w:ilvl="0">
      <w:lvlJc w:val="left"/>
      <w:lvlText w:val="•"/>
      <w:numFmt w:val="bullet"/>
      <w:start w:val="1"/>
    </w:lvl>
  </w:abstractNum>
  <w:abstractNum w:abstractNumId="20">
    <w:nsid w:val="2C27173B"/>
    <w:multiLevelType w:val="hybridMultilevel"/>
    <w:lvl w:ilvl="0">
      <w:lvlJc w:val="left"/>
      <w:lvlText w:val="•"/>
      <w:numFmt w:val="bullet"/>
      <w:start w:val="1"/>
    </w:lvl>
  </w:abstractNum>
  <w:abstractNum w:abstractNumId="21">
    <w:nsid w:val="4C9B0904"/>
    <w:multiLevelType w:val="hybridMultilevel"/>
    <w:lvl w:ilvl="0">
      <w:lvlJc w:val="left"/>
      <w:lvlText w:val="•"/>
      <w:numFmt w:val="bullet"/>
      <w:start w:val="1"/>
    </w:lvl>
  </w:abstractNum>
  <w:abstractNum w:abstractNumId="22">
    <w:nsid w:val="6AA7B75C"/>
    <w:multiLevelType w:val="hybridMultilevel"/>
    <w:lvl w:ilvl="0">
      <w:lvlJc w:val="left"/>
      <w:lvlText w:val="(%1)"/>
      <w:numFmt w:val="decimal"/>
      <w:start w:val="1"/>
    </w:lvl>
  </w:abstractNum>
  <w:abstractNum w:abstractNumId="23">
    <w:nsid w:val="1DF029D3"/>
    <w:multiLevelType w:val="hybridMultilevel"/>
    <w:lvl w:ilvl="0">
      <w:lvlJc w:val="left"/>
      <w:lvlText w:val="•"/>
      <w:numFmt w:val="bullet"/>
      <w:start w:val="1"/>
    </w:lvl>
  </w:abstractNum>
  <w:abstractNum w:abstractNumId="24">
    <w:nsid w:val="5675FF36"/>
    <w:multiLevelType w:val="hybridMultilevel"/>
    <w:lvl w:ilvl="0">
      <w:lvlJc w:val="left"/>
      <w:lvlText w:val="(%1)"/>
      <w:numFmt w:val="decimal"/>
      <w:start w:val="1"/>
    </w:lvl>
  </w:abstractNum>
  <w:abstractNum w:abstractNumId="25">
    <w:nsid w:val="3DD15094"/>
    <w:multiLevelType w:val="hybridMultilevel"/>
    <w:lvl w:ilvl="0">
      <w:lvlJc w:val="left"/>
      <w:lvlText w:val="(%1)"/>
      <w:numFmt w:val="decimal"/>
      <w:start w:val="1"/>
    </w:lvl>
  </w:abstractNum>
  <w:abstractNum w:abstractNumId="26">
    <w:nsid w:val="3DB012B3"/>
    <w:multiLevelType w:val="hybridMultilevel"/>
    <w:lvl w:ilvl="0">
      <w:lvlJc w:val="left"/>
      <w:lvlText w:val="•"/>
      <w:numFmt w:val="bullet"/>
      <w:start w:val="1"/>
    </w:lvl>
  </w:abstractNum>
  <w:abstractNum w:abstractNumId="27">
    <w:nsid w:val="2708C9AF"/>
    <w:multiLevelType w:val="hybridMultilevel"/>
    <w:lvl w:ilvl="0">
      <w:lvlJc w:val="left"/>
      <w:lvlText w:val="•"/>
      <w:numFmt w:val="bullet"/>
      <w:start w:val="1"/>
    </w:lvl>
  </w:abstractNum>
  <w:abstractNum w:abstractNumId="28">
    <w:nsid w:val="5B25ACE2"/>
    <w:multiLevelType w:val="hybridMultilevel"/>
    <w:lvl w:ilvl="0">
      <w:lvlJc w:val="left"/>
      <w:lvlText w:val="•"/>
      <w:numFmt w:val="bullet"/>
      <w:start w:val="1"/>
    </w:lvl>
  </w:abstractNum>
  <w:abstractNum w:abstractNumId="29">
    <w:nsid w:val="175DFCF0"/>
    <w:multiLevelType w:val="hybridMultilevel"/>
    <w:lvl w:ilvl="0">
      <w:lvlJc w:val="left"/>
      <w:lvlText w:val="(%1)"/>
      <w:numFmt w:val="decimal"/>
      <w:start w:val="1"/>
    </w:lvl>
  </w:abstractNum>
  <w:abstractNum w:abstractNumId="30">
    <w:nsid w:val="4F97E3E4"/>
    <w:multiLevelType w:val="hybridMultilevel"/>
    <w:lvl w:ilvl="0">
      <w:lvlJc w:val="left"/>
      <w:lvlText w:val="(%1)"/>
      <w:numFmt w:val="decimal"/>
      <w:start w:val="1"/>
    </w:lvl>
  </w:abstractNum>
  <w:abstractNum w:abstractNumId="31">
    <w:nsid w:val="53B0A9E"/>
    <w:multiLevelType w:val="hybridMultilevel"/>
    <w:lvl w:ilvl="0">
      <w:lvlJc w:val="left"/>
      <w:lvlText w:val="(%1)"/>
      <w:numFmt w:val="decimal"/>
      <w:start w:val="1"/>
    </w:lvl>
  </w:abstractNum>
  <w:abstractNum w:abstractNumId="32">
    <w:nsid w:val="34FD6B4F"/>
    <w:multiLevelType w:val="hybridMultilevel"/>
    <w:lvl w:ilvl="0">
      <w:lvlJc w:val="left"/>
      <w:lvlText w:val="(%1)"/>
      <w:numFmt w:val="decimal"/>
      <w:start w:val="1"/>
    </w:lvl>
  </w:abstractNum>
  <w:abstractNum w:abstractNumId="33">
    <w:nsid w:val="5915FF32"/>
    <w:multiLevelType w:val="hybridMultilevel"/>
    <w:lvl w:ilvl="0">
      <w:lvlJc w:val="left"/>
      <w:lvlText w:val="(%1)"/>
      <w:numFmt w:val="decimal"/>
      <w:start w:val="2"/>
    </w:lvl>
  </w:abstractNum>
  <w:abstractNum w:abstractNumId="34">
    <w:nsid w:val="56438D15"/>
    <w:multiLevelType w:val="hybridMultilevel"/>
    <w:lvl w:ilvl="0">
      <w:lvlJc w:val="left"/>
      <w:lvlText w:val="(%1)"/>
      <w:numFmt w:val="lowerLetter"/>
      <w:start w:val="1"/>
    </w:lvl>
  </w:abstractNum>
  <w:abstractNum w:abstractNumId="35">
    <w:nsid w:val="519E3149"/>
    <w:multiLevelType w:val="hybridMultilevel"/>
    <w:lvl w:ilvl="0">
      <w:lvlJc w:val="left"/>
      <w:lvlText w:val="(%1)"/>
      <w:numFmt w:val="lowerLetter"/>
      <w:start w:val="1"/>
    </w:lvl>
  </w:abstractNum>
  <w:abstractNum w:abstractNumId="36">
    <w:nsid w:val="2C6E4AFD"/>
    <w:multiLevelType w:val="hybridMultilevel"/>
    <w:lvl w:ilvl="0">
      <w:lvlJc w:val="left"/>
      <w:lvlText w:val="(%1)"/>
      <w:numFmt w:val="lowerLetter"/>
      <w:start w:val="1"/>
    </w:lvl>
  </w:abstractNum>
  <w:abstractNum w:abstractNumId="37">
    <w:nsid w:val="17A1B582"/>
    <w:multiLevelType w:val="hybridMultilevel"/>
    <w:lvl w:ilvl="0">
      <w:lvlJc w:val="left"/>
      <w:lvlText w:val="(%1)"/>
      <w:numFmt w:val="lowerLetter"/>
      <w:start w:val="1"/>
    </w:lvl>
  </w:abstractNum>
  <w:abstractNum w:abstractNumId="38">
    <w:nsid w:val="4DF72E4E"/>
    <w:multiLevelType w:val="hybridMultilevel"/>
    <w:lvl w:ilvl="0">
      <w:lvlJc w:val="left"/>
      <w:lvlText w:val="•"/>
      <w:numFmt w:val="bullet"/>
      <w:start w:val="1"/>
    </w:lvl>
  </w:abstractNum>
  <w:abstractNum w:abstractNumId="39">
    <w:nsid w:val="5046B5A9"/>
    <w:multiLevelType w:val="hybridMultilevel"/>
    <w:lvl w:ilvl="0">
      <w:lvlJc w:val="left"/>
      <w:lvlText w:val="•"/>
      <w:numFmt w:val="bullet"/>
      <w:start w:val="1"/>
    </w:lvl>
  </w:abstractNum>
  <w:abstractNum w:abstractNumId="40">
    <w:nsid w:val="5D888A08"/>
    <w:multiLevelType w:val="hybridMultilevel"/>
    <w:lvl w:ilvl="0">
      <w:lvlJc w:val="left"/>
      <w:lvlText w:val="•"/>
      <w:numFmt w:val="bullet"/>
      <w:start w:val="1"/>
    </w:lvl>
  </w:abstractNum>
  <w:abstractNum w:abstractNumId="41">
    <w:nsid w:val="2A082C70"/>
    <w:multiLevelType w:val="hybridMultilevel"/>
    <w:lvl w:ilvl="0">
      <w:lvlJc w:val="left"/>
      <w:lvlText w:val="•"/>
      <w:numFmt w:val="bullet"/>
      <w:start w:val="1"/>
    </w:lvl>
  </w:abstractNum>
  <w:abstractNum w:abstractNumId="42">
    <w:nsid w:val="5EC6AFD4"/>
    <w:multiLevelType w:val="hybridMultilevel"/>
    <w:lvl w:ilvl="0">
      <w:lvlJc w:val="left"/>
      <w:lvlText w:val="•"/>
      <w:numFmt w:val="bullet"/>
      <w:start w:val="1"/>
    </w:lvl>
  </w:abstractNum>
  <w:abstractNum w:abstractNumId="43">
    <w:nsid w:val="19E21BB2"/>
    <w:multiLevelType w:val="hybridMultilevel"/>
    <w:lvl w:ilvl="0">
      <w:lvlJc w:val="left"/>
      <w:lvlText w:val="•"/>
      <w:numFmt w:val="bullet"/>
      <w:start w:val="1"/>
    </w:lvl>
  </w:abstractNum>
  <w:abstractNum w:abstractNumId="44">
    <w:nsid w:val="75E0858A"/>
    <w:multiLevelType w:val="hybridMultilevel"/>
    <w:lvl w:ilvl="0">
      <w:lvlJc w:val="left"/>
      <w:lvlText w:val="•"/>
      <w:numFmt w:val="bullet"/>
      <w:start w:val="1"/>
    </w:lvl>
  </w:abstractNum>
  <w:abstractNum w:abstractNumId="45">
    <w:nsid w:val="57A61A29"/>
    <w:multiLevelType w:val="hybridMultilevel"/>
    <w:lvl w:ilvl="0">
      <w:lvlJc w:val="left"/>
      <w:lvlText w:val="•"/>
      <w:numFmt w:val="bullet"/>
      <w:start w:val="1"/>
    </w:lvl>
  </w:abstractNum>
  <w:abstractNum w:abstractNumId="46">
    <w:nsid w:val="5399C654"/>
    <w:multiLevelType w:val="hybridMultilevel"/>
    <w:lvl w:ilvl="0">
      <w:lvlJc w:val="left"/>
      <w:lvlText w:val="•"/>
      <w:numFmt w:val="bullet"/>
      <w:start w:val="1"/>
    </w:lvl>
  </w:abstractNum>
  <w:abstractNum w:abstractNumId="47">
    <w:nsid w:val="20EE1348"/>
    <w:multiLevelType w:val="hybridMultilevel"/>
    <w:lvl w:ilvl="0">
      <w:lvlJc w:val="left"/>
      <w:lvlText w:val="•"/>
      <w:numFmt w:val="bullet"/>
      <w:start w:val="1"/>
    </w:lvl>
  </w:abstractNum>
  <w:abstractNum w:abstractNumId="48">
    <w:nsid w:val="4427069A"/>
    <w:multiLevelType w:val="hybridMultilevel"/>
    <w:lvl w:ilvl="0">
      <w:lvlJc w:val="left"/>
      <w:lvlText w:val="•"/>
      <w:numFmt w:val="bullet"/>
      <w:start w:val="1"/>
    </w:lvl>
  </w:abstractNum>
  <w:abstractNum w:abstractNumId="49">
    <w:nsid w:val="B37E80A"/>
    <w:multiLevelType w:val="hybridMultilevel"/>
    <w:lvl w:ilvl="0">
      <w:lvlJc w:val="left"/>
      <w:lvlText w:val="•"/>
      <w:numFmt w:val="bullet"/>
      <w:start w:val="1"/>
    </w:lvl>
  </w:abstractNum>
  <w:abstractNum w:abstractNumId="50">
    <w:nsid w:val="2157F6BC"/>
    <w:multiLevelType w:val="hybridMultilevel"/>
    <w:lvl w:ilvl="0">
      <w:lvlJc w:val="left"/>
      <w:lvlText w:val="(%1)"/>
      <w:numFmt w:val="lowerRoman"/>
      <w:start w:val="4"/>
    </w:lvl>
  </w:abstractNum>
  <w:abstractNum w:abstractNumId="51">
    <w:nsid w:val="704E1DD5"/>
    <w:multiLevelType w:val="hybridMultilevel"/>
    <w:lvl w:ilvl="0">
      <w:lvlJc w:val="left"/>
      <w:lvlText w:val="•"/>
      <w:numFmt w:val="bullet"/>
      <w:start w:val="1"/>
    </w:lvl>
  </w:abstractNum>
  <w:abstractNum w:abstractNumId="52">
    <w:nsid w:val="57D2F10E"/>
    <w:multiLevelType w:val="hybridMultilevel"/>
    <w:lvl w:ilvl="0">
      <w:lvlJc w:val="left"/>
      <w:lvlText w:val="•"/>
      <w:numFmt w:val="bullet"/>
      <w:start w:val="1"/>
    </w:lvl>
  </w:abstractNum>
  <w:abstractNum w:abstractNumId="53">
    <w:nsid w:val="BFFAE18"/>
    <w:multiLevelType w:val="hybridMultilevel"/>
    <w:lvl w:ilvl="0">
      <w:lvlJc w:val="left"/>
      <w:lvlText w:val="(%1)"/>
      <w:numFmt w:val="decimal"/>
      <w:start w:val="1"/>
    </w:lvl>
  </w:abstractNum>
  <w:abstractNum w:abstractNumId="54">
    <w:nsid w:val="E3E47A8"/>
    <w:multiLevelType w:val="hybridMultilevel"/>
    <w:lvl w:ilvl="0">
      <w:lvlJc w:val="left"/>
      <w:lvlText w:val="•"/>
      <w:numFmt w:val="bullet"/>
      <w:start w:val="1"/>
    </w:lvl>
  </w:abstractNum>
  <w:abstractNum w:abstractNumId="55">
    <w:nsid w:val="2E48F044"/>
    <w:multiLevelType w:val="hybridMultilevel"/>
    <w:lvl w:ilvl="0">
      <w:lvlJc w:val="left"/>
      <w:lvlText w:val="•"/>
      <w:numFmt w:val="bullet"/>
      <w:start w:val="1"/>
    </w:lvl>
  </w:abstractNum>
  <w:abstractNum w:abstractNumId="56">
    <w:nsid w:val="49D0FEAC"/>
    <w:multiLevelType w:val="hybridMultilevel"/>
    <w:lvl w:ilvl="0">
      <w:lvlJc w:val="left"/>
      <w:lvlText w:val="(%1)"/>
      <w:numFmt w:val="decimal"/>
      <w:start w:val="1"/>
    </w:lvl>
  </w:abstractNum>
  <w:abstractNum w:abstractNumId="57">
    <w:nsid w:val="4BEE5A5B"/>
    <w:multiLevelType w:val="hybridMultilevel"/>
    <w:lvl w:ilvl="0">
      <w:lvlJc w:val="left"/>
      <w:lvlText w:val="(%1)"/>
      <w:numFmt w:val="decimal"/>
      <w:start w:val="2"/>
    </w:lvl>
  </w:abstractNum>
  <w:abstractNum w:abstractNumId="58">
    <w:nsid w:val="5551B9F3"/>
    <w:multiLevelType w:val="hybridMultilevel"/>
    <w:lvl w:ilvl="0">
      <w:lvlJc w:val="left"/>
      <w:lvlText w:val="(%1)"/>
      <w:numFmt w:val="decimal"/>
      <w:start w:val="4"/>
    </w:lvl>
    <w:lvl w:ilvl="1">
      <w:lvlJc w:val="left"/>
      <w:lvlText w:val="•"/>
      <w:numFmt w:val="bullet"/>
      <w:start w:val="1"/>
    </w:lvl>
  </w:abstractNum>
  <w:abstractNum w:abstractNumId="59">
    <w:nsid w:val="24F6AB8E"/>
    <w:multiLevelType w:val="hybridMultilevel"/>
    <w:lvl w:ilvl="0">
      <w:lvlJc w:val="left"/>
      <w:lvlText w:val="•"/>
      <w:numFmt w:val="bullet"/>
      <w:start w:val="1"/>
    </w:lvl>
  </w:abstractNum>
  <w:abstractNum w:abstractNumId="60">
    <w:nsid w:val="634C574C"/>
    <w:multiLevelType w:val="hybridMultilevel"/>
    <w:lvl w:ilvl="0">
      <w:lvlJc w:val="left"/>
      <w:lvlText w:val="•"/>
      <w:numFmt w:val="bullet"/>
      <w:start w:val="1"/>
    </w:lvl>
  </w:abstractNum>
  <w:abstractNum w:abstractNumId="61">
    <w:nsid w:val="24E99DD7"/>
    <w:multiLevelType w:val="hybridMultilevel"/>
    <w:lvl w:ilvl="0">
      <w:lvlJc w:val="left"/>
      <w:lvlText w:val="(%1)"/>
      <w:numFmt w:val="lowerLetter"/>
      <w:start w:val="1"/>
    </w:lvl>
  </w:abstractNum>
  <w:abstractNum w:abstractNumId="62">
    <w:nsid w:val="2A31B62D"/>
    <w:multiLevelType w:val="hybridMultilevel"/>
    <w:lvl w:ilvl="0">
      <w:lvlJc w:val="left"/>
      <w:lvlText w:val="(%1)"/>
      <w:numFmt w:val="lowerRoman"/>
      <w:start w:val="4"/>
    </w:lvl>
  </w:abstractNum>
  <w:abstractNum w:abstractNumId="63">
    <w:nsid w:val="1849C29B"/>
    <w:multiLevelType w:val="hybridMultilevel"/>
    <w:lvl w:ilvl="0">
      <w:lvlJc w:val="left"/>
      <w:lvlText w:val="(%1)"/>
      <w:numFmt w:val="lowerLetter"/>
      <w:start w:val="1"/>
    </w:lvl>
  </w:abstractNum>
  <w:abstractNum w:abstractNumId="64">
    <w:nsid w:val="7DFF9D09"/>
    <w:multiLevelType w:val="hybridMultilevel"/>
    <w:lvl w:ilvl="0">
      <w:lvlJc w:val="left"/>
      <w:lvlText w:val="•"/>
      <w:numFmt w:val="bullet"/>
      <w:start w:val="1"/>
    </w:lvl>
  </w:abstractNum>
  <w:abstractNum w:abstractNumId="65">
    <w:nsid w:val="754342"/>
    <w:multiLevelType w:val="hybridMultilevel"/>
    <w:lvl w:ilvl="0">
      <w:lvlJc w:val="left"/>
      <w:lvlText w:val="•"/>
      <w:numFmt w:val="bullet"/>
      <w:start w:val="1"/>
    </w:lvl>
  </w:abstractNum>
  <w:abstractNum w:abstractNumId="66">
    <w:nsid w:val="69E7F3E5"/>
    <w:multiLevelType w:val="hybridMultilevel"/>
    <w:lvl w:ilvl="0">
      <w:lvlJc w:val="left"/>
      <w:lvlText w:val="•"/>
      <w:numFmt w:val="bullet"/>
      <w:start w:val="1"/>
    </w:lvl>
  </w:abstractNum>
  <w:abstractNum w:abstractNumId="67">
    <w:nsid w:val="2A6DE806"/>
    <w:multiLevelType w:val="hybridMultilevel"/>
    <w:lvl w:ilvl="0">
      <w:lvlJc w:val="left"/>
      <w:lvlText w:val="•"/>
      <w:numFmt w:val="bullet"/>
      <w:start w:val="1"/>
    </w:lvl>
  </w:abstractNum>
  <w:abstractNum w:abstractNumId="68">
    <w:nsid w:val="1816F8C4"/>
    <w:multiLevelType w:val="hybridMultilevel"/>
    <w:lvl w:ilvl="0">
      <w:lvlJc w:val="left"/>
      <w:lvlText w:val="•"/>
      <w:numFmt w:val="bullet"/>
      <w:start w:val="1"/>
    </w:lvl>
  </w:abstractNum>
  <w:abstractNum w:abstractNumId="69">
    <w:nsid w:val="37DF2233"/>
    <w:multiLevelType w:val="hybridMultilevel"/>
    <w:lvl w:ilvl="0">
      <w:lvlJc w:val="left"/>
      <w:lvlText w:val="•"/>
      <w:numFmt w:val="bullet"/>
      <w:start w:val="1"/>
    </w:lvl>
  </w:abstractNum>
  <w:abstractNum w:abstractNumId="70">
    <w:nsid w:val="7AB49DAF"/>
    <w:multiLevelType w:val="hybridMultilevel"/>
    <w:lvl w:ilvl="0">
      <w:lvlJc w:val="left"/>
      <w:lvlText w:val="•"/>
      <w:numFmt w:val="bullet"/>
      <w:start w:val="1"/>
    </w:lvl>
  </w:abstractNum>
  <w:abstractNum w:abstractNumId="71">
    <w:nsid w:val="759F82CD"/>
    <w:multiLevelType w:val="hybridMultilevel"/>
    <w:lvl w:ilvl="0">
      <w:lvlJc w:val="left"/>
      <w:lvlText w:val="•"/>
      <w:numFmt w:val="bullet"/>
      <w:start w:val="1"/>
    </w:lvl>
  </w:abstractNum>
  <w:abstractNum w:abstractNumId="72">
    <w:nsid w:val="61E74EA3"/>
    <w:multiLevelType w:val="hybridMultilevel"/>
    <w:lvl w:ilvl="0">
      <w:lvlJc w:val="left"/>
      <w:lvlText w:val="•"/>
      <w:numFmt w:val="bullet"/>
      <w:start w:val="1"/>
    </w:lvl>
  </w:abstractNum>
  <w:abstractNum w:abstractNumId="73">
    <w:nsid w:val="597B4D84"/>
    <w:multiLevelType w:val="hybridMultilevel"/>
    <w:lvl w:ilvl="0">
      <w:lvlJc w:val="left"/>
      <w:lvlText w:val="(%1)"/>
      <w:numFmt w:val="decimal"/>
      <w:start w:val="1"/>
    </w:lvl>
  </w:abstractNum>
  <w:abstractNum w:abstractNumId="74">
    <w:nsid w:val="F819E7F"/>
    <w:multiLevelType w:val="hybridMultilevel"/>
    <w:lvl w:ilvl="0">
      <w:lvlJc w:val="left"/>
      <w:lvlText w:val="(%1)"/>
      <w:numFmt w:val="decimal"/>
      <w:start w:val="1"/>
    </w:lvl>
  </w:abstractNum>
  <w:abstractNum w:abstractNumId="75">
    <w:nsid w:val="57C7D42D"/>
    <w:multiLevelType w:val="hybridMultilevel"/>
    <w:lvl w:ilvl="0">
      <w:lvlJc w:val="left"/>
      <w:lvlText w:val="(%1)"/>
      <w:numFmt w:val="decimal"/>
      <w:start w:val="1"/>
    </w:lvl>
  </w:abstractNum>
  <w:abstractNum w:abstractNumId="76">
    <w:nsid w:val="312167AD"/>
    <w:multiLevelType w:val="hybridMultilevel"/>
    <w:lvl w:ilvl="0">
      <w:lvlJc w:val="left"/>
      <w:lvlText w:val="(%1)"/>
      <w:numFmt w:val="decimal"/>
      <w:start w:val="1"/>
    </w:lvl>
  </w:abstractNum>
  <w:abstractNum w:abstractNumId="77">
    <w:nsid w:val="631B64D4"/>
    <w:multiLevelType w:val="hybridMultilevel"/>
    <w:lvl w:ilvl="0">
      <w:lvlJc w:val="left"/>
      <w:lvlText w:val="(%1)"/>
      <w:numFmt w:val="decimal"/>
      <w:start w:val="2"/>
    </w:lvl>
  </w:abstractNum>
  <w:abstractNum w:abstractNumId="78">
    <w:nsid w:val="78B5E776"/>
    <w:multiLevelType w:val="hybridMultilevel"/>
    <w:lvl w:ilvl="0">
      <w:lvlJc w:val="left"/>
      <w:lvlText w:val="(%1)"/>
      <w:numFmt w:val="decimal"/>
      <w:start w:val="1"/>
    </w:lvl>
  </w:abstractNum>
  <w:abstractNum w:abstractNumId="79">
    <w:nsid w:val="75486E47"/>
    <w:multiLevelType w:val="hybridMultilevel"/>
    <w:lvl w:ilvl="0">
      <w:lvlJc w:val="left"/>
      <w:lvlText w:val="(%1)"/>
      <w:numFmt w:val="decimal"/>
      <w:start w:val="2"/>
    </w:lvl>
  </w:abstractNum>
  <w:abstractNum w:abstractNumId="80">
    <w:nsid w:val="6E534CDE"/>
    <w:multiLevelType w:val="hybridMultilevel"/>
    <w:lvl w:ilvl="0">
      <w:lvlJc w:val="left"/>
      <w:lvlText w:val="(%1)"/>
      <w:numFmt w:val="decimal"/>
      <w:start w:val="3"/>
    </w:lvl>
  </w:abstractNum>
  <w:abstractNum w:abstractNumId="81">
    <w:nsid w:val="1A0DDE32"/>
    <w:multiLevelType w:val="hybridMultilevel"/>
    <w:lvl w:ilvl="0">
      <w:lvlJc w:val="left"/>
      <w:lvlText w:val="•"/>
      <w:numFmt w:val="bullet"/>
      <w:start w:val="1"/>
    </w:lvl>
  </w:abstractNum>
  <w:abstractNum w:abstractNumId="82">
    <w:nsid w:val="65968C1C"/>
    <w:multiLevelType w:val="hybridMultilevel"/>
    <w:lvl w:ilvl="0">
      <w:lvlJc w:val="left"/>
      <w:lvlText w:val="•"/>
      <w:numFmt w:val="bullet"/>
      <w:start w:val="1"/>
    </w:lvl>
  </w:abstractNum>
  <w:abstractNum w:abstractNumId="83">
    <w:nsid w:val="46263DEC"/>
    <w:multiLevelType w:val="hybridMultilevel"/>
    <w:lvl w:ilvl="0">
      <w:lvlJc w:val="left"/>
      <w:lvlText w:val="(%1)"/>
      <w:numFmt w:val="decimal"/>
      <w:start w:val="1"/>
    </w:lvl>
  </w:abstractNum>
  <w:abstractNum w:abstractNumId="84">
    <w:nsid w:val="260D8C4A"/>
    <w:multiLevelType w:val="hybridMultilevel"/>
    <w:lvl w:ilvl="0">
      <w:lvlJc w:val="left"/>
      <w:lvlText w:val="•"/>
      <w:numFmt w:val="bullet"/>
      <w:start w:val="1"/>
    </w:lvl>
  </w:abstractNum>
  <w:abstractNum w:abstractNumId="85">
    <w:nsid w:val="73D4D3C4"/>
    <w:multiLevelType w:val="hybridMultilevel"/>
    <w:lvl w:ilvl="0">
      <w:lvlJc w:val="left"/>
      <w:lvlText w:val="•"/>
      <w:numFmt w:val="bullet"/>
      <w:start w:val="1"/>
    </w:lvl>
  </w:abstractNum>
  <w:abstractNum w:abstractNumId="86">
    <w:nsid w:val="746F2E30"/>
    <w:multiLevelType w:val="hybridMultilevel"/>
    <w:lvl w:ilvl="0">
      <w:lvlJc w:val="left"/>
      <w:lvlText w:val="•"/>
      <w:numFmt w:val="bullet"/>
      <w:start w:val="1"/>
    </w:lvl>
  </w:abstractNum>
  <w:abstractNum w:abstractNumId="87">
    <w:nsid w:val="6FDE8AF6"/>
    <w:multiLevelType w:val="hybridMultilevel"/>
    <w:lvl w:ilvl="0">
      <w:lvlJc w:val="left"/>
      <w:lvlText w:val="•"/>
      <w:numFmt w:val="bullet"/>
      <w:start w:val="1"/>
    </w:lvl>
  </w:abstractNum>
  <w:abstractNum w:abstractNumId="88">
    <w:nsid w:val="3FC32E20"/>
    <w:multiLevelType w:val="hybridMultilevel"/>
    <w:lvl w:ilvl="0">
      <w:lvlJc w:val="left"/>
      <w:lvlText w:val="•"/>
      <w:numFmt w:val="bullet"/>
      <w:start w:val="1"/>
    </w:lvl>
  </w:abstractNum>
  <w:abstractNum w:abstractNumId="89">
    <w:nsid w:val="49C0E823"/>
    <w:multiLevelType w:val="hybridMultilevel"/>
    <w:lvl w:ilvl="0">
      <w:lvlJc w:val="left"/>
      <w:lvlText w:val="•"/>
      <w:numFmt w:val="bullet"/>
      <w:start w:val="1"/>
    </w:lvl>
  </w:abstractNum>
  <w:abstractNum w:abstractNumId="90">
    <w:nsid w:val="14D53685"/>
    <w:multiLevelType w:val="hybridMultilevel"/>
    <w:lvl w:ilvl="0">
      <w:lvlJc w:val="left"/>
      <w:lvlText w:val="•"/>
      <w:numFmt w:val="bullet"/>
      <w:start w:val="1"/>
    </w:lvl>
  </w:abstractNum>
  <w:abstractNum w:abstractNumId="91">
    <w:nsid w:val="230F856C"/>
    <w:multiLevelType w:val="hybridMultilevel"/>
    <w:lvl w:ilvl="0">
      <w:lvlJc w:val="left"/>
      <w:lvlText w:val="•"/>
      <w:numFmt w:val="bullet"/>
      <w:start w:val="1"/>
    </w:lvl>
  </w:abstractNum>
  <w:abstractNum w:abstractNumId="92">
    <w:nsid w:val="6EAA85FB"/>
    <w:multiLevelType w:val="hybridMultilevel"/>
    <w:lvl w:ilvl="0">
      <w:lvlJc w:val="left"/>
      <w:lvlText w:val="•"/>
      <w:numFmt w:val="bullet"/>
      <w:start w:val="1"/>
    </w:lvl>
  </w:abstractNum>
  <w:abstractNum w:abstractNumId="93">
    <w:nsid w:val="3F06ECB2"/>
    <w:multiLevelType w:val="hybridMultilevel"/>
    <w:lvl w:ilvl="0">
      <w:lvlJc w:val="left"/>
      <w:lvlText w:val="•"/>
      <w:numFmt w:val="bullet"/>
      <w:start w:val="1"/>
    </w:lvl>
  </w:abstractNum>
  <w:abstractNum w:abstractNumId="94">
    <w:nsid w:val="3B594807"/>
    <w:multiLevelType w:val="hybridMultilevel"/>
    <w:lvl w:ilvl="0">
      <w:lvlJc w:val="left"/>
      <w:lvlText w:val="•"/>
      <w:numFmt w:val="bullet"/>
      <w:start w:val="1"/>
    </w:lvl>
  </w:abstractNum>
  <w:abstractNum w:abstractNumId="95">
    <w:nsid w:val="6CAA2304"/>
    <w:multiLevelType w:val="hybridMultilevel"/>
    <w:lvl w:ilvl="0">
      <w:lvlJc w:val="left"/>
      <w:lvlText w:val="•"/>
      <w:numFmt w:val="bullet"/>
      <w:start w:val="1"/>
    </w:lvl>
  </w:abstractNum>
  <w:abstractNum w:abstractNumId="96">
    <w:nsid w:val="3F7C2FF4"/>
    <w:multiLevelType w:val="hybridMultilevel"/>
    <w:lvl w:ilvl="0">
      <w:lvlJc w:val="left"/>
      <w:lvlText w:val="•"/>
      <w:numFmt w:val="bullet"/>
      <w:start w:val="1"/>
    </w:lvl>
  </w:abstractNum>
  <w:abstractNum w:abstractNumId="97">
    <w:nsid w:val="25413BEC"/>
    <w:multiLevelType w:val="hybridMultilevel"/>
    <w:lvl w:ilvl="0">
      <w:lvlJc w:val="left"/>
      <w:lvlText w:val="•"/>
      <w:numFmt w:val="bullet"/>
      <w:start w:val="1"/>
    </w:lvl>
  </w:abstractNum>
  <w:abstractNum w:abstractNumId="98">
    <w:nsid w:val="17180B0B"/>
    <w:multiLevelType w:val="hybridMultilevel"/>
    <w:lvl w:ilvl="0">
      <w:lvlJc w:val="left"/>
      <w:lvlText w:val="•"/>
      <w:numFmt w:val="bullet"/>
      <w:start w:val="1"/>
    </w:lvl>
  </w:abstractNum>
  <w:abstractNum w:abstractNumId="99">
    <w:nsid w:val="579328B9"/>
    <w:multiLevelType w:val="hybridMultilevel"/>
    <w:lvl w:ilvl="0">
      <w:lvlJc w:val="left"/>
      <w:lvlText w:val="•"/>
      <w:numFmt w:val="bullet"/>
      <w:start w:val="1"/>
    </w:lvl>
  </w:abstractNum>
  <w:abstractNum w:abstractNumId="100">
    <w:nsid w:val="5D205E20"/>
    <w:multiLevelType w:val="hybridMultilevel"/>
    <w:lvl w:ilvl="0">
      <w:lvlJc w:val="left"/>
      <w:lvlText w:val="•"/>
      <w:numFmt w:val="bullet"/>
      <w:start w:val="1"/>
    </w:lvl>
    <w:lvl w:ilvl="1">
      <w:lvlJc w:val="left"/>
      <w:lvlText w:val="•"/>
      <w:numFmt w:val="bullet"/>
      <w:start w:val="1"/>
    </w:lvl>
  </w:abstractNum>
  <w:abstractNum w:abstractNumId="101">
    <w:nsid w:val="11CCA8BA"/>
    <w:multiLevelType w:val="hybridMultilevel"/>
    <w:lvl w:ilvl="0">
      <w:lvlJc w:val="left"/>
      <w:lvlText w:val="•"/>
      <w:numFmt w:val="bullet"/>
      <w:start w:val="1"/>
    </w:lvl>
    <w:lvl w:ilvl="1">
      <w:lvlJc w:val="left"/>
      <w:lvlText w:val="•"/>
      <w:numFmt w:val="bullet"/>
      <w:start w:val="1"/>
    </w:lvl>
  </w:abstractNum>
  <w:abstractNum w:abstractNumId="102">
    <w:nsid w:val="4D32AB86"/>
    <w:multiLevelType w:val="hybridMultilevel"/>
    <w:lvl w:ilvl="0">
      <w:lvlJc w:val="left"/>
      <w:lvlText w:val="•"/>
      <w:numFmt w:val="bullet"/>
      <w:start w:val="1"/>
    </w:lvl>
  </w:abstractNum>
  <w:abstractNum w:abstractNumId="103">
    <w:nsid w:val="3F07ACC3"/>
    <w:multiLevelType w:val="hybridMultilevel"/>
    <w:lvl w:ilvl="0">
      <w:lvlJc w:val="left"/>
      <w:lvlText w:val="•"/>
      <w:numFmt w:val="bullet"/>
      <w:start w:val="1"/>
    </w:lvl>
  </w:abstractNum>
  <w:abstractNum w:abstractNumId="104">
    <w:nsid w:val="6B47F63E"/>
    <w:multiLevelType w:val="hybridMultilevel"/>
    <w:lvl w:ilvl="0">
      <w:lvlJc w:val="left"/>
      <w:lvlText w:val="•"/>
      <w:numFmt w:val="bullet"/>
      <w:start w:val="1"/>
    </w:lvl>
    <w:lvl w:ilvl="1">
      <w:lvlJc w:val="left"/>
      <w:lvlText w:val="○"/>
      <w:numFmt w:val="bullet"/>
      <w:start w:val="1"/>
    </w:lvl>
  </w:abstractNum>
  <w:abstractNum w:abstractNumId="105">
    <w:nsid w:val="5CB44A05"/>
    <w:multiLevelType w:val="hybridMultilevel"/>
    <w:lvl w:ilvl="0">
      <w:lvlJc w:val="left"/>
      <w:lvlText w:val="•"/>
      <w:numFmt w:val="bullet"/>
      <w:start w:val="1"/>
    </w:lvl>
    <w:lvl w:ilvl="1">
      <w:lvlJc w:val="left"/>
      <w:lvlText w:val="○"/>
      <w:numFmt w:val="bullet"/>
      <w:start w:val="1"/>
    </w:lvl>
  </w:abstractNum>
  <w:abstractNum w:abstractNumId="106">
    <w:nsid w:val="16CF80F1"/>
    <w:multiLevelType w:val="hybridMultilevel"/>
    <w:lvl w:ilvl="0">
      <w:lvlJc w:val="left"/>
      <w:lvlText w:val="•"/>
      <w:numFmt w:val="bullet"/>
      <w:start w:val="1"/>
    </w:lvl>
    <w:lvl w:ilvl="1">
      <w:lvlJc w:val="left"/>
      <w:lvlText w:val="○"/>
      <w:numFmt w:val="bullet"/>
      <w:start w:val="1"/>
    </w:lvl>
  </w:abstractNum>
  <w:abstractNum w:abstractNumId="107">
    <w:nsid w:val="1C695DEC"/>
    <w:multiLevelType w:val="hybridMultilevel"/>
    <w:lvl w:ilvl="0">
      <w:lvlJc w:val="left"/>
      <w:lvlText w:val="•"/>
      <w:numFmt w:val="bullet"/>
      <w:start w:val="1"/>
    </w:lvl>
    <w:lvl w:ilvl="1">
      <w:lvlJc w:val="left"/>
      <w:lvlText w:val="○"/>
      <w:numFmt w:val="bullet"/>
      <w:start w:val="1"/>
    </w:lvl>
  </w:abstractNum>
  <w:abstractNum w:abstractNumId="108">
    <w:nsid w:val="3FCFAED9"/>
    <w:multiLevelType w:val="hybridMultilevel"/>
    <w:lvl w:ilvl="0">
      <w:lvlJc w:val="left"/>
      <w:lvlText w:val="•"/>
      <w:numFmt w:val="bullet"/>
      <w:start w:val="1"/>
    </w:lvl>
    <w:lvl w:ilvl="1">
      <w:lvlJc w:val="left"/>
      <w:lvlText w:val="○"/>
      <w:numFmt w:val="bullet"/>
      <w:start w:val="1"/>
    </w:lvl>
  </w:abstractNum>
  <w:abstractNum w:abstractNumId="109">
    <w:nsid w:val="F856867"/>
    <w:multiLevelType w:val="hybridMultilevel"/>
    <w:lvl w:ilvl="0">
      <w:lvlJc w:val="left"/>
      <w:lvlText w:val="•"/>
      <w:numFmt w:val="bullet"/>
      <w:start w:val="1"/>
    </w:lvl>
    <w:lvl w:ilvl="1">
      <w:lvlJc w:val="left"/>
      <w:lvlText w:val="○"/>
      <w:numFmt w:val="bullet"/>
      <w:start w:val="1"/>
    </w:lvl>
  </w:abstractNum>
  <w:abstractNum w:abstractNumId="110">
    <w:nsid w:val="11B1CC33"/>
    <w:multiLevelType w:val="hybridMultilevel"/>
    <w:lvl w:ilvl="0">
      <w:lvlJc w:val="left"/>
      <w:lvlText w:val="•"/>
      <w:numFmt w:val="bullet"/>
      <w:start w:val="1"/>
    </w:lvl>
  </w:abstractNum>
  <w:abstractNum w:abstractNumId="111">
    <w:nsid w:val="2E22FBB7"/>
    <w:multiLevelType w:val="hybridMultilevel"/>
    <w:lvl w:ilvl="0">
      <w:lvlJc w:val="left"/>
      <w:lvlText w:val="•"/>
      <w:numFmt w:val="bullet"/>
      <w:start w:val="1"/>
    </w:lvl>
  </w:abstractNum>
  <w:abstractNum w:abstractNumId="112">
    <w:nsid w:val="29934699"/>
    <w:multiLevelType w:val="hybridMultilevel"/>
    <w:lvl w:ilvl="0">
      <w:lvlJc w:val="left"/>
      <w:lvlText w:val="•"/>
      <w:numFmt w:val="bullet"/>
      <w:start w:val="1"/>
    </w:lvl>
  </w:abstractNum>
  <w:abstractNum w:abstractNumId="113">
    <w:nsid w:val="77485850"/>
    <w:multiLevelType w:val="hybridMultilevel"/>
    <w:lvl w:ilvl="0">
      <w:lvlJc w:val="left"/>
      <w:lvlText w:val="•"/>
      <w:numFmt w:val="bullet"/>
      <w:start w:val="1"/>
    </w:lvl>
  </w:abstractNum>
  <w:abstractNum w:abstractNumId="114">
    <w:nsid w:val="744939A3"/>
    <w:multiLevelType w:val="hybridMultilevel"/>
    <w:lvl w:ilvl="0">
      <w:lvlJc w:val="left"/>
      <w:lvlText w:val="•"/>
      <w:numFmt w:val="bullet"/>
      <w:start w:val="1"/>
    </w:lvl>
  </w:abstractNum>
  <w:abstractNum w:abstractNumId="115">
    <w:nsid w:val="4FA0D2E3"/>
    <w:multiLevelType w:val="hybridMultilevel"/>
    <w:lvl w:ilvl="0">
      <w:lvlJc w:val="left"/>
      <w:lvlText w:val="•"/>
      <w:numFmt w:val="bullet"/>
      <w:start w:val="1"/>
    </w:lvl>
  </w:abstractNum>
  <w:abstractNum w:abstractNumId="116">
    <w:nsid w:val="6B1D2C14"/>
    <w:multiLevelType w:val="hybridMultilevel"/>
    <w:lvl w:ilvl="0">
      <w:lvlJc w:val="left"/>
      <w:lvlText w:val="•"/>
      <w:numFmt w:val="bullet"/>
      <w:start w:val="1"/>
    </w:lvl>
  </w:abstractNum>
  <w:abstractNum w:abstractNumId="117">
    <w:nsid w:val="68B867D3"/>
    <w:multiLevelType w:val="hybridMultilevel"/>
    <w:lvl w:ilvl="0">
      <w:lvlJc w:val="left"/>
      <w:lvlText w:val="•"/>
      <w:numFmt w:val="bullet"/>
      <w:start w:val="1"/>
    </w:lvl>
  </w:abstractNum>
  <w:abstractNum w:abstractNumId="118">
    <w:nsid w:val="3F7F5DD9"/>
    <w:multiLevelType w:val="hybridMultilevel"/>
    <w:lvl w:ilvl="0">
      <w:lvlJc w:val="left"/>
      <w:lvlText w:val="•"/>
      <w:numFmt w:val="bullet"/>
      <w:start w:val="1"/>
    </w:lvl>
  </w:abstractNum>
  <w:abstractNum w:abstractNumId="119">
    <w:nsid w:val="2AE05A34"/>
    <w:multiLevelType w:val="hybridMultilevel"/>
    <w:lvl w:ilvl="0">
      <w:lvlJc w:val="left"/>
      <w:lvlText w:val="•"/>
      <w:numFmt w:val="bullet"/>
      <w:start w:val="1"/>
    </w:lvl>
  </w:abstractNum>
  <w:abstractNum w:abstractNumId="120">
    <w:nsid w:val="32794FF7"/>
    <w:multiLevelType w:val="hybridMultilevel"/>
    <w:lvl w:ilvl="0">
      <w:lvlJc w:val="left"/>
      <w:lvlText w:val="•"/>
      <w:numFmt w:val="bullet"/>
      <w:start w:val="1"/>
    </w:lvl>
  </w:abstractNum>
  <w:abstractNum w:abstractNumId="121">
    <w:nsid w:val="5454945E"/>
    <w:multiLevelType w:val="hybridMultilevel"/>
    <w:lvl w:ilvl="0">
      <w:lvlJc w:val="left"/>
      <w:lvlText w:val="•"/>
      <w:numFmt w:val="bullet"/>
      <w:start w:val="1"/>
    </w:lvl>
  </w:abstractNum>
  <w:abstractNum w:abstractNumId="122">
    <w:nsid w:val="4DEFDFA0"/>
    <w:multiLevelType w:val="hybridMultilevel"/>
    <w:lvl w:ilvl="0">
      <w:lvlJc w:val="left"/>
      <w:lvlText w:val="•"/>
      <w:numFmt w:val="bullet"/>
      <w:start w:val="1"/>
    </w:lvl>
  </w:abstractNum>
  <w:abstractNum w:abstractNumId="123">
    <w:nsid w:val="2123D5F2"/>
    <w:multiLevelType w:val="hybridMultilevel"/>
    <w:lvl w:ilvl="0">
      <w:lvlJc w:val="left"/>
      <w:lvlText w:val="•"/>
      <w:numFmt w:val="bullet"/>
      <w:start w:val="1"/>
    </w:lvl>
  </w:abstractNum>
  <w:abstractNum w:abstractNumId="124">
    <w:nsid w:val="135B8110"/>
    <w:multiLevelType w:val="hybridMultilevel"/>
    <w:lvl w:ilvl="0">
      <w:lvlJc w:val="left"/>
      <w:lvlText w:val="(%1)"/>
      <w:numFmt w:val="decimal"/>
      <w:start w:val="1"/>
    </w:lvl>
  </w:abstractNum>
  <w:abstractNum w:abstractNumId="125">
    <w:nsid w:val="94927A8"/>
    <w:multiLevelType w:val="hybridMultilevel"/>
    <w:lvl w:ilvl="0">
      <w:lvlJc w:val="left"/>
      <w:lvlText w:val="(%1)"/>
      <w:numFmt w:val="lowerRoman"/>
      <w:start w:val="3"/>
    </w:lvl>
  </w:abstractNum>
  <w:abstractNum w:abstractNumId="126">
    <w:nsid w:val="DCDF8F6"/>
    <w:multiLevelType w:val="hybridMultilevel"/>
    <w:lvl w:ilvl="0">
      <w:lvlJc w:val="left"/>
      <w:lvlText w:val="(%1)"/>
      <w:numFmt w:val="decimal"/>
      <w:start w:val="1"/>
    </w:lvl>
  </w:abstractNum>
  <w:abstractNum w:abstractNumId="127">
    <w:nsid w:val="52D7B105"/>
    <w:multiLevelType w:val="hybridMultilevel"/>
    <w:lvl w:ilvl="0">
      <w:lvlJc w:val="left"/>
      <w:lvlText w:val="(%1)"/>
      <w:numFmt w:val="decimal"/>
      <w:start w:val="3"/>
    </w:lvl>
  </w:abstractNum>
  <w:abstractNum w:abstractNumId="128">
    <w:nsid w:val="2E8A6394"/>
    <w:multiLevelType w:val="hybridMultilevel"/>
    <w:lvl w:ilvl="0">
      <w:lvlJc w:val="left"/>
      <w:lvlText w:val="(%1)"/>
      <w:numFmt w:val="lowerLetter"/>
      <w:start w:val="1"/>
    </w:lvl>
  </w:abstractNum>
  <w:abstractNum w:abstractNumId="129">
    <w:nsid w:val="24E60401"/>
    <w:multiLevelType w:val="hybridMultilevel"/>
    <w:lvl w:ilvl="0">
      <w:lvlJc w:val="left"/>
      <w:lvlText w:val="(%1)"/>
      <w:numFmt w:val="lowerRoman"/>
      <w:start w:val="1"/>
    </w:lvl>
  </w:abstractNum>
  <w:abstractNum w:abstractNumId="130">
    <w:nsid w:val="2A6AD9BE"/>
    <w:multiLevelType w:val="hybridMultilevel"/>
    <w:lvl w:ilvl="0">
      <w:lvlJc w:val="left"/>
      <w:lvlText w:val="(%1)"/>
      <w:numFmt w:val="lowerRoman"/>
      <w:start w:val="3"/>
    </w:lvl>
  </w:abstractNum>
  <w:abstractNum w:abstractNumId="131">
    <w:nsid w:val="BAAC1B4"/>
    <w:multiLevelType w:val="hybridMultilevel"/>
    <w:lvl w:ilvl="0">
      <w:lvlJc w:val="left"/>
      <w:lvlText w:val="•"/>
      <w:numFmt w:val="bullet"/>
      <w:start w:val="1"/>
    </w:lvl>
  </w:abstractNum>
  <w:abstractNum w:abstractNumId="132">
    <w:nsid w:val="36B2ACBC"/>
    <w:multiLevelType w:val="hybridMultilevel"/>
    <w:lvl w:ilvl="0">
      <w:lvlJc w:val="left"/>
      <w:lvlText w:val="(%1)"/>
      <w:numFmt w:val="lowerRoman"/>
      <w:start w:val="3"/>
    </w:lvl>
  </w:abstractNum>
  <w:abstractNum w:abstractNumId="133">
    <w:nsid w:val="779D8544"/>
    <w:multiLevelType w:val="hybridMultilevel"/>
    <w:lvl w:ilvl="0">
      <w:lvlJc w:val="left"/>
      <w:lvlText w:val="(%1)"/>
      <w:numFmt w:val="decimal"/>
      <w:start w:val="1"/>
    </w:lvl>
  </w:abstractNum>
  <w:abstractNum w:abstractNumId="134">
    <w:nsid w:val="4AB26E78"/>
    <w:multiLevelType w:val="hybridMultilevel"/>
    <w:lvl w:ilvl="0">
      <w:lvlJc w:val="left"/>
      <w:lvlText w:val="•"/>
      <w:numFmt w:val="bullet"/>
      <w:start w:val="1"/>
    </w:lvl>
  </w:abstractNum>
  <w:abstractNum w:abstractNumId="135">
    <w:nsid w:val="21FAA2FA"/>
    <w:multiLevelType w:val="hybridMultilevel"/>
    <w:lvl w:ilvl="0">
      <w:lvlJc w:val="left"/>
      <w:lvlText w:val="*"/>
      <w:numFmt w:val="bullet"/>
      <w:start w:val="1"/>
    </w:lvl>
  </w:abstractNum>
  <w:abstractNum w:abstractNumId="136">
    <w:nsid w:val="5451CF49"/>
    <w:multiLevelType w:val="hybridMultilevel"/>
    <w:lvl w:ilvl="0">
      <w:lvlJc w:val="left"/>
      <w:lvlText w:val="(%1)"/>
      <w:numFmt w:val="decimal"/>
      <w:start w:val="1"/>
    </w:lvl>
  </w:abstractNum>
  <w:abstractNum w:abstractNumId="137">
    <w:nsid w:val="6181EF69"/>
    <w:multiLevelType w:val="hybridMultilevel"/>
    <w:lvl w:ilvl="0">
      <w:lvlJc w:val="left"/>
      <w:lvlText w:val="(%1)"/>
      <w:numFmt w:val="decimal"/>
      <w:start w:val="2"/>
    </w:lvl>
  </w:abstractNum>
  <w:abstractNum w:abstractNumId="138">
    <w:nsid w:val="3E6400E6"/>
    <w:multiLevelType w:val="hybridMultilevel"/>
    <w:lvl w:ilvl="0">
      <w:lvlJc w:val="left"/>
      <w:lvlText w:val="(%1)"/>
      <w:numFmt w:val="decimal"/>
      <w:start w:val="3"/>
    </w:lvl>
  </w:abstractNum>
  <w:abstractNum w:abstractNumId="139">
    <w:nsid w:val="14217E23"/>
    <w:multiLevelType w:val="hybridMultilevel"/>
    <w:lvl w:ilvl="0">
      <w:lvlJc w:val="left"/>
      <w:lvlText w:val="•"/>
      <w:numFmt w:val="bullet"/>
      <w:start w:val="1"/>
    </w:lvl>
  </w:abstractNum>
  <w:abstractNum w:abstractNumId="140">
    <w:nsid w:val="710757D0"/>
    <w:multiLevelType w:val="hybridMultilevel"/>
    <w:lvl w:ilvl="0">
      <w:lvlJc w:val="left"/>
      <w:lvlText w:val="•"/>
      <w:numFmt w:val="bullet"/>
      <w:start w:val="1"/>
    </w:lvl>
  </w:abstractNum>
  <w:abstractNum w:abstractNumId="141">
    <w:nsid w:val="5015CD1A"/>
    <w:multiLevelType w:val="hybridMultilevel"/>
    <w:lvl w:ilvl="0">
      <w:lvlJc w:val="left"/>
      <w:lvlText w:val="•"/>
      <w:numFmt w:val="bullet"/>
      <w:start w:val="1"/>
    </w:lvl>
  </w:abstractNum>
  <w:abstractNum w:abstractNumId="142">
    <w:nsid w:val="424479DA"/>
    <w:multiLevelType w:val="hybridMultilevel"/>
    <w:lvl w:ilvl="0">
      <w:lvlJc w:val="left"/>
      <w:lvlText w:val="•"/>
      <w:numFmt w:val="bullet"/>
      <w:start w:val="1"/>
    </w:lvl>
  </w:abstractNum>
  <w:abstractNum w:abstractNumId="143">
    <w:nsid w:val="1A9A9E69"/>
    <w:multiLevelType w:val="hybridMultilevel"/>
    <w:lvl w:ilvl="0">
      <w:lvlJc w:val="left"/>
      <w:lvlText w:val="•"/>
      <w:numFmt w:val="bullet"/>
      <w:start w:val="1"/>
    </w:lvl>
  </w:abstractNum>
  <w:abstractNum w:abstractNumId="144">
    <w:nsid w:val="475E256A"/>
    <w:multiLevelType w:val="hybridMultilevel"/>
    <w:lvl w:ilvl="0">
      <w:lvlJc w:val="left"/>
      <w:lvlText w:val="•"/>
      <w:numFmt w:val="bullet"/>
      <w:start w:val="1"/>
    </w:lvl>
  </w:abstractNum>
  <w:abstractNum w:abstractNumId="145">
    <w:nsid w:val="368DB37E"/>
    <w:multiLevelType w:val="hybridMultilevel"/>
    <w:lvl w:ilvl="0">
      <w:lvlJc w:val="left"/>
      <w:lvlText w:val="•"/>
      <w:numFmt w:val="bullet"/>
      <w:start w:val="1"/>
    </w:lvl>
  </w:abstractNum>
  <w:abstractNum w:abstractNumId="146">
    <w:nsid w:val="6A3B714C"/>
    <w:multiLevelType w:val="hybridMultilevel"/>
    <w:lvl w:ilvl="0">
      <w:lvlJc w:val="left"/>
      <w:lvlText w:val="•"/>
      <w:numFmt w:val="bullet"/>
      <w:start w:val="1"/>
    </w:lvl>
  </w:abstractNum>
  <w:abstractNum w:abstractNumId="147">
    <w:nsid w:val="327B517E"/>
    <w:multiLevelType w:val="hybridMultilevel"/>
    <w:lvl w:ilvl="0">
      <w:lvlJc w:val="left"/>
      <w:lvlText w:val="(%1)"/>
      <w:numFmt w:val="lowerRoman"/>
      <w:start w:val="1"/>
    </w:lvl>
  </w:abstractNum>
  <w:abstractNum w:abstractNumId="148">
    <w:nsid w:val="1F461B51"/>
    <w:multiLevelType w:val="hybridMultilevel"/>
    <w:lvl w:ilvl="0">
      <w:lvlJc w:val="left"/>
      <w:lvlText w:val="•"/>
      <w:numFmt w:val="bullet"/>
      <w:start w:val="1"/>
    </w:lvl>
  </w:abstractNum>
  <w:abstractNum w:abstractNumId="149">
    <w:nsid w:val="29BACF25"/>
    <w:multiLevelType w:val="hybridMultilevel"/>
    <w:lvl w:ilvl="0">
      <w:lvlJc w:val="left"/>
      <w:lvlText w:val="•"/>
      <w:numFmt w:val="bullet"/>
      <w:start w:val="1"/>
    </w:lvl>
  </w:abstractNum>
  <w:abstractNum w:abstractNumId="150">
    <w:nsid w:val="5D5BABB3"/>
    <w:multiLevelType w:val="hybridMultilevel"/>
    <w:lvl w:ilvl="0">
      <w:lvlJc w:val="left"/>
      <w:lvlText w:val="•"/>
      <w:numFmt w:val="bullet"/>
      <w:start w:val="1"/>
    </w:lvl>
  </w:abstractNum>
  <w:abstractNum w:abstractNumId="151">
    <w:nsid w:val="51BF6B48"/>
    <w:multiLevelType w:val="hybridMultilevel"/>
    <w:lvl w:ilvl="0">
      <w:lvlJc w:val="left"/>
      <w:lvlText w:val="•"/>
      <w:numFmt w:val="bullet"/>
      <w:start w:val="1"/>
    </w:lvl>
  </w:abstractNum>
  <w:abstractNum w:abstractNumId="152">
    <w:nsid w:val="7E0F6384"/>
    <w:multiLevelType w:val="hybridMultilevel"/>
    <w:lvl w:ilvl="0">
      <w:lvlJc w:val="left"/>
      <w:lvlText w:val="(%1)"/>
      <w:numFmt w:val="lowerRoman"/>
      <w:start w:val="1"/>
    </w:lvl>
  </w:abstractNum>
  <w:abstractNum w:abstractNumId="153">
    <w:nsid w:val="2B4B8B53"/>
    <w:multiLevelType w:val="hybridMultilevel"/>
    <w:lvl w:ilvl="0">
      <w:lvlJc w:val="left"/>
      <w:lvlText w:val="(%1)"/>
      <w:numFmt w:val="lowerRoman"/>
      <w:start w:val="4"/>
    </w:lvl>
  </w:abstractNum>
  <w:abstractNum w:abstractNumId="154">
    <w:nsid w:val="72E3413A"/>
    <w:multiLevelType w:val="hybridMultilevel"/>
    <w:lvl w:ilvl="0">
      <w:lvlJc w:val="left"/>
      <w:lvlText w:val="%1)"/>
      <w:numFmt w:val="lowerLetter"/>
      <w:start w:val="1"/>
    </w:lvl>
  </w:abstractNum>
  <w:abstractNum w:abstractNumId="155">
    <w:nsid w:val="116AE494"/>
    <w:multiLevelType w:val="hybridMultilevel"/>
    <w:lvl w:ilvl="0">
      <w:lvlJc w:val="left"/>
      <w:lvlText w:val="%1)"/>
      <w:numFmt w:val="lowerLetter"/>
      <w:start w:val="1"/>
    </w:lvl>
  </w:abstractNum>
  <w:abstractNum w:abstractNumId="156">
    <w:nsid w:val="3494B2FB"/>
    <w:multiLevelType w:val="hybridMultilevel"/>
    <w:lvl w:ilvl="0">
      <w:lvlJc w:val="left"/>
      <w:lvlText w:val="%1)"/>
      <w:numFmt w:val="lowerLetter"/>
      <w:start w:val="1"/>
    </w:lvl>
  </w:abstractNum>
  <w:abstractNum w:abstractNumId="157">
    <w:nsid w:val="B13A31"/>
    <w:multiLevelType w:val="hybridMultilevel"/>
    <w:lvl w:ilvl="0">
      <w:lvlJc w:val="left"/>
      <w:lvlText w:val="(%1)"/>
      <w:numFmt w:val="lowerRoman"/>
      <w:start w:val="3"/>
    </w:lvl>
  </w:abstractNum>
  <w:abstractNum w:abstractNumId="158">
    <w:nsid w:val="64429599"/>
    <w:multiLevelType w:val="hybridMultilevel"/>
    <w:lvl w:ilvl="0">
      <w:lvlJc w:val="left"/>
      <w:lvlText w:val="(%1)"/>
      <w:numFmt w:val="lowerRoman"/>
      <w:start w:val="2"/>
    </w:lvl>
  </w:abstractNum>
  <w:abstractNum w:abstractNumId="159">
    <w:nsid w:val="631F1690"/>
    <w:multiLevelType w:val="hybridMultilevel"/>
    <w:lvl w:ilvl="0">
      <w:lvlJc w:val="left"/>
      <w:lvlText w:val="%1)"/>
      <w:numFmt w:val="lowerLetter"/>
      <w:start w:val="1"/>
    </w:lvl>
  </w:abstractNum>
  <w:abstractNum w:abstractNumId="160">
    <w:nsid w:val="25973E32"/>
    <w:multiLevelType w:val="hybridMultilevel"/>
    <w:lvl w:ilvl="0">
      <w:lvlJc w:val="left"/>
      <w:lvlText w:val="%1)"/>
      <w:numFmt w:val="lowerLetter"/>
      <w:start w:val="1"/>
    </w:lvl>
  </w:abstractNum>
  <w:abstractNum w:abstractNumId="161">
    <w:nsid w:val="EAD6F57"/>
    <w:multiLevelType w:val="hybridMultilevel"/>
    <w:lvl w:ilvl="0">
      <w:lvlJc w:val="left"/>
      <w:lvlText w:val="(%1)"/>
      <w:numFmt w:val="lowerRoman"/>
      <w:start w:val="1"/>
    </w:lvl>
  </w:abstractNum>
  <w:abstractNum w:abstractNumId="162">
    <w:nsid w:val="6EC9D844"/>
    <w:multiLevelType w:val="hybridMultilevel"/>
    <w:lvl w:ilvl="0">
      <w:lvlJc w:val="left"/>
      <w:lvlText w:val="%1)"/>
      <w:numFmt w:val="lowerLetter"/>
      <w:start w:val="1"/>
    </w:lvl>
    <w:lvl w:ilvl="1">
      <w:lvlJc w:val="left"/>
      <w:lvlText w:val="%2)"/>
      <w:numFmt w:val="lowerLetter"/>
      <w:start w:val="9"/>
    </w:lvl>
  </w:abstractNum>
  <w:abstractNum w:abstractNumId="163">
    <w:nsid w:val="5C49EAEE"/>
    <w:multiLevelType w:val="hybridMultilevel"/>
    <w:lvl w:ilvl="0">
      <w:lvlJc w:val="left"/>
      <w:lvlText w:val="%1"/>
      <w:numFmt w:val="lowerLetter"/>
      <w:start w:val="1"/>
    </w:lvl>
    <w:lvl w:ilvl="1">
      <w:lvlJc w:val="left"/>
      <w:lvlText w:val="%2)"/>
      <w:numFmt w:val="lowerLetter"/>
      <w:start w:val="35"/>
    </w:lvl>
  </w:abstractNum>
  <w:abstractNum w:abstractNumId="164">
    <w:nsid w:val="64AF49B"/>
    <w:multiLevelType w:val="hybridMultilevel"/>
    <w:lvl w:ilvl="0">
      <w:lvlJc w:val="left"/>
      <w:lvlText w:val="%1)"/>
      <w:numFmt w:val="lowerLetter"/>
      <w:start w:val="4"/>
    </w:lvl>
    <w:lvl w:ilvl="1">
      <w:lvlJc w:val="left"/>
      <w:lvlText w:val="%2"/>
      <w:numFmt w:val="lowerLetter"/>
      <w:start w:val="1"/>
    </w:lvl>
  </w:abstractNum>
  <w:abstractNum w:abstractNumId="165">
    <w:nsid w:val="397C46BC"/>
    <w:multiLevelType w:val="hybridMultilevel"/>
    <w:lvl w:ilvl="0">
      <w:lvlJc w:val="left"/>
      <w:lvlText w:val="%1."/>
      <w:numFmt w:val="decimal"/>
      <w:start w:val="2"/>
    </w:lvl>
    <w:lvl w:ilvl="1">
      <w:lvlJc w:val="left"/>
      <w:lvlText w:val="%2)"/>
      <w:numFmt w:val="lowerLetter"/>
      <w:start w:val="1"/>
    </w:lvl>
  </w:abstractNum>
  <w:abstractNum w:abstractNumId="166">
    <w:nsid w:val="7E448DE9"/>
    <w:multiLevelType w:val="hybridMultilevel"/>
    <w:lvl w:ilvl="0">
      <w:lvlJc w:val="left"/>
      <w:lvlText w:val="%1."/>
      <w:numFmt w:val="decimal"/>
      <w:start w:val="1"/>
    </w:lvl>
  </w:abstractNum>
  <w:abstractNum w:abstractNumId="167">
    <w:nsid w:val="5A9CC3E5"/>
    <w:multiLevelType w:val="hybridMultilevel"/>
    <w:lvl w:ilvl="0">
      <w:lvlJc w:val="left"/>
      <w:lvlText w:val="%1."/>
      <w:numFmt w:val="decimal"/>
      <w:start w:val="2"/>
    </w:lvl>
  </w:abstractNum>
  <w:abstractNum w:abstractNumId="168">
    <w:nsid w:val="1AFE3625"/>
    <w:multiLevelType w:val="hybridMultilevel"/>
    <w:lvl w:ilvl="0">
      <w:lvlJc w:val="left"/>
      <w:lvlText w:val="%1."/>
      <w:numFmt w:val="decimal"/>
      <w:start w:val="3"/>
    </w:lvl>
  </w:abstractNum>
  <w:abstractNum w:abstractNumId="169">
    <w:nsid w:val="3CA88ECF"/>
    <w:multiLevelType w:val="hybridMultilevel"/>
    <w:lvl w:ilvl="0">
      <w:lvlJc w:val="left"/>
      <w:lvlText w:val="%1."/>
      <w:numFmt w:val="decimal"/>
      <w:start w:val="4"/>
    </w:lvl>
  </w:abstractNum>
  <w:abstractNum w:abstractNumId="170">
    <w:nsid w:val="6EBE4208"/>
    <w:multiLevelType w:val="hybridMultilevel"/>
    <w:lvl w:ilvl="0">
      <w:lvlJc w:val="left"/>
      <w:lvlText w:val="%1."/>
      <w:numFmt w:val="decimal"/>
      <w:start w:val="1"/>
    </w:lvl>
  </w:abstractNum>
  <w:abstractNum w:abstractNumId="171">
    <w:nsid w:val="C058DF5"/>
    <w:multiLevelType w:val="hybridMultilevel"/>
    <w:lvl w:ilvl="0">
      <w:lvlJc w:val="left"/>
      <w:lvlText w:val="%1."/>
      <w:numFmt w:val="decimal"/>
      <w:start w:val="2"/>
    </w:lvl>
  </w:abstractNum>
  <w:abstractNum w:abstractNumId="172">
    <w:nsid w:val="CBE5BE9"/>
    <w:multiLevelType w:val="hybridMultilevel"/>
    <w:lvl w:ilvl="0">
      <w:lvlJc w:val="left"/>
      <w:lvlText w:val="%1."/>
      <w:numFmt w:val="decimal"/>
      <w:start w:val="3"/>
    </w:lvl>
  </w:abstractNum>
  <w:abstractNum w:abstractNumId="173">
    <w:nsid w:val="3102BBE2"/>
    <w:multiLevelType w:val="hybridMultilevel"/>
    <w:lvl w:ilvl="0">
      <w:lvlJc w:val="left"/>
      <w:lvlText w:val="%1."/>
      <w:numFmt w:val="decimal"/>
      <w:start w:val="1"/>
    </w:lvl>
  </w:abstractNum>
  <w:abstractNum w:abstractNumId="174">
    <w:nsid w:val="26A02C5E"/>
    <w:multiLevelType w:val="hybridMultilevel"/>
    <w:lvl w:ilvl="0">
      <w:lvlJc w:val="left"/>
      <w:lvlText w:val="%1."/>
      <w:numFmt w:val="decimal"/>
      <w:start w:val="2"/>
    </w:lvl>
  </w:abstractNum>
  <w:abstractNum w:abstractNumId="175">
    <w:nsid w:val="541C8153"/>
    <w:multiLevelType w:val="hybridMultilevel"/>
    <w:lvl w:ilvl="0">
      <w:lvlJc w:val="left"/>
      <w:lvlText w:val="%1."/>
      <w:numFmt w:val="decimal"/>
      <w:start w:val="4"/>
    </w:lvl>
  </w:abstractNum>
  <w:abstractNum w:abstractNumId="176">
    <w:nsid w:val="67906F60"/>
    <w:multiLevelType w:val="hybridMultilevel"/>
    <w:lvl w:ilvl="0">
      <w:lvlJc w:val="left"/>
      <w:lvlText w:val="1"/>
      <w:numFmt w:val="bullet"/>
      <w:start w:val="1"/>
    </w:lvl>
  </w:abstractNum>
  <w:abstractNum w:abstractNumId="177">
    <w:nsid w:val="10DB9DAA"/>
    <w:multiLevelType w:val="hybridMultilevel"/>
    <w:lvl w:ilvl="0">
      <w:lvlJc w:val="left"/>
      <w:lvlText w:val="(%1)"/>
      <w:numFmt w:val="decimal"/>
      <w:start w:val="1"/>
    </w:lvl>
  </w:abstractNum>
  <w:abstractNum w:abstractNumId="178">
    <w:nsid w:val="697D2D2"/>
    <w:multiLevelType w:val="hybridMultilevel"/>
    <w:lvl w:ilvl="0">
      <w:lvlJc w:val="left"/>
      <w:lvlText w:val="%1."/>
      <w:numFmt w:val="decimal"/>
      <w:start w:val="5"/>
    </w:lvl>
  </w:abstractNum>
  <w:abstractNum w:abstractNumId="179">
    <w:nsid w:val="6D68AB2"/>
    <w:multiLevelType w:val="hybridMultilevel"/>
    <w:lvl w:ilvl="0">
      <w:lvlJc w:val="left"/>
      <w:lvlText w:val="%1."/>
      <w:numFmt w:val="decimal"/>
      <w:start w:val="6"/>
    </w:lvl>
  </w:abstractNum>
  <w:abstractNum w:abstractNumId="180">
    <w:nsid w:val="3A966CD0"/>
    <w:multiLevelType w:val="hybridMultilevel"/>
    <w:lvl w:ilvl="0">
      <w:lvlJc w:val="left"/>
      <w:lvlText w:val="%1."/>
      <w:numFmt w:val="decimal"/>
      <w:start w:val="7"/>
    </w:lvl>
  </w:abstractNum>
  <w:abstractNum w:abstractNumId="181">
    <w:nsid w:val="63F37E85"/>
    <w:multiLevelType w:val="hybridMultilevel"/>
    <w:lvl w:ilvl="0">
      <w:lvlJc w:val="left"/>
      <w:lvlText w:val="%1."/>
      <w:numFmt w:val="decimal"/>
      <w:start w:val="8"/>
    </w:lvl>
  </w:abstractNum>
  <w:abstractNum w:abstractNumId="182">
    <w:nsid w:val="5895F5FA"/>
    <w:multiLevelType w:val="hybridMultilevel"/>
    <w:lvl w:ilvl="0">
      <w:lvlJc w:val="left"/>
      <w:lvlText w:val="%1."/>
      <w:numFmt w:val="decimal"/>
      <w:start w:val="9"/>
    </w:lvl>
  </w:abstractNum>
  <w:abstractNum w:abstractNumId="183">
    <w:nsid w:val="38A5D054"/>
    <w:multiLevelType w:val="hybridMultilevel"/>
    <w:lvl w:ilvl="0">
      <w:lvlJc w:val="left"/>
      <w:lvlText w:val="%1."/>
      <w:numFmt w:val="decimal"/>
      <w:start w:val="10"/>
    </w:lvl>
  </w:abstractNum>
  <w:abstractNum w:abstractNumId="184">
    <w:nsid w:val="F3F09D8"/>
    <w:multiLevelType w:val="hybridMultilevel"/>
    <w:lvl w:ilvl="0">
      <w:lvlJc w:val="left"/>
      <w:lvlText w:val="%1."/>
      <w:numFmt w:val="decimal"/>
      <w:start w:val="11"/>
    </w:lvl>
  </w:abstractNum>
  <w:abstractNum w:abstractNumId="185">
    <w:nsid w:val="4B793735"/>
    <w:multiLevelType w:val="hybridMultilevel"/>
    <w:lvl w:ilvl="0">
      <w:lvlJc w:val="left"/>
      <w:lvlText w:val="%1."/>
      <w:numFmt w:val="decimal"/>
      <w:start w:val="12"/>
    </w:lvl>
  </w:abstractNum>
  <w:abstractNum w:abstractNumId="186">
    <w:nsid w:val="4A10B4E8"/>
    <w:multiLevelType w:val="hybridMultilevel"/>
    <w:lvl w:ilvl="0">
      <w:lvlJc w:val="left"/>
      <w:lvlText w:val="%1."/>
      <w:numFmt w:val="decimal"/>
      <w:start w:val="13"/>
    </w:lvl>
  </w:abstractNum>
  <w:abstractNum w:abstractNumId="187">
    <w:nsid w:val="43D3BCD4"/>
    <w:multiLevelType w:val="hybridMultilevel"/>
    <w:lvl w:ilvl="0">
      <w:lvlJc w:val="left"/>
      <w:lvlText w:val="%1."/>
      <w:numFmt w:val="decimal"/>
      <w:start w:val="14"/>
    </w:lvl>
  </w:abstractNum>
  <w:abstractNum w:abstractNumId="188">
    <w:nsid w:val="4C2A7166"/>
    <w:multiLevelType w:val="hybridMultilevel"/>
    <w:lvl w:ilvl="0">
      <w:lvlJc w:val="left"/>
      <w:lvlText w:val="%1."/>
      <w:numFmt w:val="decimal"/>
      <w:start w:val="15"/>
    </w:lvl>
  </w:abstractNum>
  <w:abstractNum w:abstractNumId="189">
    <w:nsid w:val="2E534A82"/>
    <w:multiLevelType w:val="hybridMultilevel"/>
    <w:lvl w:ilvl="0">
      <w:lvlJc w:val="left"/>
      <w:lvlText w:val="%1."/>
      <w:numFmt w:val="decimal"/>
      <w:start w:val="16"/>
    </w:lvl>
  </w:abstractNum>
  <w:abstractNum w:abstractNumId="190">
    <w:nsid w:val="26F2D364"/>
    <w:multiLevelType w:val="hybridMultilevel"/>
    <w:lvl w:ilvl="0">
      <w:lvlJc w:val="left"/>
      <w:lvlText w:val="%1."/>
      <w:numFmt w:val="decimal"/>
      <w:start w:val="17"/>
    </w:lvl>
  </w:abstractNum>
  <w:abstractNum w:abstractNumId="191">
    <w:nsid w:val="71C1AF98"/>
    <w:multiLevelType w:val="hybridMultilevel"/>
    <w:lvl w:ilvl="0">
      <w:lvlJc w:val="left"/>
      <w:lvlText w:val="%1."/>
      <w:numFmt w:val="decimal"/>
      <w:start w:val="18"/>
    </w:lvl>
  </w:abstractNum>
  <w:abstractNum w:abstractNumId="192">
    <w:nsid w:val="3D00B9D9"/>
    <w:multiLevelType w:val="hybridMultilevel"/>
    <w:lvl w:ilvl="0">
      <w:lvlJc w:val="left"/>
      <w:lvlText w:val="%1."/>
      <w:numFmt w:val="decimal"/>
      <w:start w:val="19"/>
    </w:lvl>
  </w:abstractNum>
  <w:abstractNum w:abstractNumId="193">
    <w:nsid w:val="15BCABA8"/>
    <w:multiLevelType w:val="hybridMultilevel"/>
    <w:lvl w:ilvl="0">
      <w:lvlJc w:val="left"/>
      <w:lvlText w:val="(%1)"/>
      <w:numFmt w:val="decimal"/>
      <w:start w:val="1"/>
    </w:lvl>
  </w:abstractNum>
  <w:abstractNum w:abstractNumId="194">
    <w:nsid w:val="4E0B9A87"/>
    <w:multiLevelType w:val="hybridMultilevel"/>
    <w:lvl w:ilvl="0">
      <w:lvlJc w:val="left"/>
      <w:lvlText w:val="%1."/>
      <w:numFmt w:val="decimal"/>
      <w:start w:val="1"/>
    </w:lvl>
  </w:abstractNum>
  <w:abstractNum w:abstractNumId="195">
    <w:nsid w:val="434BAE75"/>
    <w:multiLevelType w:val="hybridMultilevel"/>
    <w:lvl w:ilvl="0">
      <w:lvlJc w:val="left"/>
      <w:lvlText w:val="%1."/>
      <w:numFmt w:val="decimal"/>
      <w:start w:val="15"/>
    </w:lvl>
  </w:abstractNum>
  <w:abstractNum w:abstractNumId="196">
    <w:nsid w:val="4F38F265"/>
    <w:multiLevelType w:val="hybridMultilevel"/>
    <w:lvl w:ilvl="0">
      <w:lvlJc w:val="left"/>
      <w:lvlText w:val="%1."/>
      <w:numFmt w:val="decimal"/>
      <w:start w:val="2"/>
    </w:lvl>
  </w:abstractNum>
  <w:abstractNum w:abstractNumId="197">
    <w:nsid w:val="4C502870"/>
    <w:multiLevelType w:val="hybridMultilevel"/>
    <w:lvl w:ilvl="0">
      <w:lvlJc w:val="left"/>
      <w:lvlText w:val="%1."/>
      <w:numFmt w:val="decimal"/>
      <w:start w:val="3"/>
    </w:lvl>
  </w:abstractNum>
  <w:abstractNum w:abstractNumId="198">
    <w:nsid w:val="1DE8725A"/>
    <w:multiLevelType w:val="hybridMultilevel"/>
    <w:lvl w:ilvl="0">
      <w:lvlJc w:val="left"/>
      <w:lvlText w:val="%1."/>
      <w:numFmt w:val="decimal"/>
      <w:start w:val="4"/>
    </w:lvl>
  </w:abstractNum>
  <w:abstractNum w:abstractNumId="199">
    <w:nsid w:val="6A37288A"/>
    <w:multiLevelType w:val="hybridMultilevel"/>
    <w:lvl w:ilvl="0">
      <w:lvlJc w:val="left"/>
      <w:lvlText w:val="%1."/>
      <w:numFmt w:val="decimal"/>
      <w:start w:val="5"/>
    </w:lvl>
  </w:abstractNum>
  <w:abstractNum w:abstractNumId="200">
    <w:nsid w:val="8F8B73F"/>
    <w:multiLevelType w:val="hybridMultilevel"/>
    <w:lvl w:ilvl="0">
      <w:lvlJc w:val="left"/>
      <w:lvlText w:val="%1."/>
      <w:numFmt w:val="decimal"/>
      <w:start w:val="7"/>
    </w:lvl>
  </w:abstractNum>
  <w:abstractNum w:abstractNumId="201">
    <w:nsid w:val="CA6B462"/>
    <w:multiLevelType w:val="hybridMultilevel"/>
    <w:lvl w:ilvl="0">
      <w:lvlJc w:val="left"/>
      <w:lvlText w:val="%1."/>
      <w:numFmt w:val="decimal"/>
      <w:start w:val="8"/>
    </w:lvl>
  </w:abstractNum>
  <w:abstractNum w:abstractNumId="202">
    <w:nsid w:val="763CB680"/>
    <w:multiLevelType w:val="hybridMultilevel"/>
    <w:lvl w:ilvl="0">
      <w:lvlJc w:val="left"/>
      <w:lvlText w:val="%1."/>
      <w:numFmt w:val="decimal"/>
      <w:start w:val="9"/>
    </w:lvl>
  </w:abstractNum>
  <w:abstractNum w:abstractNumId="203">
    <w:nsid w:val="15B71329"/>
    <w:multiLevelType w:val="hybridMultilevel"/>
    <w:lvl w:ilvl="0">
      <w:lvlJc w:val="left"/>
      <w:lvlText w:val="%1."/>
      <w:numFmt w:val="decimal"/>
      <w:start w:val="10"/>
    </w:lvl>
  </w:abstractNum>
  <w:abstractNum w:abstractNumId="204">
    <w:nsid w:val="3DA97044"/>
    <w:multiLevelType w:val="hybridMultilevel"/>
    <w:lvl w:ilvl="0">
      <w:lvlJc w:val="left"/>
      <w:lvlText w:val="%1."/>
      <w:numFmt w:val="decimal"/>
      <w:start w:val="11"/>
    </w:lvl>
  </w:abstractNum>
  <w:abstractNum w:abstractNumId="205">
    <w:nsid w:val="1CDCE2DE"/>
    <w:multiLevelType w:val="hybridMultilevel"/>
    <w:lvl w:ilvl="0">
      <w:lvlJc w:val="left"/>
      <w:lvlText w:val="%1."/>
      <w:numFmt w:val="decimal"/>
      <w:start w:val="12"/>
    </w:lvl>
  </w:abstractNum>
  <w:abstractNum w:abstractNumId="206">
    <w:nsid w:val="69D3947C"/>
    <w:multiLevelType w:val="hybridMultilevel"/>
    <w:lvl w:ilvl="0">
      <w:lvlJc w:val="left"/>
      <w:lvlText w:val="%1."/>
      <w:numFmt w:val="decimal"/>
      <w:start w:val="13"/>
    </w:lvl>
  </w:abstractNum>
  <w:abstractNum w:abstractNumId="207">
    <w:nsid w:val="2539DFA5"/>
    <w:multiLevelType w:val="hybridMultilevel"/>
    <w:lvl w:ilvl="0">
      <w:lvlJc w:val="left"/>
      <w:lvlText w:val="%1."/>
      <w:numFmt w:val="decimal"/>
      <w:start w:val="14"/>
    </w:lvl>
  </w:abstractNum>
  <w:abstractNum w:abstractNumId="208">
    <w:nsid w:val="2DB88089"/>
    <w:multiLevelType w:val="hybridMultilevel"/>
    <w:lvl w:ilvl="0">
      <w:lvlJc w:val="left"/>
      <w:lvlText w:val="%1."/>
      <w:numFmt w:val="decimal"/>
      <w:start w:val="15"/>
    </w:lvl>
  </w:abstractNum>
  <w:abstractNum w:abstractNumId="209">
    <w:nsid w:val="706B674E"/>
    <w:multiLevelType w:val="hybridMultilevel"/>
    <w:lvl w:ilvl="0">
      <w:lvlJc w:val="left"/>
      <w:lvlText w:val="%1."/>
      <w:numFmt w:val="decimal"/>
      <w:start w:val="16"/>
    </w:lvl>
  </w:abstractNum>
  <w:abstractNum w:abstractNumId="210">
    <w:nsid w:val="2C106A57"/>
    <w:multiLevelType w:val="hybridMultilevel"/>
    <w:lvl w:ilvl="0">
      <w:lvlJc w:val="left"/>
      <w:lvlText w:val="$"/>
      <w:numFmt w:val="bullet"/>
      <w:start w:val="1"/>
    </w:lvl>
  </w:abstractNum>
  <w:abstractNum w:abstractNumId="211">
    <w:nsid w:val="684EED59"/>
    <w:multiLevelType w:val="hybridMultilevel"/>
    <w:lvl w:ilvl="0">
      <w:lvlJc w:val="left"/>
      <w:lvlText w:val="$"/>
      <w:numFmt w:val="bullet"/>
      <w:start w:val="1"/>
    </w:lvl>
  </w:abstractNum>
  <w:abstractNum w:abstractNumId="212">
    <w:nsid w:val="545EE5D3"/>
    <w:multiLevelType w:val="hybridMultilevel"/>
    <w:lvl w:ilvl="0">
      <w:lvlJc w:val="left"/>
      <w:lvlText w:val="%1."/>
      <w:numFmt w:val="decimal"/>
      <w:start w:val="17"/>
    </w:lvl>
  </w:abstractNum>
  <w:abstractNum w:abstractNumId="213">
    <w:nsid w:val="4A66051"/>
    <w:multiLevelType w:val="hybridMultilevel"/>
    <w:lvl w:ilvl="0">
      <w:lvlJc w:val="left"/>
      <w:lvlText w:val="%1."/>
      <w:numFmt w:val="decimal"/>
      <w:start w:val="18"/>
    </w:lvl>
  </w:abstractNum>
  <w:abstractNum w:abstractNumId="214">
    <w:nsid w:val="20F4BDAD"/>
    <w:multiLevelType w:val="hybridMultilevel"/>
    <w:lvl w:ilvl="0">
      <w:lvlJc w:val="left"/>
      <w:lvlText w:val="%1."/>
      <w:numFmt w:val="decimal"/>
      <w:start w:val="19"/>
    </w:lvl>
  </w:abstractNum>
  <w:abstractNum w:abstractNumId="215">
    <w:nsid w:val="639DEFAC"/>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2021-11-19T15:15:07Z</dcterms:created>
  <dcterms:modified xsi:type="dcterms:W3CDTF">2021-11-19T15:15:07Z</dcterms:modified>
</cp:coreProperties>
</file>