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424180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7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445770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640"/>
        <w:spacing w:after="0"/>
        <w:rPr>
          <w:sz w:val="20"/>
          <w:szCs w:val="20"/>
          <w:color w:val="auto"/>
        </w:rPr>
      </w:pPr>
      <w:r>
        <w:rPr>
          <w:rFonts w:ascii="Arial" w:cs="Arial" w:eastAsia="Arial" w:hAnsi="Arial"/>
          <w:sz w:val="36"/>
          <w:szCs w:val="36"/>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4" w:lineRule="exact"/>
        <w:rPr>
          <w:sz w:val="24"/>
          <w:szCs w:val="24"/>
          <w:color w:val="auto"/>
        </w:rPr>
      </w:pPr>
    </w:p>
    <w:p>
      <w:pPr>
        <w:ind w:left="1140" w:hanging="352"/>
        <w:spacing w:after="0"/>
        <w:tabs>
          <w:tab w:leader="none" w:pos="1140" w:val="left"/>
        </w:tabs>
        <w:numPr>
          <w:ilvl w:val="1"/>
          <w:numId w:val="1"/>
        </w:numPr>
        <w:rPr>
          <w:rFonts w:ascii="MS PGothic" w:cs="MS PGothic" w:eastAsia="MS PGothic" w:hAnsi="MS PGothic"/>
          <w:sz w:val="22"/>
          <w:szCs w:val="22"/>
          <w:color w:val="auto"/>
          <w:highlight w:val="lightGray"/>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highlight w:val="lightGray"/>
        </w:rPr>
      </w:pPr>
    </w:p>
    <w:p>
      <w:pPr>
        <w:jc w:val="both"/>
        <w:ind w:left="780" w:right="8220" w:firstLine="8"/>
        <w:spacing w:after="0" w:line="268" w:lineRule="exact"/>
        <w:tabs>
          <w:tab w:leader="none" w:pos="1131" w:val="left"/>
        </w:tabs>
        <w:numPr>
          <w:ilvl w:val="1"/>
          <w:numId w:val="1"/>
        </w:numPr>
        <w:rPr>
          <w:rFonts w:ascii="MS PGothic" w:cs="MS PGothic" w:eastAsia="MS PGothic" w:hAnsi="MS PGothic"/>
          <w:sz w:val="19"/>
          <w:szCs w:val="19"/>
          <w:color w:val="auto"/>
          <w:highlight w:val="lightGray"/>
        </w:rPr>
      </w:pPr>
      <w:r>
        <w:rPr>
          <w:rFonts w:ascii="Arial" w:cs="Arial" w:eastAsia="Arial" w:hAnsi="Arial"/>
          <w:sz w:val="19"/>
          <w:szCs w:val="19"/>
          <w:color w:val="auto"/>
        </w:rPr>
        <w:t xml:space="preserve">Rule 13d-1(c) </w:t>
      </w:r>
      <w:r>
        <w:rPr>
          <w:rFonts w:ascii="MS PGothic" w:cs="MS PGothic" w:eastAsia="MS PGothic" w:hAnsi="MS PGothic"/>
          <w:sz w:val="19"/>
          <w:szCs w:val="19"/>
          <w:color w:val="auto"/>
          <w:highlight w:val="lightGray"/>
        </w:rPr>
        <w:t>☒</w:t>
      </w:r>
      <w:r>
        <w:rPr>
          <w:rFonts w:ascii="Arial" w:cs="Arial" w:eastAsia="Arial" w:hAnsi="Arial"/>
          <w:sz w:val="19"/>
          <w:szCs w:val="19"/>
          <w:color w:val="auto"/>
        </w:rPr>
        <w:t xml:space="preserve"> Rule 13d-1(d)</w:t>
      </w:r>
    </w:p>
    <w:p>
      <w:pPr>
        <w:spacing w:after="0" w:line="169" w:lineRule="exact"/>
        <w:rPr>
          <w:rFonts w:ascii="MS PGothic" w:cs="MS PGothic" w:eastAsia="MS PGothic" w:hAnsi="MS PGothic"/>
          <w:sz w:val="19"/>
          <w:szCs w:val="19"/>
          <w:color w:val="auto"/>
          <w:highlight w:val="lightGray"/>
        </w:rPr>
      </w:pPr>
    </w:p>
    <w:p>
      <w:pPr>
        <w:spacing w:after="0" w:line="308" w:lineRule="auto"/>
        <w:rPr>
          <w:rFonts w:ascii="MS PGothic" w:cs="MS PGothic" w:eastAsia="MS PGothic" w:hAnsi="MS PGothic"/>
          <w:sz w:val="19"/>
          <w:szCs w:val="19"/>
          <w:color w:val="auto"/>
          <w:highlight w:val="lightGray"/>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2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1" w:lineRule="auto"/>
        <w:tabs>
          <w:tab w:leader="none" w:pos="800" w:val="left"/>
        </w:tabs>
        <w:numPr>
          <w:ilvl w:val="0"/>
          <w:numId w:val="2"/>
        </w:numPr>
        <w:rPr>
          <w:rFonts w:ascii="Arial" w:cs="Arial" w:eastAsia="Arial" w:hAnsi="Arial"/>
          <w:sz w:val="56"/>
          <w:szCs w:val="56"/>
          <w:b w:val="1"/>
          <w:bCs w:val="1"/>
          <w:color w:val="auto"/>
          <w:vertAlign w:val="subscript"/>
        </w:rPr>
      </w:pPr>
      <w:r>
        <w:rPr>
          <w:rFonts w:ascii="Arial" w:cs="Arial" w:eastAsia="Arial" w:hAnsi="Arial"/>
          <w:sz w:val="18"/>
          <w:szCs w:val="18"/>
          <w:color w:val="auto"/>
        </w:rPr>
        <w:t>NAMES OF REPORTING PERSON(S)</w:t>
      </w:r>
    </w:p>
    <w:p>
      <w:pPr>
        <w:spacing w:after="0" w:line="198" w:lineRule="exact"/>
        <w:rPr>
          <w:rFonts w:ascii="Arial" w:cs="Arial" w:eastAsia="Arial" w:hAnsi="Arial"/>
          <w:sz w:val="56"/>
          <w:szCs w:val="56"/>
          <w:b w:val="1"/>
          <w:bCs w:val="1"/>
          <w:color w:val="auto"/>
          <w:vertAlign w:val="subscript"/>
        </w:rPr>
      </w:pPr>
    </w:p>
    <w:p>
      <w:pPr>
        <w:ind w:left="800"/>
        <w:spacing w:after="0"/>
        <w:rPr>
          <w:rFonts w:ascii="Arial" w:cs="Arial" w:eastAsia="Arial" w:hAnsi="Arial"/>
          <w:sz w:val="56"/>
          <w:szCs w:val="56"/>
          <w:b w:val="1"/>
          <w:bCs w:val="1"/>
          <w:color w:val="auto"/>
          <w:vertAlign w:val="subscript"/>
        </w:rPr>
      </w:pPr>
      <w:r>
        <w:rPr>
          <w:rFonts w:ascii="Arial" w:cs="Arial" w:eastAsia="Arial" w:hAnsi="Arial"/>
          <w:sz w:val="18"/>
          <w:szCs w:val="18"/>
          <w:b w:val="1"/>
          <w:bCs w:val="1"/>
          <w:color w:val="auto"/>
        </w:rPr>
        <w:t>SE VII DHC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5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415530"/>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5"/>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22,124,496</w:t>
      </w:r>
    </w:p>
    <w:p>
      <w:pPr>
        <w:ind w:left="642" w:hanging="642"/>
        <w:spacing w:after="0" w:line="199" w:lineRule="auto"/>
        <w:tabs>
          <w:tab w:leader="none" w:pos="642"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8"/>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22,124,496</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8" w:lineRule="auto"/>
        <w:tabs>
          <w:tab w:leader="none" w:pos="86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22,124,496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17.4%</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3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10"/>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SE VII DHC AIV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11"/>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7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13"/>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14"/>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2,309,392</w:t>
      </w:r>
    </w:p>
    <w:p>
      <w:pPr>
        <w:ind w:left="642" w:hanging="642"/>
        <w:spacing w:after="0" w:line="199" w:lineRule="auto"/>
        <w:tabs>
          <w:tab w:leader="none" w:pos="642"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16"/>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2,309,392</w:t>
      </w:r>
    </w:p>
    <w:p>
      <w:pPr>
        <w:spacing w:after="0" w:line="1" w:lineRule="exact"/>
        <w:rPr>
          <w:sz w:val="20"/>
          <w:szCs w:val="20"/>
          <w:color w:val="auto"/>
        </w:rPr>
      </w:pPr>
    </w:p>
    <w:p>
      <w:pPr>
        <w:sectPr>
          <w:pgSz w:w="11900" w:h="16838" w:orient="portrait"/>
          <w:cols w:equalWidth="0" w:num="2">
            <w:col w:w="1500" w:space="578"/>
            <w:col w:w="9162"/>
          </w:cols>
          <w:pgMar w:left="320" w:top="713" w:right="339" w:bottom="1440" w:gutter="0" w:footer="0" w:header="0"/>
          <w:type w:val="continuous"/>
        </w:sectPr>
      </w:pPr>
    </w:p>
    <w:p>
      <w:pPr>
        <w:ind w:left="860" w:hanging="604"/>
        <w:spacing w:after="0" w:line="228" w:lineRule="auto"/>
        <w:tabs>
          <w:tab w:leader="none" w:pos="860" w:val="left"/>
        </w:tabs>
        <w:numPr>
          <w:ilvl w:val="0"/>
          <w:numId w:val="17"/>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2,309,392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2.2%</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3" w:right="339" w:bottom="1440"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4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18"/>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Spectrum VII Investment Managers’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19"/>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20"/>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21"/>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22"/>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32,148</w:t>
      </w:r>
    </w:p>
    <w:p>
      <w:pPr>
        <w:ind w:left="642" w:hanging="642"/>
        <w:spacing w:after="0" w:line="199" w:lineRule="auto"/>
        <w:tabs>
          <w:tab w:leader="none" w:pos="642" w:val="left"/>
        </w:tabs>
        <w:numPr>
          <w:ilvl w:val="0"/>
          <w:numId w:val="23"/>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24"/>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32,148</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8" w:lineRule="auto"/>
        <w:tabs>
          <w:tab w:leader="none" w:pos="860" w:val="left"/>
        </w:tabs>
        <w:numPr>
          <w:ilvl w:val="0"/>
          <w:numId w:val="25"/>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32,148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&lt;0.1%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5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26"/>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Spectrum VII Co-Investment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27"/>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28"/>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29"/>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30"/>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18,779</w:t>
      </w:r>
    </w:p>
    <w:p>
      <w:pPr>
        <w:ind w:left="642" w:hanging="642"/>
        <w:spacing w:after="0" w:line="199" w:lineRule="auto"/>
        <w:tabs>
          <w:tab w:leader="none" w:pos="642" w:val="left"/>
        </w:tabs>
        <w:numPr>
          <w:ilvl w:val="0"/>
          <w:numId w:val="31"/>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32"/>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18,779</w:t>
      </w:r>
    </w:p>
    <w:p>
      <w:pPr>
        <w:spacing w:after="0" w:line="1" w:lineRule="exact"/>
        <w:rPr>
          <w:sz w:val="20"/>
          <w:szCs w:val="20"/>
          <w:color w:val="auto"/>
        </w:rPr>
      </w:pPr>
    </w:p>
    <w:p>
      <w:pPr>
        <w:sectPr>
          <w:pgSz w:w="11900" w:h="16838" w:orient="portrait"/>
          <w:cols w:equalWidth="0" w:num="2">
            <w:col w:w="1500" w:space="578"/>
            <w:col w:w="9162"/>
          </w:cols>
          <w:pgMar w:left="320" w:top="687" w:right="339" w:bottom="1440" w:gutter="0" w:footer="0" w:header="0"/>
          <w:type w:val="continuous"/>
        </w:sectPr>
      </w:pPr>
    </w:p>
    <w:p>
      <w:pPr>
        <w:ind w:left="860" w:hanging="604"/>
        <w:spacing w:after="0" w:line="228" w:lineRule="auto"/>
        <w:tabs>
          <w:tab w:leader="none" w:pos="860" w:val="left"/>
        </w:tabs>
        <w:numPr>
          <w:ilvl w:val="0"/>
          <w:numId w:val="33"/>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18,779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&lt;0.1%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6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34"/>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Spectrum Equity Associates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380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38060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35"/>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36"/>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4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37"/>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38"/>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24,433,888</w:t>
      </w:r>
    </w:p>
    <w:p>
      <w:pPr>
        <w:ind w:left="642" w:hanging="642"/>
        <w:spacing w:after="0" w:line="199" w:lineRule="auto"/>
        <w:tabs>
          <w:tab w:leader="none" w:pos="642" w:val="left"/>
        </w:tabs>
        <w:numPr>
          <w:ilvl w:val="0"/>
          <w:numId w:val="39"/>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40"/>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24,433,888</w:t>
      </w:r>
    </w:p>
    <w:p>
      <w:pPr>
        <w:spacing w:after="0" w:line="1" w:lineRule="exact"/>
        <w:rPr>
          <w:sz w:val="20"/>
          <w:szCs w:val="20"/>
          <w:color w:val="auto"/>
        </w:rPr>
      </w:pPr>
    </w:p>
    <w:p>
      <w:pPr>
        <w:sectPr>
          <w:pgSz w:w="11900" w:h="16838" w:orient="portrait"/>
          <w:cols w:equalWidth="0" w:num="2">
            <w:col w:w="1500" w:space="578"/>
            <w:col w:w="9162"/>
          </w:cols>
          <w:pgMar w:left="320" w:top="471" w:right="339" w:bottom="1440" w:gutter="0" w:footer="0" w:header="0"/>
          <w:type w:val="continuous"/>
        </w:sectPr>
      </w:pPr>
    </w:p>
    <w:p>
      <w:pPr>
        <w:ind w:left="860" w:hanging="604"/>
        <w:spacing w:after="0" w:line="228" w:lineRule="auto"/>
        <w:tabs>
          <w:tab w:leader="none" w:pos="860" w:val="left"/>
        </w:tabs>
        <w:numPr>
          <w:ilvl w:val="0"/>
          <w:numId w:val="41"/>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24,433,888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2"/>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2"/>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19.2%</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40" w:type="dxa"/>
            <w:vAlign w:val="bottom"/>
          </w:tcPr>
          <w:p>
            <w:pPr>
              <w:jc w:val="right"/>
              <w:ind w:right="122"/>
              <w:spacing w:after="0" w:line="183" w:lineRule="exact"/>
              <w:rPr>
                <w:sz w:val="20"/>
                <w:szCs w:val="20"/>
                <w:color w:val="auto"/>
              </w:rPr>
            </w:pPr>
            <w:r>
              <w:rPr>
                <w:rFonts w:ascii="Arial" w:cs="Arial" w:eastAsia="Arial" w:hAnsi="Arial"/>
                <w:sz w:val="21"/>
                <w:szCs w:val="21"/>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6"/>
                <w:szCs w:val="16"/>
                <w:color w:val="auto"/>
              </w:rPr>
              <w:t>TYPE OF REPORTING PERSON</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6"/>
                <w:szCs w:val="16"/>
                <w:b w:val="1"/>
                <w:bCs w:val="1"/>
                <w:color w:val="auto"/>
              </w:rPr>
              <w:t>PN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1"/>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1" w:right="339" w:bottom="1440"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7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ind w:left="800" w:hanging="639"/>
        <w:spacing w:after="0" w:line="184" w:lineRule="auto"/>
        <w:tabs>
          <w:tab w:leader="none" w:pos="800" w:val="left"/>
        </w:tabs>
        <w:numPr>
          <w:ilvl w:val="0"/>
          <w:numId w:val="42"/>
        </w:numPr>
        <w:rPr>
          <w:rFonts w:ascii="Arial" w:cs="Arial" w:eastAsia="Arial" w:hAnsi="Arial"/>
          <w:sz w:val="58"/>
          <w:szCs w:val="58"/>
          <w:b w:val="1"/>
          <w:bCs w:val="1"/>
          <w:color w:val="auto"/>
          <w:vertAlign w:val="subscript"/>
        </w:rPr>
      </w:pPr>
      <w:r>
        <w:rPr>
          <w:rFonts w:ascii="Arial" w:cs="Arial" w:eastAsia="Arial" w:hAnsi="Arial"/>
          <w:sz w:val="18"/>
          <w:szCs w:val="18"/>
          <w:color w:val="auto"/>
        </w:rPr>
        <w:t>NAMES OF REPORTING PERSON(S)</w:t>
      </w:r>
    </w:p>
    <w:p>
      <w:pPr>
        <w:spacing w:after="0" w:line="199"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SEA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7414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41489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31"/>
        </w:trPr>
        <w:tc>
          <w:tcPr>
            <w:tcW w:w="400" w:type="dxa"/>
            <w:vAlign w:val="bottom"/>
            <w:vMerge w:val="restart"/>
          </w:tcPr>
          <w:p>
            <w:pPr>
              <w:jc w:val="right"/>
              <w:ind w:right="116"/>
              <w:spacing w:after="0"/>
              <w:rPr>
                <w:sz w:val="20"/>
                <w:szCs w:val="20"/>
                <w:color w:val="auto"/>
              </w:rPr>
            </w:pPr>
            <w:r>
              <w:rPr>
                <w:rFonts w:ascii="Arial" w:cs="Arial" w:eastAsia="Arial" w:hAnsi="Arial"/>
                <w:sz w:val="29"/>
                <w:szCs w:val="29"/>
                <w:b w:val="1"/>
                <w:bCs w:val="1"/>
                <w:color w:val="auto"/>
                <w:w w:val="74"/>
              </w:rPr>
              <w:t>2</w:t>
            </w:r>
          </w:p>
        </w:tc>
        <w:tc>
          <w:tcPr>
            <w:tcW w:w="7640" w:type="dxa"/>
            <w:vAlign w:val="bottom"/>
            <w:vMerge w:val="restart"/>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2640" w:type="dxa"/>
            <w:vAlign w:val="bottom"/>
            <w:vMerge w:val="restart"/>
          </w:tcPr>
          <w:p>
            <w:pPr>
              <w:ind w:left="24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60" w:type="dxa"/>
            <w:vAlign w:val="bottom"/>
            <w:gridSpan w:val="2"/>
          </w:tcPr>
          <w:p>
            <w:pPr>
              <w:ind w:left="242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0" w:hanging="639"/>
        <w:spacing w:after="0"/>
        <w:tabs>
          <w:tab w:leader="none" w:pos="800" w:val="left"/>
        </w:tabs>
        <w:numPr>
          <w:ilvl w:val="0"/>
          <w:numId w:val="43"/>
        </w:numPr>
        <w:rPr>
          <w:rFonts w:ascii="Arial" w:cs="Arial" w:eastAsia="Arial" w:hAnsi="Arial"/>
          <w:sz w:val="58"/>
          <w:szCs w:val="58"/>
          <w:b w:val="1"/>
          <w:bCs w:val="1"/>
          <w:color w:val="auto"/>
          <w:vertAlign w:val="subscript"/>
        </w:rPr>
      </w:pPr>
      <w:r>
        <w:rPr>
          <w:rFonts w:ascii="Arial" w:cs="Arial" w:eastAsia="Arial" w:hAnsi="Arial"/>
          <w:sz w:val="18"/>
          <w:szCs w:val="18"/>
          <w:color w:val="auto"/>
        </w:rPr>
        <w:t>SEC USE ONLY</w:t>
      </w:r>
    </w:p>
    <w:p>
      <w:pPr>
        <w:spacing w:after="0" w:line="292" w:lineRule="exact"/>
        <w:rPr>
          <w:sz w:val="20"/>
          <w:szCs w:val="20"/>
          <w:color w:val="auto"/>
        </w:rPr>
      </w:pPr>
    </w:p>
    <w:p>
      <w:pPr>
        <w:ind w:left="800" w:hanging="639"/>
        <w:spacing w:after="0"/>
        <w:tabs>
          <w:tab w:leader="none" w:pos="800" w:val="left"/>
        </w:tabs>
        <w:numPr>
          <w:ilvl w:val="0"/>
          <w:numId w:val="44"/>
        </w:numPr>
        <w:rPr>
          <w:rFonts w:ascii="Arial" w:cs="Arial" w:eastAsia="Arial" w:hAnsi="Arial"/>
          <w:sz w:val="58"/>
          <w:szCs w:val="58"/>
          <w:b w:val="1"/>
          <w:bCs w:val="1"/>
          <w:color w:val="auto"/>
          <w:vertAlign w:val="subscript"/>
        </w:rPr>
      </w:pPr>
      <w:r>
        <w:rPr>
          <w:rFonts w:ascii="Arial" w:cs="Arial" w:eastAsia="Arial" w:hAnsi="Arial"/>
          <w:sz w:val="18"/>
          <w:szCs w:val="18"/>
          <w:color w:val="auto"/>
        </w:rPr>
        <w:t>CITIZENSHIP OR PLACE OF ORGANIZATION</w:t>
      </w:r>
    </w:p>
    <w:p>
      <w:pPr>
        <w:spacing w:after="0" w:line="197" w:lineRule="exact"/>
        <w:rPr>
          <w:rFonts w:ascii="Arial" w:cs="Arial" w:eastAsia="Arial" w:hAnsi="Arial"/>
          <w:sz w:val="58"/>
          <w:szCs w:val="58"/>
          <w:b w:val="1"/>
          <w:bCs w:val="1"/>
          <w:color w:val="auto"/>
          <w:vertAlign w:val="subscript"/>
        </w:rPr>
      </w:pPr>
    </w:p>
    <w:p>
      <w:pPr>
        <w:ind w:left="80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Delaware</w:t>
      </w:r>
    </w:p>
    <w:p>
      <w:pPr>
        <w:sectPr>
          <w:pgSz w:w="11900" w:h="16838" w:orient="portrait"/>
          <w:cols w:equalWidth="0" w:num="1">
            <w:col w:w="11240"/>
          </w:cols>
          <w:pgMar w:left="320" w:top="6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BENEFICIALLY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OWNED BY EACH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REPORTING</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PERSON WITH</w:t>
      </w:r>
    </w:p>
    <w:p>
      <w:pPr>
        <w:spacing w:after="0" w:line="20" w:lineRule="exact"/>
        <w:rPr>
          <w:sz w:val="20"/>
          <w:szCs w:val="20"/>
          <w:color w:val="auto"/>
        </w:rPr>
      </w:pPr>
      <w:r>
        <w:rPr>
          <w:sz w:val="20"/>
          <w:szCs w:val="20"/>
          <w:color w:val="auto"/>
        </w:rPr>
        <w:br w:type="column"/>
      </w:r>
    </w:p>
    <w:p>
      <w:pPr>
        <w:ind w:left="642" w:hanging="642"/>
        <w:spacing w:after="0" w:line="228" w:lineRule="auto"/>
        <w:tabs>
          <w:tab w:leader="none" w:pos="642" w:val="left"/>
        </w:tabs>
        <w:numPr>
          <w:ilvl w:val="0"/>
          <w:numId w:val="45"/>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199" w:lineRule="auto"/>
        <w:tabs>
          <w:tab w:leader="none" w:pos="642" w:val="left"/>
        </w:tabs>
        <w:numPr>
          <w:ilvl w:val="0"/>
          <w:numId w:val="46"/>
        </w:numPr>
        <w:rPr>
          <w:rFonts w:ascii="Arial" w:cs="Arial" w:eastAsia="Arial" w:hAnsi="Arial"/>
          <w:sz w:val="58"/>
          <w:szCs w:val="58"/>
          <w:b w:val="1"/>
          <w:bCs w:val="1"/>
          <w:color w:val="auto"/>
          <w:vertAlign w:val="subscript"/>
        </w:rPr>
      </w:pPr>
      <w:r>
        <w:rPr>
          <w:rFonts w:ascii="Arial" w:cs="Arial" w:eastAsia="Arial" w:hAnsi="Arial"/>
          <w:sz w:val="18"/>
          <w:szCs w:val="18"/>
          <w:color w:val="auto"/>
        </w:rPr>
        <w:t>SHARED VOTING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24,484,815</w:t>
      </w:r>
    </w:p>
    <w:p>
      <w:pPr>
        <w:ind w:left="642" w:hanging="642"/>
        <w:spacing w:after="0" w:line="199" w:lineRule="auto"/>
        <w:tabs>
          <w:tab w:leader="none" w:pos="642" w:val="left"/>
        </w:tabs>
        <w:numPr>
          <w:ilvl w:val="0"/>
          <w:numId w:val="47"/>
        </w:numPr>
        <w:rPr>
          <w:rFonts w:ascii="Arial" w:cs="Arial" w:eastAsia="Arial" w:hAnsi="Arial"/>
          <w:sz w:val="58"/>
          <w:szCs w:val="58"/>
          <w:b w:val="1"/>
          <w:bCs w:val="1"/>
          <w:color w:val="auto"/>
          <w:vertAlign w:val="subscript"/>
        </w:rPr>
      </w:pPr>
      <w:r>
        <w:rPr>
          <w:rFonts w:ascii="Arial" w:cs="Arial" w:eastAsia="Arial" w:hAnsi="Arial"/>
          <w:sz w:val="18"/>
          <w:szCs w:val="18"/>
          <w:color w:val="auto"/>
        </w:rPr>
        <w:t>SOLE DISPOSITIVE POWER</w:t>
      </w:r>
    </w:p>
    <w:p>
      <w:pPr>
        <w:spacing w:after="0" w:line="198" w:lineRule="exact"/>
        <w:rPr>
          <w:rFonts w:ascii="Arial" w:cs="Arial" w:eastAsia="Arial" w:hAnsi="Arial"/>
          <w:sz w:val="58"/>
          <w:szCs w:val="58"/>
          <w:b w:val="1"/>
          <w:bCs w:val="1"/>
          <w:color w:val="auto"/>
          <w:vertAlign w:val="subscript"/>
        </w:rPr>
      </w:pPr>
    </w:p>
    <w:p>
      <w:pPr>
        <w:ind w:left="642"/>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0</w:t>
      </w:r>
    </w:p>
    <w:p>
      <w:pPr>
        <w:ind w:left="642" w:hanging="642"/>
        <w:spacing w:after="0" w:line="218" w:lineRule="auto"/>
        <w:tabs>
          <w:tab w:leader="none" w:pos="642" w:val="left"/>
        </w:tabs>
        <w:numPr>
          <w:ilvl w:val="0"/>
          <w:numId w:val="48"/>
        </w:numPr>
        <w:rPr>
          <w:rFonts w:ascii="Arial" w:cs="Arial" w:eastAsia="Arial" w:hAnsi="Arial"/>
          <w:sz w:val="53"/>
          <w:szCs w:val="53"/>
          <w:b w:val="1"/>
          <w:bCs w:val="1"/>
          <w:color w:val="auto"/>
          <w:vertAlign w:val="subscript"/>
        </w:rPr>
      </w:pPr>
      <w:r>
        <w:rPr>
          <w:rFonts w:ascii="Arial" w:cs="Arial" w:eastAsia="Arial" w:hAnsi="Arial"/>
          <w:sz w:val="17"/>
          <w:szCs w:val="17"/>
          <w:color w:val="auto"/>
        </w:rPr>
        <w:t>SHARED DISPOSITIVE POWER</w:t>
      </w:r>
    </w:p>
    <w:p>
      <w:pPr>
        <w:spacing w:after="0" w:line="197" w:lineRule="exact"/>
        <w:rPr>
          <w:rFonts w:ascii="Arial" w:cs="Arial" w:eastAsia="Arial" w:hAnsi="Arial"/>
          <w:sz w:val="53"/>
          <w:szCs w:val="53"/>
          <w:b w:val="1"/>
          <w:bCs w:val="1"/>
          <w:color w:val="auto"/>
          <w:vertAlign w:val="subscript"/>
        </w:rPr>
      </w:pPr>
    </w:p>
    <w:p>
      <w:pPr>
        <w:ind w:left="642"/>
        <w:spacing w:after="0"/>
        <w:rPr>
          <w:rFonts w:ascii="Arial" w:cs="Arial" w:eastAsia="Arial" w:hAnsi="Arial"/>
          <w:sz w:val="53"/>
          <w:szCs w:val="53"/>
          <w:b w:val="1"/>
          <w:bCs w:val="1"/>
          <w:color w:val="auto"/>
          <w:vertAlign w:val="subscript"/>
        </w:rPr>
      </w:pPr>
      <w:r>
        <w:rPr>
          <w:rFonts w:ascii="Arial" w:cs="Arial" w:eastAsia="Arial" w:hAnsi="Arial"/>
          <w:sz w:val="18"/>
          <w:szCs w:val="18"/>
          <w:b w:val="1"/>
          <w:bCs w:val="1"/>
          <w:color w:val="auto"/>
        </w:rPr>
        <w:t>24,484,815</w:t>
      </w:r>
    </w:p>
    <w:p>
      <w:pPr>
        <w:spacing w:after="0" w:line="1" w:lineRule="exact"/>
        <w:rPr>
          <w:sz w:val="20"/>
          <w:szCs w:val="20"/>
          <w:color w:val="auto"/>
        </w:rPr>
      </w:pPr>
    </w:p>
    <w:p>
      <w:pPr>
        <w:sectPr>
          <w:pgSz w:w="11900" w:h="16838" w:orient="portrait"/>
          <w:cols w:equalWidth="0" w:num="2">
            <w:col w:w="1500" w:space="578"/>
            <w:col w:w="9162"/>
          </w:cols>
          <w:pgMar w:left="320" w:top="686" w:right="339" w:bottom="1440" w:gutter="0" w:footer="0" w:header="0"/>
          <w:type w:val="continuous"/>
        </w:sectPr>
      </w:pPr>
    </w:p>
    <w:p>
      <w:pPr>
        <w:ind w:left="860" w:hanging="604"/>
        <w:spacing w:after="0" w:line="228" w:lineRule="auto"/>
        <w:tabs>
          <w:tab w:leader="none" w:pos="860" w:val="left"/>
        </w:tabs>
        <w:numPr>
          <w:ilvl w:val="0"/>
          <w:numId w:val="49"/>
        </w:numPr>
        <w:rPr>
          <w:rFonts w:ascii="Arial" w:cs="Arial" w:eastAsia="Arial" w:hAnsi="Arial"/>
          <w:sz w:val="58"/>
          <w:szCs w:val="58"/>
          <w:b w:val="1"/>
          <w:bCs w:val="1"/>
          <w:color w:val="auto"/>
          <w:vertAlign w:val="subscript"/>
        </w:rPr>
      </w:pPr>
      <w:r>
        <w:rPr>
          <w:rFonts w:ascii="Arial" w:cs="Arial" w:eastAsia="Arial" w:hAnsi="Arial"/>
          <w:sz w:val="18"/>
          <w:szCs w:val="18"/>
          <w:color w:val="auto"/>
        </w:rPr>
        <w:t>AGGREGATE AMOUNT BENEFICIALLY OWNED BY EACH REPORTING PERSON</w:t>
      </w:r>
    </w:p>
    <w:p>
      <w:pPr>
        <w:spacing w:after="0" w:line="198" w:lineRule="exact"/>
        <w:rPr>
          <w:rFonts w:ascii="Arial" w:cs="Arial" w:eastAsia="Arial" w:hAnsi="Arial"/>
          <w:sz w:val="58"/>
          <w:szCs w:val="58"/>
          <w:b w:val="1"/>
          <w:bCs w:val="1"/>
          <w:color w:val="auto"/>
          <w:vertAlign w:val="subscript"/>
        </w:rPr>
      </w:pPr>
    </w:p>
    <w:p>
      <w:pPr>
        <w:ind w:left="860"/>
        <w:spacing w:after="0"/>
        <w:rPr>
          <w:rFonts w:ascii="Arial" w:cs="Arial" w:eastAsia="Arial" w:hAnsi="Arial"/>
          <w:sz w:val="58"/>
          <w:szCs w:val="58"/>
          <w:b w:val="1"/>
          <w:bCs w:val="1"/>
          <w:color w:val="auto"/>
          <w:vertAlign w:val="subscript"/>
        </w:rPr>
      </w:pPr>
      <w:r>
        <w:rPr>
          <w:rFonts w:ascii="Arial" w:cs="Arial" w:eastAsia="Arial" w:hAnsi="Arial"/>
          <w:sz w:val="18"/>
          <w:szCs w:val="18"/>
          <w:b w:val="1"/>
          <w:bCs w:val="1"/>
          <w:color w:val="auto"/>
        </w:rPr>
        <w:t>24,484,815</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640" w:type="dxa"/>
            <w:vAlign w:val="bottom"/>
            <w:vMerge w:val="restart"/>
          </w:tcPr>
          <w:p>
            <w:pPr>
              <w:jc w:val="right"/>
              <w:ind w:right="120"/>
              <w:spacing w:after="0"/>
              <w:rPr>
                <w:sz w:val="20"/>
                <w:szCs w:val="20"/>
                <w:color w:val="auto"/>
              </w:rPr>
            </w:pPr>
            <w:r>
              <w:rPr>
                <w:rFonts w:ascii="Arial" w:cs="Arial" w:eastAsia="Arial" w:hAnsi="Arial"/>
                <w:sz w:val="29"/>
                <w:szCs w:val="29"/>
                <w:b w:val="1"/>
                <w:bCs w:val="1"/>
                <w:color w:val="auto"/>
              </w:rPr>
              <w:t>10</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11</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19.3%</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tcBorders>
          </w:tcPr>
          <w:p>
            <w:pPr>
              <w:spacing w:after="0"/>
              <w:rPr>
                <w:sz w:val="22"/>
                <w:szCs w:val="22"/>
                <w:color w:val="auto"/>
              </w:rPr>
            </w:pPr>
          </w:p>
        </w:tc>
        <w:tc>
          <w:tcPr>
            <w:tcW w:w="8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right"/>
              <w:ind w:right="120"/>
              <w:spacing w:after="0" w:line="195" w:lineRule="exact"/>
              <w:rPr>
                <w:sz w:val="20"/>
                <w:szCs w:val="20"/>
                <w:color w:val="auto"/>
              </w:rPr>
            </w:pPr>
            <w:r>
              <w:rPr>
                <w:rFonts w:ascii="Arial" w:cs="Arial" w:eastAsia="Arial" w:hAnsi="Arial"/>
                <w:sz w:val="22"/>
                <w:szCs w:val="22"/>
                <w:b w:val="1"/>
                <w:bCs w:val="1"/>
                <w:color w:val="auto"/>
              </w:rPr>
              <w:t>12</w:t>
            </w:r>
          </w:p>
        </w:tc>
        <w:tc>
          <w:tcPr>
            <w:tcW w:w="866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86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OO (Limited Liability Company)</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type w:val="continuous"/>
        </w:sectPr>
      </w:pPr>
    </w:p>
    <w:bookmarkStart w:id="7" w:name="page8"/>
    <w:bookmarkEnd w:id="7"/>
    <w:p>
      <w:pPr>
        <w:ind w:left="80"/>
        <w:spacing w:after="0"/>
        <w:tabs>
          <w:tab w:leader="none" w:pos="5460" w:val="left"/>
          <w:tab w:leader="none" w:pos="9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13 Pages</w:t>
      </w:r>
    </w:p>
    <w:p>
      <w:pPr>
        <w:sectPr>
          <w:pgSz w:w="11900" w:h="16838" w:orient="portrait"/>
          <w:cols w:equalWidth="0" w:num="1">
            <w:col w:w="11140"/>
          </w:cols>
          <w:pgMar w:left="320" w:top="75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(the “Issuer”).</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492 Old Connecticut Path, Suite 401, Framingham, Massachusetts 01701.</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 VII DHC AIV,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 VII DHC AIV Feeder,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VII Investment Managers'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VII Co-Investment Fund,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Spectrum Equity Associates VII, 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 VII Management, LLC</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of the Reporting Persons is 140 New Montgomery Street, 20th Floor, San Francisco, CA 94105.</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are organized under the laws of the state of Delaware.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24477E103</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56" w:right="43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9"/>
              </w:rPr>
              <w:t>Page 9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ownership information presented below represents beneficial ownership of the shares of Class A Common Stock as of the date hereof, based upon 105,080,062 shares of Class A Common Stock outstanding as of November 1, 2022, as reported in the Issuer’s Form 10-Q filed on November 3, 2022. The ownership information assumes the conversion of the Class B common stock, no par value (“Class B Common Stock”) of the Issuer held by the Reporting Persons into shares of Class A Common Stock of the Issuer on a one-to-one basis.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right w:val="single" w:sz="8" w:color="auto"/>
            </w:tcBorders>
            <w:shd w:val="clear" w:color="auto" w:fill="FFFFE1"/>
          </w:tcPr>
          <w:p>
            <w:pPr>
              <w:spacing w:after="0"/>
              <w:rPr>
                <w:sz w:val="18"/>
                <w:szCs w:val="18"/>
                <w:color w:val="auto"/>
              </w:rPr>
            </w:pPr>
          </w:p>
        </w:tc>
        <w:tc>
          <w:tcPr>
            <w:tcW w:w="1240" w:type="dxa"/>
            <w:vAlign w:val="bottom"/>
            <w:tcBorders>
              <w:top w:val="single" w:sz="8" w:color="auto"/>
              <w:right w:val="single" w:sz="8" w:color="auto"/>
            </w:tcBorders>
            <w:shd w:val="clear" w:color="auto" w:fill="FFFFE1"/>
          </w:tcPr>
          <w:p>
            <w:pPr>
              <w:spacing w:after="0"/>
              <w:rPr>
                <w:sz w:val="18"/>
                <w:szCs w:val="18"/>
                <w:color w:val="auto"/>
              </w:rPr>
            </w:pPr>
          </w:p>
        </w:tc>
        <w:tc>
          <w:tcPr>
            <w:tcW w:w="1120" w:type="dxa"/>
            <w:vAlign w:val="bottom"/>
            <w:tcBorders>
              <w:top w:val="single" w:sz="8" w:color="auto"/>
              <w:right w:val="single" w:sz="8" w:color="auto"/>
            </w:tcBorders>
            <w:shd w:val="clear" w:color="auto" w:fill="FFFFE1"/>
          </w:tcPr>
          <w:p>
            <w:pPr>
              <w:spacing w:after="0"/>
              <w:rPr>
                <w:sz w:val="18"/>
                <w:szCs w:val="18"/>
                <w:color w:val="auto"/>
              </w:rPr>
            </w:pPr>
          </w:p>
        </w:tc>
        <w:tc>
          <w:tcPr>
            <w:tcW w:w="880" w:type="dxa"/>
            <w:vAlign w:val="bottom"/>
            <w:tcBorders>
              <w:top w:val="single" w:sz="8" w:color="auto"/>
              <w:right w:val="single" w:sz="8" w:color="auto"/>
            </w:tcBorders>
            <w:vMerge w:val="restart"/>
            <w:shd w:val="clear" w:color="auto" w:fill="FFFFE1"/>
          </w:tcPr>
          <w:p>
            <w:pPr>
              <w:jc w:val="right"/>
              <w:ind w:right="190"/>
              <w:spacing w:after="0"/>
              <w:rPr>
                <w:sz w:val="20"/>
                <w:szCs w:val="20"/>
                <w:color w:val="auto"/>
              </w:rPr>
            </w:pPr>
            <w:r>
              <w:rPr>
                <w:rFonts w:ascii="Arial" w:cs="Arial" w:eastAsia="Arial" w:hAnsi="Arial"/>
                <w:sz w:val="18"/>
                <w:szCs w:val="18"/>
                <w:b w:val="1"/>
                <w:bCs w:val="1"/>
                <w:color w:val="auto"/>
              </w:rPr>
              <w:t>Sole</w:t>
            </w:r>
          </w:p>
        </w:tc>
        <w:tc>
          <w:tcPr>
            <w:tcW w:w="1120" w:type="dxa"/>
            <w:vAlign w:val="bottom"/>
            <w:tcBorders>
              <w:top w:val="single" w:sz="8" w:color="auto"/>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Shared</w:t>
            </w:r>
          </w:p>
        </w:tc>
        <w:tc>
          <w:tcPr>
            <w:tcW w:w="1240" w:type="dxa"/>
            <w:vAlign w:val="bottom"/>
            <w:tcBorders>
              <w:top w:val="single" w:sz="8" w:color="auto"/>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9"/>
              </w:rPr>
              <w:t>Sole power</w:t>
            </w:r>
          </w:p>
        </w:tc>
        <w:tc>
          <w:tcPr>
            <w:tcW w:w="1220" w:type="dxa"/>
            <w:vAlign w:val="bottom"/>
            <w:tcBorders>
              <w:top w:val="single" w:sz="8" w:color="auto"/>
              <w:right w:val="single" w:sz="8" w:color="auto"/>
            </w:tcBorders>
            <w:shd w:val="clear" w:color="auto" w:fill="FFFFE1"/>
          </w:tcPr>
          <w:p>
            <w:pPr>
              <w:jc w:val="center"/>
              <w:spacing w:after="0"/>
              <w:rPr>
                <w:sz w:val="20"/>
                <w:szCs w:val="20"/>
                <w:color w:val="auto"/>
              </w:rPr>
            </w:pPr>
            <w:r>
              <w:rPr>
                <w:rFonts w:ascii="Arial" w:cs="Arial" w:eastAsia="Arial" w:hAnsi="Arial"/>
                <w:sz w:val="18"/>
                <w:szCs w:val="18"/>
                <w:b w:val="1"/>
                <w:bCs w:val="1"/>
                <w:color w:val="auto"/>
                <w:w w:val="91"/>
              </w:rPr>
              <w:t>Shared</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0"/>
              </w:rPr>
              <w:t>power to</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Arial" w:cs="Arial" w:eastAsia="Arial" w:hAnsi="Arial"/>
                <w:sz w:val="18"/>
                <w:szCs w:val="18"/>
                <w:b w:val="1"/>
                <w:bCs w:val="1"/>
                <w:color w:val="auto"/>
                <w:w w:val="98"/>
              </w:rPr>
              <w:t>power to</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0"/>
              </w:rPr>
              <w:t>power to</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6"/>
              </w:rPr>
              <w:t>to dispose or</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restart"/>
            <w:shd w:val="clear" w:color="auto" w:fill="FFFFE1"/>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4"/>
              </w:rPr>
              <w:t>dispose or to</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vMerge w:val="restart"/>
            <w:shd w:val="clear" w:color="auto" w:fill="FFFFE1"/>
          </w:tcPr>
          <w:p>
            <w:pPr>
              <w:ind w:left="1540"/>
              <w:spacing w:after="0"/>
              <w:rPr>
                <w:sz w:val="20"/>
                <w:szCs w:val="20"/>
                <w:color w:val="auto"/>
              </w:rPr>
            </w:pPr>
            <w:r>
              <w:rPr>
                <w:rFonts w:ascii="Arial" w:cs="Arial" w:eastAsia="Arial" w:hAnsi="Arial"/>
                <w:sz w:val="18"/>
                <w:szCs w:val="18"/>
                <w:b w:val="1"/>
                <w:bCs w:val="1"/>
                <w:color w:val="auto"/>
              </w:rPr>
              <w:t>Reporting Person</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90"/>
              <w:spacing w:after="0"/>
              <w:rPr>
                <w:sz w:val="20"/>
                <w:szCs w:val="20"/>
                <w:color w:val="auto"/>
              </w:rPr>
            </w:pPr>
            <w:r>
              <w:rPr>
                <w:rFonts w:ascii="Arial" w:cs="Arial" w:eastAsia="Arial" w:hAnsi="Arial"/>
                <w:sz w:val="18"/>
                <w:szCs w:val="18"/>
                <w:b w:val="1"/>
                <w:bCs w:val="1"/>
                <w:color w:val="auto"/>
              </w:rPr>
              <w:t>vote or</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7"/>
              </w:rPr>
              <w:t>vote or to</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1"/>
              </w:rPr>
              <w:t>to direct the</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restart"/>
            <w:shd w:val="clear" w:color="auto" w:fill="FFFFE1"/>
          </w:tcPr>
          <w:p>
            <w:pPr>
              <w:jc w:val="right"/>
              <w:ind w:right="170"/>
              <w:spacing w:after="0"/>
              <w:rPr>
                <w:sz w:val="20"/>
                <w:szCs w:val="20"/>
                <w:color w:val="auto"/>
              </w:rPr>
            </w:pPr>
            <w:r>
              <w:rPr>
                <w:rFonts w:ascii="Arial" w:cs="Arial" w:eastAsia="Arial" w:hAnsi="Arial"/>
                <w:sz w:val="18"/>
                <w:szCs w:val="18"/>
                <w:b w:val="1"/>
                <w:bCs w:val="1"/>
                <w:color w:val="auto"/>
              </w:rPr>
              <w:t>of class:</w:t>
            </w: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direct the</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owned:</w:t>
            </w: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Arial" w:cs="Arial" w:eastAsia="Arial" w:hAnsi="Arial"/>
                <w:sz w:val="18"/>
                <w:szCs w:val="18"/>
                <w:b w:val="1"/>
                <w:bCs w:val="1"/>
                <w:color w:val="auto"/>
              </w:rPr>
              <w:t>to direct</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direct the</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5"/>
              </w:rPr>
              <w:t>disposition</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continue"/>
            <w:shd w:val="clear" w:color="auto" w:fill="FFFFE1"/>
          </w:tcPr>
          <w:p>
            <w:pPr>
              <w:spacing w:after="0"/>
              <w:rPr>
                <w:sz w:val="9"/>
                <w:szCs w:val="9"/>
                <w:color w:val="auto"/>
              </w:rPr>
            </w:pPr>
          </w:p>
        </w:tc>
        <w:tc>
          <w:tcPr>
            <w:tcW w:w="1120" w:type="dxa"/>
            <w:vAlign w:val="bottom"/>
            <w:tcBorders>
              <w:right w:val="single" w:sz="8" w:color="auto"/>
            </w:tcBorders>
            <w:vMerge w:val="continue"/>
            <w:shd w:val="clear" w:color="auto" w:fill="FFFFE1"/>
          </w:tcPr>
          <w:p>
            <w:pPr>
              <w:spacing w:after="0"/>
              <w:rPr>
                <w:sz w:val="9"/>
                <w:szCs w:val="9"/>
                <w:color w:val="auto"/>
              </w:rPr>
            </w:pPr>
          </w:p>
        </w:tc>
        <w:tc>
          <w:tcPr>
            <w:tcW w:w="1240" w:type="dxa"/>
            <w:vAlign w:val="bottom"/>
            <w:tcBorders>
              <w:right w:val="single" w:sz="8" w:color="auto"/>
            </w:tcBorders>
            <w:vMerge w:val="continue"/>
            <w:shd w:val="clear" w:color="auto" w:fill="FFFFE1"/>
          </w:tcPr>
          <w:p>
            <w:pPr>
              <w:spacing w:after="0"/>
              <w:rPr>
                <w:sz w:val="9"/>
                <w:szCs w:val="9"/>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shd w:val="clear" w:color="auto" w:fill="FFFFE1"/>
          </w:tcPr>
          <w:p>
            <w:pPr>
              <w:spacing w:after="0"/>
              <w:rPr>
                <w:sz w:val="9"/>
                <w:szCs w:val="9"/>
                <w:color w:val="auto"/>
              </w:rPr>
            </w:pPr>
          </w:p>
        </w:tc>
        <w:tc>
          <w:tcPr>
            <w:tcW w:w="1240" w:type="dxa"/>
            <w:vAlign w:val="bottom"/>
            <w:tcBorders>
              <w:right w:val="single" w:sz="8" w:color="auto"/>
            </w:tcBorders>
            <w:shd w:val="clear" w:color="auto" w:fill="FFFFE1"/>
          </w:tcPr>
          <w:p>
            <w:pPr>
              <w:spacing w:after="0"/>
              <w:rPr>
                <w:sz w:val="9"/>
                <w:szCs w:val="9"/>
                <w:color w:val="auto"/>
              </w:rPr>
            </w:pPr>
          </w:p>
        </w:tc>
        <w:tc>
          <w:tcPr>
            <w:tcW w:w="1120" w:type="dxa"/>
            <w:vAlign w:val="bottom"/>
            <w:tcBorders>
              <w:right w:val="single" w:sz="8" w:color="auto"/>
            </w:tcBorders>
            <w:shd w:val="clear" w:color="auto" w:fill="FFFFE1"/>
          </w:tcPr>
          <w:p>
            <w:pPr>
              <w:spacing w:after="0"/>
              <w:rPr>
                <w:sz w:val="9"/>
                <w:szCs w:val="9"/>
                <w:color w:val="auto"/>
              </w:rPr>
            </w:pPr>
          </w:p>
        </w:tc>
        <w:tc>
          <w:tcPr>
            <w:tcW w:w="880" w:type="dxa"/>
            <w:vAlign w:val="bottom"/>
            <w:tcBorders>
              <w:right w:val="single" w:sz="8" w:color="auto"/>
            </w:tcBorders>
            <w:vMerge w:val="restart"/>
            <w:shd w:val="clear" w:color="auto" w:fill="FFFFE1"/>
          </w:tcPr>
          <w:p>
            <w:pPr>
              <w:jc w:val="right"/>
              <w:ind w:right="30"/>
              <w:spacing w:after="0"/>
              <w:rPr>
                <w:sz w:val="20"/>
                <w:szCs w:val="20"/>
                <w:color w:val="auto"/>
              </w:rPr>
            </w:pPr>
            <w:r>
              <w:rPr>
                <w:rFonts w:ascii="Arial" w:cs="Arial" w:eastAsia="Arial" w:hAnsi="Arial"/>
                <w:sz w:val="18"/>
                <w:szCs w:val="18"/>
                <w:b w:val="1"/>
                <w:bCs w:val="1"/>
                <w:color w:val="auto"/>
                <w:w w:val="98"/>
              </w:rPr>
              <w:t>the vote:</w:t>
            </w:r>
          </w:p>
        </w:tc>
        <w:tc>
          <w:tcPr>
            <w:tcW w:w="11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8"/>
              </w:rPr>
              <w:t>vote:</w:t>
            </w:r>
          </w:p>
        </w:tc>
        <w:tc>
          <w:tcPr>
            <w:tcW w:w="124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95"/>
              </w:rPr>
              <w:t>of:</w:t>
            </w:r>
          </w:p>
        </w:tc>
        <w:tc>
          <w:tcPr>
            <w:tcW w:w="1220" w:type="dxa"/>
            <w:vAlign w:val="bottom"/>
            <w:tcBorders>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shd w:val="clear" w:color="auto" w:fill="FFFFE1"/>
          </w:tcPr>
          <w:p>
            <w:pPr>
              <w:spacing w:after="0"/>
              <w:rPr>
                <w:sz w:val="10"/>
                <w:szCs w:val="10"/>
                <w:color w:val="auto"/>
              </w:rPr>
            </w:pPr>
          </w:p>
        </w:tc>
        <w:tc>
          <w:tcPr>
            <w:tcW w:w="1240" w:type="dxa"/>
            <w:vAlign w:val="bottom"/>
            <w:tcBorders>
              <w:right w:val="single" w:sz="8" w:color="auto"/>
            </w:tcBorders>
            <w:shd w:val="clear" w:color="auto" w:fill="FFFFE1"/>
          </w:tcPr>
          <w:p>
            <w:pPr>
              <w:spacing w:after="0"/>
              <w:rPr>
                <w:sz w:val="10"/>
                <w:szCs w:val="10"/>
                <w:color w:val="auto"/>
              </w:rPr>
            </w:pPr>
          </w:p>
        </w:tc>
        <w:tc>
          <w:tcPr>
            <w:tcW w:w="1120" w:type="dxa"/>
            <w:vAlign w:val="bottom"/>
            <w:tcBorders>
              <w:right w:val="single" w:sz="8" w:color="auto"/>
            </w:tcBorders>
            <w:shd w:val="clear" w:color="auto" w:fill="FFFFE1"/>
          </w:tcPr>
          <w:p>
            <w:pPr>
              <w:spacing w:after="0"/>
              <w:rPr>
                <w:sz w:val="10"/>
                <w:szCs w:val="10"/>
                <w:color w:val="auto"/>
              </w:rPr>
            </w:pPr>
          </w:p>
        </w:tc>
        <w:tc>
          <w:tcPr>
            <w:tcW w:w="880" w:type="dxa"/>
            <w:vAlign w:val="bottom"/>
            <w:tcBorders>
              <w:right w:val="single" w:sz="8" w:color="auto"/>
            </w:tcBorders>
            <w:vMerge w:val="continue"/>
            <w:shd w:val="clear" w:color="auto" w:fill="FFFFE1"/>
          </w:tcPr>
          <w:p>
            <w:pPr>
              <w:spacing w:after="0"/>
              <w:rPr>
                <w:sz w:val="10"/>
                <w:szCs w:val="10"/>
                <w:color w:val="auto"/>
              </w:rPr>
            </w:pPr>
          </w:p>
        </w:tc>
        <w:tc>
          <w:tcPr>
            <w:tcW w:w="1120" w:type="dxa"/>
            <w:vAlign w:val="bottom"/>
            <w:tcBorders>
              <w:right w:val="single" w:sz="8" w:color="auto"/>
            </w:tcBorders>
            <w:vMerge w:val="continue"/>
            <w:shd w:val="clear" w:color="auto" w:fill="FFFFE1"/>
          </w:tcPr>
          <w:p>
            <w:pPr>
              <w:spacing w:after="0"/>
              <w:rPr>
                <w:sz w:val="10"/>
                <w:szCs w:val="10"/>
                <w:color w:val="auto"/>
              </w:rPr>
            </w:pPr>
          </w:p>
        </w:tc>
        <w:tc>
          <w:tcPr>
            <w:tcW w:w="1240" w:type="dxa"/>
            <w:vAlign w:val="bottom"/>
            <w:tcBorders>
              <w:right w:val="single" w:sz="8" w:color="auto"/>
            </w:tcBorders>
            <w:vMerge w:val="continue"/>
            <w:shd w:val="clear" w:color="auto" w:fill="FFFFE1"/>
          </w:tcPr>
          <w:p>
            <w:pPr>
              <w:spacing w:after="0"/>
              <w:rPr>
                <w:sz w:val="10"/>
                <w:szCs w:val="10"/>
                <w:color w:val="auto"/>
              </w:rPr>
            </w:pPr>
          </w:p>
        </w:tc>
        <w:tc>
          <w:tcPr>
            <w:tcW w:w="1220" w:type="dxa"/>
            <w:vAlign w:val="bottom"/>
            <w:tcBorders>
              <w:right w:val="single" w:sz="8" w:color="auto"/>
            </w:tcBorders>
            <w:vMerge w:val="restart"/>
            <w:shd w:val="clear" w:color="auto" w:fill="FFFFE1"/>
          </w:tcPr>
          <w:p>
            <w:pPr>
              <w:jc w:val="center"/>
              <w:spacing w:after="0"/>
              <w:rPr>
                <w:sz w:val="20"/>
                <w:szCs w:val="20"/>
                <w:color w:val="auto"/>
              </w:rPr>
            </w:pPr>
            <w:r>
              <w:rPr>
                <w:rFonts w:ascii="Arial" w:cs="Arial" w:eastAsia="Arial" w:hAnsi="Arial"/>
                <w:sz w:val="18"/>
                <w:szCs w:val="18"/>
                <w:b w:val="1"/>
                <w:bCs w:val="1"/>
                <w:color w:val="auto"/>
                <w:w w:val="86"/>
              </w:rPr>
              <w:t>of:</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bottom w:val="single" w:sz="8" w:color="auto"/>
              <w:right w:val="single" w:sz="8" w:color="auto"/>
            </w:tcBorders>
            <w:shd w:val="clear" w:color="auto" w:fill="FFFFE1"/>
          </w:tcPr>
          <w:p>
            <w:pPr>
              <w:spacing w:after="0"/>
              <w:rPr>
                <w:sz w:val="9"/>
                <w:szCs w:val="9"/>
                <w:color w:val="auto"/>
              </w:rPr>
            </w:pPr>
          </w:p>
        </w:tc>
        <w:tc>
          <w:tcPr>
            <w:tcW w:w="1240" w:type="dxa"/>
            <w:vAlign w:val="bottom"/>
            <w:tcBorders>
              <w:bottom w:val="single" w:sz="8" w:color="auto"/>
              <w:right w:val="single" w:sz="8" w:color="auto"/>
            </w:tcBorders>
            <w:shd w:val="clear" w:color="auto" w:fill="FFFFE1"/>
          </w:tcPr>
          <w:p>
            <w:pPr>
              <w:spacing w:after="0"/>
              <w:rPr>
                <w:sz w:val="9"/>
                <w:szCs w:val="9"/>
                <w:color w:val="auto"/>
              </w:rPr>
            </w:pPr>
          </w:p>
        </w:tc>
        <w:tc>
          <w:tcPr>
            <w:tcW w:w="1120" w:type="dxa"/>
            <w:vAlign w:val="bottom"/>
            <w:tcBorders>
              <w:bottom w:val="single" w:sz="8" w:color="auto"/>
              <w:right w:val="single" w:sz="8" w:color="auto"/>
            </w:tcBorders>
            <w:shd w:val="clear" w:color="auto" w:fill="FFFFE1"/>
          </w:tcPr>
          <w:p>
            <w:pPr>
              <w:spacing w:after="0"/>
              <w:rPr>
                <w:sz w:val="9"/>
                <w:szCs w:val="9"/>
                <w:color w:val="auto"/>
              </w:rPr>
            </w:pPr>
          </w:p>
        </w:tc>
        <w:tc>
          <w:tcPr>
            <w:tcW w:w="880" w:type="dxa"/>
            <w:vAlign w:val="bottom"/>
            <w:tcBorders>
              <w:bottom w:val="single" w:sz="8" w:color="auto"/>
              <w:right w:val="single" w:sz="8" w:color="auto"/>
            </w:tcBorders>
            <w:shd w:val="clear" w:color="auto" w:fill="FFFFE1"/>
          </w:tcPr>
          <w:p>
            <w:pPr>
              <w:spacing w:after="0"/>
              <w:rPr>
                <w:sz w:val="9"/>
                <w:szCs w:val="9"/>
                <w:color w:val="auto"/>
              </w:rPr>
            </w:pPr>
          </w:p>
        </w:tc>
        <w:tc>
          <w:tcPr>
            <w:tcW w:w="1120" w:type="dxa"/>
            <w:vAlign w:val="bottom"/>
            <w:tcBorders>
              <w:bottom w:val="single" w:sz="8" w:color="auto"/>
              <w:right w:val="single" w:sz="8" w:color="auto"/>
            </w:tcBorders>
            <w:shd w:val="clear" w:color="auto" w:fill="FFFFE1"/>
          </w:tcPr>
          <w:p>
            <w:pPr>
              <w:spacing w:after="0"/>
              <w:rPr>
                <w:sz w:val="9"/>
                <w:szCs w:val="9"/>
                <w:color w:val="auto"/>
              </w:rPr>
            </w:pPr>
          </w:p>
        </w:tc>
        <w:tc>
          <w:tcPr>
            <w:tcW w:w="1240" w:type="dxa"/>
            <w:vAlign w:val="bottom"/>
            <w:tcBorders>
              <w:bottom w:val="single" w:sz="8" w:color="auto"/>
              <w:right w:val="single" w:sz="8" w:color="auto"/>
            </w:tcBorders>
            <w:shd w:val="clear" w:color="auto" w:fill="FFFFE1"/>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FFFFE1"/>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 VII DHC AIV,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22,124,496</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22,124,496</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22,124,496</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 VII DHC AIV Feeder,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2,309,392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2,309,392</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2,309,392</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Spectrum VII Investment Managers' Fund,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32,148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&lt;0.1%</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32,148</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32,148</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Spectrum VII Co-Investment Fund,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18,779</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&lt;0.1%</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18,779</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18,779</w:t>
            </w: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Spectrum Equity Associates VII, L.P.</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24,433,888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24,433,888</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24,433,888</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SEA VII Management, LLC</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24,484,815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24,484,815</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24,484,815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 VII DHC AIV, L.P. is the beneficial owner of 199,579 shares of Class A Common Stock and an additional 21,924,917 shares of Class A Common Stock issuable upon the conversion of an equal number of shares of Class B Common Stock. SE VII DHC AIV Feeder, L.P. is the beneficial owner of 2,309,392 shares of Class A Common Stock. Spectrum VII Investment Managers’ Fund, L.P. is the beneficial owner of 32,148 shares of Class A Common Stock issuable upon the conversion of an equal number of shares of Class B Common Stock. Spectrum VII Co-Investment Fund, L.P. is the beneficial owner of 18,779 shares of Class A Common Stock issuable upon the conversion of an equal number of shares of Class B Common Stock.</w:t>
      </w:r>
    </w:p>
    <w:p>
      <w:pPr>
        <w:spacing w:after="0" w:line="1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Spectrum Equity Associates VII, L.P. is the general partner of SE VII DHC AIV, L.P. and SE VII DHC AIV Feeder, L.P. and as a result may be deemed to share beneficial ownership of the shares of Class A Common Stock beneficially owned by SE VII DHC AIV, L.P. and SE VII DHC AIV Feeder, L.P. SEA VII Management, LLC is the general partner of each of Spectrum VII Investment Managers’ Fund, L.P., Spectrum VII Co-Investment Fund, L.P. and Spectrum Equity Associates VII, L.P., and as a result may be deemed to share beneficial ownership of the shares of Class A Common Stock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Reporting Persons. Each of the foregoing individuals disclaims beneficial ownership of such securities.</w:t>
      </w:r>
    </w:p>
    <w:p>
      <w:pPr>
        <w:spacing w:after="0" w:line="3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686" w:right="339" w:bottom="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13 Pages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18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14, 2023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 VII DHC AIV,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7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SE VII DHC AIV Feeder,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7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VII Investment Managers’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864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61"/>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Spectrum VII Co-Investment Fund,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864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905"/>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type w:val="continuous"/>
        </w:sectPr>
      </w:pPr>
    </w:p>
    <w:bookmarkStart w:id="11" w:name="page12"/>
    <w:bookmarkEnd w:id="11"/>
    <w:p>
      <w:pPr>
        <w:ind w:left="80"/>
        <w:spacing w:after="0"/>
        <w:tabs>
          <w:tab w:leader="none" w:pos="5460" w:val="left"/>
          <w:tab w:leader="none" w:pos="9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13 Pages</w:t>
      </w:r>
    </w:p>
    <w:p>
      <w:pPr>
        <w:sectPr>
          <w:pgSz w:w="11900" w:h="16838" w:orient="portrait"/>
          <w:cols w:equalWidth="0" w:num="1">
            <w:col w:w="10980"/>
          </w:cols>
          <w:pgMar w:left="320" w:top="5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Equity Associates VII,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7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SEA VII Management, LLC</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7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4131945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540" w:right="59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24477E103</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12 of 13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Joint Filing Agreement as of this 14th day of February,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 VII DHC AIV,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7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Chief Administrative Officer &amp; Chief</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SE VII DHC AIV Feeder,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Spectrum Equity Associates VII, L.P.</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37"/>
        </w:trPr>
        <w:tc>
          <w:tcPr>
            <w:tcW w:w="66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780" w:type="dxa"/>
            <w:vAlign w:val="bottom"/>
          </w:tcPr>
          <w:p>
            <w:pPr>
              <w:spacing w:after="0"/>
              <w:rPr>
                <w:sz w:val="20"/>
                <w:szCs w:val="20"/>
                <w:color w:val="auto"/>
              </w:rPr>
            </w:pPr>
          </w:p>
        </w:tc>
      </w:tr>
    </w:tbl>
    <w:p>
      <w:pPr>
        <w:ind w:left="660"/>
        <w:spacing w:after="0"/>
        <w:rPr>
          <w:sz w:val="20"/>
          <w:szCs w:val="20"/>
          <w:color w:val="auto"/>
        </w:rPr>
      </w:pPr>
      <w:r>
        <w:rPr>
          <w:rFonts w:ascii="Arial" w:cs="Arial" w:eastAsia="Arial" w:hAnsi="Arial"/>
          <w:sz w:val="18"/>
          <w:szCs w:val="18"/>
          <w:color w:val="auto"/>
        </w:rPr>
        <w:t>Chief Administrative Officer &amp; Chief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VII Investment Managers’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864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1512"/>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1" w:right="339" w:bottom="1440" w:gutter="0" w:footer="0" w:header="0"/>
        </w:sectPr>
      </w:pPr>
    </w:p>
    <w:bookmarkStart w:id="13" w:name="page14"/>
    <w:bookmarkEnd w:id="13"/>
    <w:p>
      <w:pPr>
        <w:ind w:left="80"/>
        <w:spacing w:after="0"/>
        <w:tabs>
          <w:tab w:leader="none" w:pos="5460" w:val="left"/>
          <w:tab w:leader="none" w:pos="9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311785</wp:posOffset>
            </wp:positionV>
            <wp:extent cx="23571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236601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24477E103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13 of 13 Pages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VII Co-Investment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864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Spectrum Equity Associates VII, L.P.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SEA VII Management, LLC</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864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648"/>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SEA VII Management, LLC</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gridSpan w:val="2"/>
          </w:tcPr>
          <w:p>
            <w:pPr>
              <w:spacing w:after="0"/>
              <w:rPr>
                <w:sz w:val="20"/>
                <w:szCs w:val="20"/>
                <w:color w:val="auto"/>
              </w:rPr>
            </w:pPr>
            <w:r>
              <w:rPr>
                <w:rFonts w:ascii="Arial" w:cs="Arial" w:eastAsia="Arial" w:hAnsi="Arial"/>
                <w:sz w:val="18"/>
                <w:szCs w:val="18"/>
                <w:color w:val="auto"/>
              </w:rPr>
              <w:t>/s/ Carolina A. Picazo                </w:t>
            </w:r>
          </w:p>
        </w:tc>
      </w:tr>
      <w:tr>
        <w:trPr>
          <w:trHeight w:val="222"/>
        </w:trPr>
        <w:tc>
          <w:tcPr>
            <w:tcW w:w="66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Carolina A. Picazo</w:t>
            </w:r>
          </w:p>
        </w:tc>
        <w:tc>
          <w:tcPr>
            <w:tcW w:w="864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Chief Administrative Officer &amp; Chief</w:t>
            </w:r>
          </w:p>
        </w:tc>
      </w:tr>
      <w:tr>
        <w:trPr>
          <w:trHeight w:val="230"/>
        </w:trPr>
        <w:tc>
          <w:tcPr>
            <w:tcW w:w="660" w:type="dxa"/>
            <w:vAlign w:val="bottom"/>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Compliance Officer</w:t>
            </w:r>
          </w:p>
        </w:tc>
      </w:tr>
      <w:tr>
        <w:trPr>
          <w:trHeight w:val="3949"/>
        </w:trPr>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3"/>
      <w:numFmt w:val="bullet"/>
      <w:start w:val="1"/>
    </w:lvl>
  </w:abstractNum>
  <w:abstractNum w:abstractNumId="3">
    <w:nsid w:val="189A769B"/>
    <w:multiLevelType w:val="hybridMultilevel"/>
    <w:lvl w:ilvl="0">
      <w:lvlJc w:val="left"/>
      <w:lvlText w:val="4"/>
      <w:numFmt w:val="bullet"/>
      <w:start w:val="1"/>
    </w:lvl>
  </w:abstractNum>
  <w:abstractNum w:abstractNumId="4">
    <w:nsid w:val="54E49EB4"/>
    <w:multiLevelType w:val="hybridMultilevel"/>
    <w:lvl w:ilvl="0">
      <w:lvlJc w:val="left"/>
      <w:lvlText w:val="5"/>
      <w:numFmt w:val="bullet"/>
      <w:start w:val="1"/>
    </w:lvl>
  </w:abstractNum>
  <w:abstractNum w:abstractNumId="5">
    <w:nsid w:val="71F32454"/>
    <w:multiLevelType w:val="hybridMultilevel"/>
    <w:lvl w:ilvl="0">
      <w:lvlJc w:val="left"/>
      <w:lvlText w:val="6"/>
      <w:numFmt w:val="bullet"/>
      <w:start w:val="1"/>
    </w:lvl>
  </w:abstractNum>
  <w:abstractNum w:abstractNumId="6">
    <w:nsid w:val="2CA88611"/>
    <w:multiLevelType w:val="hybridMultilevel"/>
    <w:lvl w:ilvl="0">
      <w:lvlJc w:val="left"/>
      <w:lvlText w:val="7"/>
      <w:numFmt w:val="bullet"/>
      <w:start w:val="1"/>
    </w:lvl>
  </w:abstractNum>
  <w:abstractNum w:abstractNumId="7">
    <w:nsid w:val="836C40E"/>
    <w:multiLevelType w:val="hybridMultilevel"/>
    <w:lvl w:ilvl="0">
      <w:lvlJc w:val="left"/>
      <w:lvlText w:val="8"/>
      <w:numFmt w:val="bullet"/>
      <w:start w:val="1"/>
    </w:lvl>
  </w:abstractNum>
  <w:abstractNum w:abstractNumId="8">
    <w:nsid w:val="2901D82"/>
    <w:multiLevelType w:val="hybridMultilevel"/>
    <w:lvl w:ilvl="0">
      <w:lvlJc w:val="left"/>
      <w:lvlText w:val="9"/>
      <w:numFmt w:val="bullet"/>
      <w:start w:val="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3"/>
      <w:numFmt w:val="bullet"/>
      <w:start w:val="1"/>
    </w:lvl>
  </w:abstractNum>
  <w:abstractNum w:abstractNumId="11">
    <w:nsid w:val="1E7FF521"/>
    <w:multiLevelType w:val="hybridMultilevel"/>
    <w:lvl w:ilvl="0">
      <w:lvlJc w:val="left"/>
      <w:lvlText w:val="4"/>
      <w:numFmt w:val="bullet"/>
      <w:start w:val="1"/>
    </w:lvl>
  </w:abstractNum>
  <w:abstractNum w:abstractNumId="12">
    <w:nsid w:val="7C3DBD3D"/>
    <w:multiLevelType w:val="hybridMultilevel"/>
    <w:lvl w:ilvl="0">
      <w:lvlJc w:val="left"/>
      <w:lvlText w:val="5"/>
      <w:numFmt w:val="bullet"/>
      <w:start w:val="1"/>
    </w:lvl>
  </w:abstractNum>
  <w:abstractNum w:abstractNumId="13">
    <w:nsid w:val="737B8DDC"/>
    <w:multiLevelType w:val="hybridMultilevel"/>
    <w:lvl w:ilvl="0">
      <w:lvlJc w:val="left"/>
      <w:lvlText w:val="6"/>
      <w:numFmt w:val="bullet"/>
      <w:start w:val="1"/>
    </w:lvl>
  </w:abstractNum>
  <w:abstractNum w:abstractNumId="14">
    <w:nsid w:val="6CEAF087"/>
    <w:multiLevelType w:val="hybridMultilevel"/>
    <w:lvl w:ilvl="0">
      <w:lvlJc w:val="left"/>
      <w:lvlText w:val="7"/>
      <w:numFmt w:val="bullet"/>
      <w:start w:val="1"/>
    </w:lvl>
  </w:abstractNum>
  <w:abstractNum w:abstractNumId="15">
    <w:nsid w:val="22221A70"/>
    <w:multiLevelType w:val="hybridMultilevel"/>
    <w:lvl w:ilvl="0">
      <w:lvlJc w:val="left"/>
      <w:lvlText w:val="8"/>
      <w:numFmt w:val="bullet"/>
      <w:start w:val="1"/>
    </w:lvl>
  </w:abstractNum>
  <w:abstractNum w:abstractNumId="16">
    <w:nsid w:val="4516DDE9"/>
    <w:multiLevelType w:val="hybridMultilevel"/>
    <w:lvl w:ilvl="0">
      <w:lvlJc w:val="left"/>
      <w:lvlText w:val="9"/>
      <w:numFmt w:val="bullet"/>
      <w:start w:val="1"/>
    </w:lvl>
  </w:abstractNum>
  <w:abstractNum w:abstractNumId="17">
    <w:nsid w:val="3006C83E"/>
    <w:multiLevelType w:val="hybridMultilevel"/>
    <w:lvl w:ilvl="0">
      <w:lvlJc w:val="left"/>
      <w:lvlText w:val="1"/>
      <w:numFmt w:val="bullet"/>
      <w:start w:val="1"/>
    </w:lvl>
  </w:abstractNum>
  <w:abstractNum w:abstractNumId="18">
    <w:nsid w:val="614FD4A1"/>
    <w:multiLevelType w:val="hybridMultilevel"/>
    <w:lvl w:ilvl="0">
      <w:lvlJc w:val="left"/>
      <w:lvlText w:val="3"/>
      <w:numFmt w:val="bullet"/>
      <w:start w:val="1"/>
    </w:lvl>
  </w:abstractNum>
  <w:abstractNum w:abstractNumId="19">
    <w:nsid w:val="419AC241"/>
    <w:multiLevelType w:val="hybridMultilevel"/>
    <w:lvl w:ilvl="0">
      <w:lvlJc w:val="left"/>
      <w:lvlText w:val="4"/>
      <w:numFmt w:val="bullet"/>
      <w:start w:val="1"/>
    </w:lvl>
  </w:abstractNum>
  <w:abstractNum w:abstractNumId="20">
    <w:nsid w:val="5577F8E1"/>
    <w:multiLevelType w:val="hybridMultilevel"/>
    <w:lvl w:ilvl="0">
      <w:lvlJc w:val="left"/>
      <w:lvlText w:val="5"/>
      <w:numFmt w:val="bullet"/>
      <w:start w:val="1"/>
    </w:lvl>
  </w:abstractNum>
  <w:abstractNum w:abstractNumId="21">
    <w:nsid w:val="440BADFC"/>
    <w:multiLevelType w:val="hybridMultilevel"/>
    <w:lvl w:ilvl="0">
      <w:lvlJc w:val="left"/>
      <w:lvlText w:val="6"/>
      <w:numFmt w:val="bullet"/>
      <w:start w:val="1"/>
    </w:lvl>
  </w:abstractNum>
  <w:abstractNum w:abstractNumId="22">
    <w:nsid w:val="5072367"/>
    <w:multiLevelType w:val="hybridMultilevel"/>
    <w:lvl w:ilvl="0">
      <w:lvlJc w:val="left"/>
      <w:lvlText w:val="7"/>
      <w:numFmt w:val="bullet"/>
      <w:start w:val="1"/>
    </w:lvl>
  </w:abstractNum>
  <w:abstractNum w:abstractNumId="23">
    <w:nsid w:val="3804823E"/>
    <w:multiLevelType w:val="hybridMultilevel"/>
    <w:lvl w:ilvl="0">
      <w:lvlJc w:val="left"/>
      <w:lvlText w:val="8"/>
      <w:numFmt w:val="bullet"/>
      <w:start w:val="1"/>
    </w:lvl>
  </w:abstractNum>
  <w:abstractNum w:abstractNumId="24">
    <w:nsid w:val="77465F01"/>
    <w:multiLevelType w:val="hybridMultilevel"/>
    <w:lvl w:ilvl="0">
      <w:lvlJc w:val="left"/>
      <w:lvlText w:val="9"/>
      <w:numFmt w:val="bullet"/>
      <w:start w:val="1"/>
    </w:lvl>
  </w:abstractNum>
  <w:abstractNum w:abstractNumId="25">
    <w:nsid w:val="7724C67E"/>
    <w:multiLevelType w:val="hybridMultilevel"/>
    <w:lvl w:ilvl="0">
      <w:lvlJc w:val="left"/>
      <w:lvlText w:val="1"/>
      <w:numFmt w:val="bullet"/>
      <w:start w:val="1"/>
    </w:lvl>
  </w:abstractNum>
  <w:abstractNum w:abstractNumId="26">
    <w:nsid w:val="5C482A97"/>
    <w:multiLevelType w:val="hybridMultilevel"/>
    <w:lvl w:ilvl="0">
      <w:lvlJc w:val="left"/>
      <w:lvlText w:val="3"/>
      <w:numFmt w:val="bullet"/>
      <w:start w:val="1"/>
    </w:lvl>
  </w:abstractNum>
  <w:abstractNum w:abstractNumId="27">
    <w:nsid w:val="2463B9EA"/>
    <w:multiLevelType w:val="hybridMultilevel"/>
    <w:lvl w:ilvl="0">
      <w:lvlJc w:val="left"/>
      <w:lvlText w:val="4"/>
      <w:numFmt w:val="bullet"/>
      <w:start w:val="1"/>
    </w:lvl>
  </w:abstractNum>
  <w:abstractNum w:abstractNumId="28">
    <w:nsid w:val="5E884ADC"/>
    <w:multiLevelType w:val="hybridMultilevel"/>
    <w:lvl w:ilvl="0">
      <w:lvlJc w:val="left"/>
      <w:lvlText w:val="5"/>
      <w:numFmt w:val="bullet"/>
      <w:start w:val="1"/>
    </w:lvl>
  </w:abstractNum>
  <w:abstractNum w:abstractNumId="29">
    <w:nsid w:val="51EAD36B"/>
    <w:multiLevelType w:val="hybridMultilevel"/>
    <w:lvl w:ilvl="0">
      <w:lvlJc w:val="left"/>
      <w:lvlText w:val="6"/>
      <w:numFmt w:val="bullet"/>
      <w:start w:val="1"/>
    </w:lvl>
  </w:abstractNum>
  <w:abstractNum w:abstractNumId="30">
    <w:nsid w:val="2D517796"/>
    <w:multiLevelType w:val="hybridMultilevel"/>
    <w:lvl w:ilvl="0">
      <w:lvlJc w:val="left"/>
      <w:lvlText w:val="7"/>
      <w:numFmt w:val="bullet"/>
      <w:start w:val="1"/>
    </w:lvl>
  </w:abstractNum>
  <w:abstractNum w:abstractNumId="31">
    <w:nsid w:val="580BD78F"/>
    <w:multiLevelType w:val="hybridMultilevel"/>
    <w:lvl w:ilvl="0">
      <w:lvlJc w:val="left"/>
      <w:lvlText w:val="8"/>
      <w:numFmt w:val="bullet"/>
      <w:start w:val="1"/>
    </w:lvl>
  </w:abstractNum>
  <w:abstractNum w:abstractNumId="32">
    <w:nsid w:val="153EA438"/>
    <w:multiLevelType w:val="hybridMultilevel"/>
    <w:lvl w:ilvl="0">
      <w:lvlJc w:val="left"/>
      <w:lvlText w:val="9"/>
      <w:numFmt w:val="bullet"/>
      <w:start w:val="1"/>
    </w:lvl>
  </w:abstractNum>
  <w:abstractNum w:abstractNumId="33">
    <w:nsid w:val="3855585C"/>
    <w:multiLevelType w:val="hybridMultilevel"/>
    <w:lvl w:ilvl="0">
      <w:lvlJc w:val="left"/>
      <w:lvlText w:val="1"/>
      <w:numFmt w:val="bullet"/>
      <w:start w:val="1"/>
    </w:lvl>
  </w:abstractNum>
  <w:abstractNum w:abstractNumId="34">
    <w:nsid w:val="70A64E2A"/>
    <w:multiLevelType w:val="hybridMultilevel"/>
    <w:lvl w:ilvl="0">
      <w:lvlJc w:val="left"/>
      <w:lvlText w:val="3"/>
      <w:numFmt w:val="bullet"/>
      <w:start w:val="1"/>
    </w:lvl>
  </w:abstractNum>
  <w:abstractNum w:abstractNumId="35">
    <w:nsid w:val="6A2342EC"/>
    <w:multiLevelType w:val="hybridMultilevel"/>
    <w:lvl w:ilvl="0">
      <w:lvlJc w:val="left"/>
      <w:lvlText w:val="4"/>
      <w:numFmt w:val="bullet"/>
      <w:start w:val="1"/>
    </w:lvl>
  </w:abstractNum>
  <w:abstractNum w:abstractNumId="36">
    <w:nsid w:val="2A487CB0"/>
    <w:multiLevelType w:val="hybridMultilevel"/>
    <w:lvl w:ilvl="0">
      <w:lvlJc w:val="left"/>
      <w:lvlText w:val="5"/>
      <w:numFmt w:val="bullet"/>
      <w:start w:val="1"/>
    </w:lvl>
  </w:abstractNum>
  <w:abstractNum w:abstractNumId="37">
    <w:nsid w:val="1D4ED43B"/>
    <w:multiLevelType w:val="hybridMultilevel"/>
    <w:lvl w:ilvl="0">
      <w:lvlJc w:val="left"/>
      <w:lvlText w:val="6"/>
      <w:numFmt w:val="bullet"/>
      <w:start w:val="1"/>
    </w:lvl>
  </w:abstractNum>
  <w:abstractNum w:abstractNumId="38">
    <w:nsid w:val="725A06FB"/>
    <w:multiLevelType w:val="hybridMultilevel"/>
    <w:lvl w:ilvl="0">
      <w:lvlJc w:val="left"/>
      <w:lvlText w:val="7"/>
      <w:numFmt w:val="bullet"/>
      <w:start w:val="1"/>
    </w:lvl>
  </w:abstractNum>
  <w:abstractNum w:abstractNumId="39">
    <w:nsid w:val="2CD89A32"/>
    <w:multiLevelType w:val="hybridMultilevel"/>
    <w:lvl w:ilvl="0">
      <w:lvlJc w:val="left"/>
      <w:lvlText w:val="8"/>
      <w:numFmt w:val="bullet"/>
      <w:start w:val="1"/>
    </w:lvl>
  </w:abstractNum>
  <w:abstractNum w:abstractNumId="40">
    <w:nsid w:val="57E4CCAF"/>
    <w:multiLevelType w:val="hybridMultilevel"/>
    <w:lvl w:ilvl="0">
      <w:lvlJc w:val="left"/>
      <w:lvlText w:val="9"/>
      <w:numFmt w:val="bullet"/>
      <w:start w:val="1"/>
    </w:lvl>
  </w:abstractNum>
  <w:abstractNum w:abstractNumId="41">
    <w:nsid w:val="7A6D8D3C"/>
    <w:multiLevelType w:val="hybridMultilevel"/>
    <w:lvl w:ilvl="0">
      <w:lvlJc w:val="left"/>
      <w:lvlText w:val="1"/>
      <w:numFmt w:val="bullet"/>
      <w:start w:val="1"/>
    </w:lvl>
  </w:abstractNum>
  <w:abstractNum w:abstractNumId="42">
    <w:nsid w:val="4B588F54"/>
    <w:multiLevelType w:val="hybridMultilevel"/>
    <w:lvl w:ilvl="0">
      <w:lvlJc w:val="left"/>
      <w:lvlText w:val="3"/>
      <w:numFmt w:val="bullet"/>
      <w:start w:val="1"/>
    </w:lvl>
  </w:abstractNum>
  <w:abstractNum w:abstractNumId="43">
    <w:nsid w:val="542289EC"/>
    <w:multiLevelType w:val="hybridMultilevel"/>
    <w:lvl w:ilvl="0">
      <w:lvlJc w:val="left"/>
      <w:lvlText w:val="4"/>
      <w:numFmt w:val="bullet"/>
      <w:start w:val="1"/>
    </w:lvl>
  </w:abstractNum>
  <w:abstractNum w:abstractNumId="44">
    <w:nsid w:val="6DE91B18"/>
    <w:multiLevelType w:val="hybridMultilevel"/>
    <w:lvl w:ilvl="0">
      <w:lvlJc w:val="left"/>
      <w:lvlText w:val="5"/>
      <w:numFmt w:val="bullet"/>
      <w:start w:val="1"/>
    </w:lvl>
  </w:abstractNum>
  <w:abstractNum w:abstractNumId="45">
    <w:nsid w:val="38437FDB"/>
    <w:multiLevelType w:val="hybridMultilevel"/>
    <w:lvl w:ilvl="0">
      <w:lvlJc w:val="left"/>
      <w:lvlText w:val="6"/>
      <w:numFmt w:val="bullet"/>
      <w:start w:val="1"/>
    </w:lvl>
  </w:abstractNum>
  <w:abstractNum w:abstractNumId="46">
    <w:nsid w:val="7644A45C"/>
    <w:multiLevelType w:val="hybridMultilevel"/>
    <w:lvl w:ilvl="0">
      <w:lvlJc w:val="left"/>
      <w:lvlText w:val="7"/>
      <w:numFmt w:val="bullet"/>
      <w:start w:val="1"/>
    </w:lvl>
  </w:abstractNum>
  <w:abstractNum w:abstractNumId="47">
    <w:nsid w:val="32FFF902"/>
    <w:multiLevelType w:val="hybridMultilevel"/>
    <w:lvl w:ilvl="0">
      <w:lvlJc w:val="left"/>
      <w:lvlText w:val="8"/>
      <w:numFmt w:val="bullet"/>
      <w:start w:val="1"/>
    </w:lvl>
  </w:abstractNum>
  <w:abstractNum w:abstractNumId="48">
    <w:nsid w:val="684A481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2023-02-14T15:44:41Z</dcterms:created>
  <dcterms:modified xsi:type="dcterms:W3CDTF">2023-02-14T15:44:41Z</dcterms:modified>
</cp:coreProperties>
</file>