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Krantz Jason Ronald</w:t>
              </w:r>
            </w:hyperlink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Definitive Healthcare Corp.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DH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DEFINITIVE HEALTHCARE CORP.</w:t>
            </w:r>
          </w:p>
        </w:tc>
        <w:tc>
          <w:tcPr>
            <w:tcW w:w="25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05/01/2025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492 OLD CONNECTICUT PATH, SUITE 401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CHAIRMAN</w:t>
      </w:r>
    </w:p>
    <w:p>
      <w:pPr>
        <w:spacing w:after="0" w:line="43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FRAMINGHAM MA</w:t>
            </w:r>
          </w:p>
        </w:tc>
        <w:tc>
          <w:tcPr>
            <w:tcW w:w="1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18,795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2.75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1,106,362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4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withholding of shares by the Issuer to satisfy the Reporting Person's tax withholding obligations in connection with the vesting and settlement of previously reported restricted stock units.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 beneficially owned in trust by DH Holdings (fka Jason R. Krantz 2009 Trust), of which the reporting person is the beneficiary.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Matthew Ruderman,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879507" TargetMode="External"/><Relationship Id="rId14" Type="http://schemas.openxmlformats.org/officeDocument/2006/relationships/hyperlink" Target="http://www.sec.gov/cgi-bin/browse-edgar?action=getcompany&amp;CIK=00018617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2025-05-05T15:35:55Z</dcterms:created>
  <dcterms:modified xsi:type="dcterms:W3CDTF">2025-05-05T15:35:55Z</dcterms:modified>
</cp:coreProperties>
</file>