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Krantz Jason Ronald</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Definitive Healthcare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DH</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Arial" w:cs="Arial" w:eastAsia="Arial" w:hAnsi="Arial"/>
                <w:sz w:val="17"/>
                <w:szCs w:val="17"/>
                <w:color w:val="0000FF"/>
              </w:rPr>
              <w:t>11/07/2022</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5"/>
        <w:spacing w:after="0"/>
        <w:rPr>
          <w:sz w:val="20"/>
          <w:szCs w:val="20"/>
          <w:color w:val="auto"/>
        </w:rPr>
      </w:pPr>
      <w:r>
        <w:rPr>
          <w:rFonts w:ascii="Arial" w:cs="Arial" w:eastAsia="Arial" w:hAnsi="Arial"/>
          <w:sz w:val="17"/>
          <w:szCs w:val="17"/>
          <w:color w:val="0000FF"/>
        </w:rPr>
        <w:t>Executive Chairman</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11/07/2022</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0000FF"/>
              </w:rPr>
              <w:t>450,000</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74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11.54</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450,000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ind w:left="280"/>
              <w:spacing w:after="0"/>
              <w:rPr>
                <w:sz w:val="20"/>
                <w:szCs w:val="20"/>
                <w:color w:val="auto"/>
              </w:rPr>
            </w:pPr>
            <w:r>
              <w:rPr>
                <w:rFonts w:ascii="Arial" w:cs="Arial" w:eastAsia="Arial" w:hAnsi="Arial"/>
                <w:sz w:val="17"/>
                <w:szCs w:val="17"/>
                <w:color w:val="0000FF"/>
              </w:rPr>
              <w:t>133,847</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Amount beneficially owned in trust by DH Holdings (fka Jason R. Krantz 2009 Trust), of which the Reporting Person is the beneficiary.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11/09/2022</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207" w:lineRule="exact"/>
        <w:rPr>
          <w:sz w:val="20"/>
          <w:szCs w:val="20"/>
          <w:color w:val="auto"/>
        </w:rPr>
      </w:pPr>
    </w:p>
    <w:p>
      <w:pPr>
        <w:ind w:right="16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Jason Kent, Jean Park, Eliza Foley, Natasha Patel, Albert Gelin and Jason Minio of Cooley LLP, and David Samuels, Matthew Ruderman and Maria Borda of Definitive Healthcare Corp. (the "Company"), signing individually, the undersigned's true and lawful attorneys-in fact and agents to:</w:t>
      </w:r>
    </w:p>
    <w:p>
      <w:pPr>
        <w:spacing w:after="0" w:line="200" w:lineRule="exact"/>
        <w:rPr>
          <w:sz w:val="20"/>
          <w:szCs w:val="20"/>
          <w:color w:val="auto"/>
        </w:rPr>
      </w:pPr>
    </w:p>
    <w:p>
      <w:pPr>
        <w:ind w:right="53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and</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Courier New" w:cs="Courier New" w:eastAsia="Courier New" w:hAnsi="Courier New"/>
          <w:sz w:val="17"/>
          <w:szCs w:val="17"/>
          <w:color w:val="auto"/>
        </w:rPr>
      </w:pPr>
    </w:p>
    <w:p>
      <w:pPr>
        <w:ind w:right="73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w:t>
      </w:r>
    </w:p>
    <w:p>
      <w:pPr>
        <w:ind w:right="1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(including amendments thereto and joint filing agreements in connection therewith) and file such forms with the SEC and any stock exchange, self-regulatory association or any similar authority; and</w:t>
      </w:r>
    </w:p>
    <w:p>
      <w:pPr>
        <w:spacing w:after="0" w:line="197" w:lineRule="exact"/>
        <w:rPr>
          <w:rFonts w:ascii="Courier New" w:cs="Courier New" w:eastAsia="Courier New" w:hAnsi="Courier New"/>
          <w:sz w:val="17"/>
          <w:szCs w:val="17"/>
          <w:color w:val="auto"/>
        </w:rPr>
      </w:pPr>
    </w:p>
    <w:p>
      <w:pPr>
        <w:ind w:right="135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ind w:right="1479" w:firstLine="832"/>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959" w:firstLine="832"/>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w:t>
      </w:r>
    </w:p>
    <w:p>
      <w:pPr>
        <w:ind w:right="1679"/>
        <w:spacing w:after="0" w:line="249" w:lineRule="auto"/>
        <w:rPr>
          <w:sz w:val="20"/>
          <w:szCs w:val="20"/>
          <w:color w:val="auto"/>
        </w:rPr>
      </w:pPr>
      <w:r>
        <w:rPr>
          <w:rFonts w:ascii="Courier New" w:cs="Courier New" w:eastAsia="Courier New" w:hAnsi="Courier New"/>
          <w:sz w:val="17"/>
          <w:szCs w:val="17"/>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00" w:lineRule="exact"/>
        <w:rPr>
          <w:sz w:val="20"/>
          <w:szCs w:val="20"/>
          <w:color w:val="auto"/>
        </w:rPr>
      </w:pPr>
    </w:p>
    <w:p>
      <w:pPr>
        <w:ind w:right="1359" w:firstLine="832"/>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November 7, 2022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/s/Jason Krantz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Jason Krantz</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2022-11-09T15:52:49Z</dcterms:created>
  <dcterms:modified xsi:type="dcterms:W3CDTF">2022-11-09T15:52:49Z</dcterms:modified>
</cp:coreProperties>
</file>