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dh-20230906.htm"/>
      <w:bookmarkStart w:id="1" w:name="ksdh20230906"/>
      <w:bookmarkEnd w:id="0"/>
      <w:bookmarkEnd w:id="1"/>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bidi w:val="0"/>
        <w:spacing w:before="120" w:after="0"/>
        <w:jc w:val="center"/>
        <w:rPr>
          <w:rFonts w:ascii="Times New Roman;serif" w:hAnsi="Times New Roman;serif"/>
          <w:b/>
          <w:sz w:val="34"/>
        </w:rPr>
      </w:pPr>
      <w:r>
        <w:rPr>
          <w:rFonts w:ascii="Times New Roman;serif" w:hAnsi="Times New Roman;serif"/>
          <w:b/>
          <w:sz w:val="34"/>
        </w:rPr>
        <w:t>FORM 8-K</w:t>
      </w:r>
    </w:p>
    <w:p>
      <w:pPr>
        <w:pStyle w:val="TextBody"/>
        <w:pBdr>
          <w:bottom w:val="single" w:sz="6" w:space="1" w:color="000000"/>
        </w:pBdr>
        <w:bidi w:val="0"/>
        <w:spacing w:before="0" w:after="0"/>
        <w:jc w:val="center"/>
        <w:rPr/>
      </w:pPr>
      <w:r>
        <w:rPr/>
        <w:t> </w:t>
      </w:r>
    </w:p>
    <w:p>
      <w:pPr>
        <w:pStyle w:val="TextBody"/>
        <w:bidi w:val="0"/>
        <w:spacing w:before="12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 or 15(d)</w:t>
      </w:r>
      <w:r>
        <w:rPr>
          <w:rFonts w:ascii="Times New Roman" w:hAnsi="Times New Roman"/>
          <w:sz w:val="20"/>
        </w:rPr>
        <w:t xml:space="preserve"> </w:t>
      </w:r>
    </w:p>
    <w:p>
      <w:pPr>
        <w:pStyle w:val="TextBody"/>
        <w:bidi w:val="0"/>
        <w:spacing w:before="0" w:after="0"/>
        <w:jc w:val="center"/>
        <w:rPr>
          <w:rFonts w:ascii="Times New Roman;serif" w:hAnsi="Times New Roman;serif"/>
          <w:b/>
          <w:sz w:val="24"/>
        </w:rPr>
      </w:pPr>
      <w:r>
        <w:rPr>
          <w:rFonts w:ascii="Times New Roman;serif" w:hAnsi="Times New Roman;serif"/>
          <w:b/>
          <w:sz w:val="24"/>
        </w:rPr>
        <w:t>of the Securities Exchange Act of 1934</w:t>
      </w:r>
    </w:p>
    <w:p>
      <w:pPr>
        <w:pStyle w:val="TextBody"/>
        <w:bidi w:val="0"/>
        <w:spacing w:before="120" w:after="0"/>
        <w:jc w:val="center"/>
        <w:rPr>
          <w:rFonts w:ascii="Times New Roman;serif" w:hAnsi="Times New Roman;serif"/>
          <w:b/>
          <w:sz w:val="24"/>
        </w:rPr>
      </w:pPr>
      <w:r>
        <w:rPr>
          <w:rFonts w:ascii="Times New Roman;serif" w:hAnsi="Times New Roman;serif"/>
          <w:b/>
          <w:sz w:val="24"/>
        </w:rPr>
        <w:t>Date of Report (Date of earliest event reported):</w:t>
      </w:r>
    </w:p>
    <w:p>
      <w:pPr>
        <w:pStyle w:val="TextBody"/>
        <w:bidi w:val="0"/>
        <w:spacing w:before="0" w:after="0"/>
        <w:jc w:val="center"/>
        <w:rPr>
          <w:rFonts w:ascii="Times New Roman;serif" w:hAnsi="Times New Roman;serif"/>
          <w:b/>
          <w:sz w:val="24"/>
        </w:rPr>
      </w:pPr>
      <w:r>
        <w:rPr>
          <w:rFonts w:ascii="Times New Roman;serif" w:hAnsi="Times New Roman;serif"/>
          <w:b/>
          <w:sz w:val="24"/>
        </w:rPr>
        <w:t>September 6, 2023</w:t>
      </w:r>
    </w:p>
    <w:p>
      <w:pPr>
        <w:pStyle w:val="TextBody"/>
        <w:pBdr>
          <w:top w:val="single" w:sz="6" w:space="1" w:color="000000"/>
        </w:pBdr>
        <w:bidi w:val="0"/>
        <w:spacing w:before="24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Definitive Healthcare Corp.</w:t>
      </w:r>
    </w:p>
    <w:p>
      <w:pPr>
        <w:pStyle w:val="TextBody"/>
        <w:bidi w:val="0"/>
        <w:spacing w:before="0" w:after="0"/>
        <w:jc w:val="center"/>
        <w:rPr>
          <w:rFonts w:ascii="Times New Roman;serif" w:hAnsi="Times New Roman;serif"/>
          <w:b/>
          <w:sz w:val="15"/>
        </w:rPr>
      </w:pPr>
      <w:r>
        <w:rPr>
          <w:rFonts w:ascii="Times New Roman;serif" w:hAnsi="Times New Roman;serif"/>
          <w:b/>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Commission File Number 1-40815</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Framingham, Massachusetts</w:t>
            </w:r>
            <w:r>
              <w:rPr>
                <w:rFonts w:ascii="Times New Roman" w:hAnsi="Times New Roman"/>
                <w:sz w:val="20"/>
              </w:rPr>
              <w:t xml:space="preserve"> </w:t>
            </w:r>
            <w:r>
              <w:rPr>
                <w:rFonts w:ascii="Times New Roman;serif" w:hAnsi="Times New Roman;serif"/>
                <w:b/>
                <w:sz w:val="20"/>
              </w:rPr>
              <w:t>01701</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15"/>
              </w:rPr>
              <w:t>(Address of Principal Executive Offices)</w:t>
            </w:r>
            <w:r>
              <w:rPr>
                <w:rFonts w:ascii="Times New Roman" w:hAnsi="Times New Roman"/>
                <w:sz w:val="20"/>
              </w:rPr>
              <w:t xml:space="preserve">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508</w:t>
            </w:r>
            <w:r>
              <w:rPr>
                <w:rFonts w:ascii="Times New Roman" w:hAnsi="Times New Roman"/>
                <w:sz w:val="20"/>
              </w:rPr>
              <w:t xml:space="preserve"> </w:t>
            </w:r>
            <w:r>
              <w:rPr>
                <w:rFonts w:ascii="Times New Roman;serif" w:hAnsi="Times New Roman;serif"/>
                <w:b/>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 Applicable</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bidi w:val="0"/>
        <w:spacing w:before="200"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0" w:after="60"/>
        <w:jc w:val="left"/>
        <w:rPr/>
      </w:pPr>
      <w:r>
        <w:rPr/>
        <w:t xml:space="preserve">☐ </w:t>
      </w:r>
      <w:r>
        <w:rPr>
          <w:rFonts w:ascii="Times New Roman;serif" w:hAnsi="Times New Roman;serif"/>
          <w:b w:val="false"/>
          <w:sz w:val="20"/>
        </w:rPr>
        <w:t>Written communications pursuant to Rule 425 under the Securities Act (17 CFR 230.425)</w:t>
      </w:r>
    </w:p>
    <w:p>
      <w:pPr>
        <w:pStyle w:val="TextBody"/>
        <w:bidi w:val="0"/>
        <w:spacing w:before="0" w:after="60"/>
        <w:jc w:val="left"/>
        <w:rPr/>
      </w:pPr>
      <w:r>
        <w:rPr/>
        <w:t xml:space="preserve">☐ </w:t>
      </w:r>
      <w:r>
        <w:rPr>
          <w:rFonts w:ascii="Times New Roman;serif" w:hAnsi="Times New Roman;serif"/>
          <w:b w:val="false"/>
          <w:sz w:val="20"/>
        </w:rPr>
        <w:t>Soliciting material pursuant to Rule 14a-12 under the Exchange Act (17 CFR 240.14a-12)</w:t>
      </w:r>
    </w:p>
    <w:p>
      <w:pPr>
        <w:pStyle w:val="TextBody"/>
        <w:bidi w:val="0"/>
        <w:spacing w:before="0" w:after="60"/>
        <w:jc w:val="left"/>
        <w:rPr/>
      </w:pPr>
      <w:r>
        <w:rPr/>
        <w:t xml:space="preserve">☐ </w:t>
      </w:r>
      <w:r>
        <w:rPr>
          <w:rFonts w:ascii="Times New Roman;serif" w:hAnsi="Times New Roman;serif"/>
          <w:b w:val="false"/>
          <w:sz w:val="20"/>
        </w:rPr>
        <w:t>Pre-commencement communications pursuant to Rule 14d-2(b) under the Exchange Act (17 CFR 240.14d-2(b))</w:t>
      </w:r>
    </w:p>
    <w:p>
      <w:pPr>
        <w:pStyle w:val="TextBody"/>
        <w:bidi w:val="0"/>
        <w:spacing w:before="0" w:after="60"/>
        <w:jc w:val="left"/>
        <w:rPr/>
      </w:pPr>
      <w:r>
        <w:rPr/>
        <w:t xml:space="preserve">☐ </w:t>
      </w:r>
      <w:r>
        <w:rPr>
          <w:rFonts w:ascii="Times New Roman;serif" w:hAnsi="Times New Roman;serif"/>
          <w:b w:val="false"/>
          <w:sz w:val="20"/>
        </w:rPr>
        <w:t>Pre-commencement communications pursuant to Rule 13e-4(c) under the Exchange Act (17 CFR 240.13e-4(c))</w:t>
      </w:r>
    </w:p>
    <w:p>
      <w:pPr>
        <w:pStyle w:val="TextBody"/>
        <w:bidi w:val="0"/>
        <w:spacing w:before="160" w:after="16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DH</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tc>
      </w:tr>
    </w:tbl>
    <w:p>
      <w:pPr>
        <w:pStyle w:val="TextBody"/>
        <w:bidi w:val="0"/>
        <w:spacing w:before="16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6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240" w:after="240"/>
        <w:jc w:val="left"/>
        <w:rPr>
          <w:rFonts w:ascii="Times New Roman" w:hAnsi="Times New Roman"/>
          <w:sz w:val="20"/>
        </w:rPr>
      </w:pPr>
      <w:r>
        <w:rPr>
          <w:rFonts w:ascii="Times New Roman;serif" w:hAnsi="Times New Roman;serif"/>
          <w:b w:val="false"/>
          <w:sz w:val="2"/>
        </w:rPr>
        <w:br/>
      </w:r>
      <w:r>
        <w:rPr>
          <w:rFonts w:ascii="Times New Roman" w:hAnsi="Times New Roman"/>
          <w:sz w:val="20"/>
        </w:rP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serif" w:hAnsi="Times New Roman;serif"/>
          <w:b/>
          <w:sz w:val="20"/>
        </w:rPr>
      </w:pPr>
      <w:r>
        <w:rPr>
          <w:rFonts w:ascii="Times New Roman;serif" w:hAnsi="Times New Roman;serif"/>
          <w:b/>
          <w:sz w:val="20"/>
        </w:rPr>
        <w:t>Item 5.02 Departure of Directors or Certain Officers; Election of Directors; Appointment of Certain Officers; Compensatory Arrangements of Certain Officers.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Resignation of Director</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On September 6, 2023, Chris Mitchell resigned from the Board of Directors (the “Board”) of Definitive Healthcare Corp. (the “Company”), which resignation became effective upon the appointment of Scott Stephenson as a member of the Board on September 6, 2023. The resignation was not the result of any disagreements with the Company relating to the Company’s operations, policies or practices.</w:t>
      </w:r>
    </w:p>
    <w:p>
      <w:pPr>
        <w:pStyle w:val="TextBody"/>
        <w:bidi w:val="0"/>
        <w:spacing w:before="240" w:after="120"/>
        <w:jc w:val="left"/>
        <w:rPr>
          <w:rFonts w:ascii="Times New Roman;serif" w:hAnsi="Times New Roman;serif"/>
          <w:b/>
          <w:i/>
          <w:sz w:val="20"/>
        </w:rPr>
      </w:pPr>
      <w:r>
        <w:rPr>
          <w:rFonts w:ascii="Times New Roman;serif" w:hAnsi="Times New Roman;serif"/>
          <w:b/>
          <w:i/>
          <w:sz w:val="20"/>
        </w:rPr>
        <w:t>Appointment of Director</w:t>
      </w:r>
    </w:p>
    <w:p>
      <w:pPr>
        <w:pStyle w:val="TextBody"/>
        <w:bidi w:val="0"/>
        <w:spacing w:before="0" w:after="120"/>
        <w:jc w:val="left"/>
        <w:rPr>
          <w:rFonts w:ascii="Times New Roman" w:hAnsi="Times New Roman"/>
          <w:sz w:val="20"/>
        </w:rPr>
      </w:pPr>
      <w:r>
        <w:rPr>
          <w:rFonts w:ascii="Times New Roman;serif" w:hAnsi="Times New Roman;serif"/>
          <w:b w:val="false"/>
          <w:sz w:val="20"/>
        </w:rPr>
        <w:t>Following Mr. Mitchell’s resignation, on September 6, 2023, the Board appointed Scott Stephenson as a member of the Board and as a member of the Nominating and Corporate Governance Committee of the Board. Mr. Stephenson will serve as a Class III director until the Company’s 2024 Annual Meeting of Stockholders and until such time as his successor is duly elected and qualified, or until his earlier death, resignation, or removal.</w:t>
      </w:r>
      <w:r>
        <w:rPr>
          <w:rFonts w:ascii="Times New Roman" w:hAnsi="Times New Roman"/>
          <w:sz w:val="20"/>
        </w:rPr>
        <w:t xml:space="preserve"> </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Mr. Stephenson will participate in the Company’s non-employee director compensation policy (described in the Company's proxy statement and filed as Exhibit 10.1 to the Company’s Quarterly Report on Form 10-Q filed with the Securities and Exchange Commission on August 14, 2023), as may be amended from time to time. Mr. Stephenson will enter into the Company’s standard form of indemnification agreement in the form previously approved by the Board, which form is filed as Exhibit 10.6 to the Company’s Registration Statement on Form S-1 (File No. 333-258990) filed with the Securities and Exchange Commission on August 20, 2021.</w:t>
      </w:r>
    </w:p>
    <w:p>
      <w:pPr>
        <w:pStyle w:val="TextBody"/>
        <w:bidi w:val="0"/>
        <w:spacing w:before="240" w:after="120"/>
        <w:jc w:val="left"/>
        <w:rPr>
          <w:rFonts w:ascii="Times New Roman;serif" w:hAnsi="Times New Roman;serif"/>
          <w:b/>
          <w:sz w:val="20"/>
        </w:rPr>
      </w:pPr>
      <w:r>
        <w:rPr>
          <w:rFonts w:ascii="Times New Roman;serif" w:hAnsi="Times New Roman;serif"/>
          <w:b/>
          <w:sz w:val="20"/>
        </w:rPr>
        <w:t>Item 7.01. Regulation FD Disclosure.</w:t>
      </w:r>
    </w:p>
    <w:p>
      <w:pPr>
        <w:pStyle w:val="TextBody"/>
        <w:bidi w:val="0"/>
        <w:spacing w:before="0" w:after="120"/>
        <w:jc w:val="left"/>
        <w:rPr>
          <w:rFonts w:ascii="Times New Roman" w:hAnsi="Times New Roman"/>
          <w:sz w:val="20"/>
        </w:rPr>
      </w:pPr>
      <w:r>
        <w:rPr>
          <w:rFonts w:ascii="Times New Roman;serif" w:hAnsi="Times New Roman;serif"/>
          <w:b w:val="false"/>
          <w:sz w:val="20"/>
        </w:rPr>
        <w:t>On September 8, 2023, the Company issued a press release announcing the resignation of Mr. Mitchell and appointment of Mr. Stephenson as a member of the Board and of the Nominating and Corporate Governance Committee. A copy of the press release is furnished as Exhibit 99.1 hereto and is incorporated by reference herein.</w:t>
      </w:r>
      <w:r>
        <w:rPr>
          <w:rFonts w:ascii="Times New Roman" w:hAnsi="Times New Roman"/>
          <w:sz w:val="20"/>
        </w:rPr>
        <w:t xml:space="preserve"> </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The information furnished in this Item 7.01 on this Current Report on Form 8-K, including Exhibit 99.1, shall not be deemed “filed” for purposes of Section 18 of the Exchange Act, or otherwise subject to the liabilities of that section, nor shall it be deemed incorporated by reference into any filing under the Securities Act, or the Exchange Act, regardless of any general incorporation language in such filing.</w:t>
      </w:r>
    </w:p>
    <w:p>
      <w:pPr>
        <w:pStyle w:val="TextBody"/>
        <w:bidi w:val="0"/>
        <w:spacing w:before="240" w:after="120"/>
        <w:jc w:val="both"/>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(d) Exhibits.</w:t>
      </w:r>
    </w:p>
    <w:tbl>
      <w:tblPr>
        <w:tblW w:w="7292" w:type="dxa"/>
        <w:jc w:val="left"/>
        <w:tblInd w:w="0" w:type="dxa"/>
        <w:tblLayout w:type="fixed"/>
        <w:tblCellMar>
          <w:top w:w="28" w:type="dxa"/>
          <w:left w:w="28" w:type="dxa"/>
          <w:bottom w:w="28" w:type="dxa"/>
          <w:right w:w="28" w:type="dxa"/>
        </w:tblCellMar>
      </w:tblPr>
      <w:tblGrid>
        <w:gridCol w:w="481"/>
        <w:gridCol w:w="6811"/>
      </w:tblGrid>
      <w:tr>
        <w:trPr/>
        <w:tc>
          <w:tcPr>
            <w:tcW w:w="481"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681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99_1.htm">
              <w:r>
                <w:rPr>
                  <w:rStyle w:val="InternetLink"/>
                  <w:rFonts w:ascii="Times New Roman;serif" w:hAnsi="Times New Roman;serif"/>
                  <w:b w:val="false"/>
                  <w:sz w:val="20"/>
                  <w:u w:val="single"/>
                </w:rPr>
                <w:t>Press Release Dated September 8, 2023 (furnished herewith pursuant to Item 7.01).</w:t>
              </w:r>
            </w:hyperlink>
          </w:p>
        </w:tc>
      </w:tr>
      <w:tr>
        <w:trPr/>
        <w:tc>
          <w:tcPr>
            <w:tcW w:w="4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8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240" w:after="12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Booth</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21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September 8, 2023</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Arial;sans-serif" w:hAnsi="Arial;sans-serif"/>
          <w:b/>
          <w:sz w:val="22"/>
        </w:rPr>
      </w:pPr>
      <w:bookmarkStart w:id="2" w:name="dh-ex99_1.htm"/>
      <w:bookmarkStart w:id="3" w:name="ksdhex99_1"/>
      <w:bookmarkEnd w:id="2"/>
      <w:bookmarkEnd w:id="3"/>
      <w:r>
        <w:rPr>
          <w:rFonts w:ascii="Arial;sans-serif" w:hAnsi="Arial;sans-serif"/>
          <w:b/>
          <w:sz w:val="22"/>
        </w:rPr>
        <w:t>Exhibit 99.1</w:t>
      </w:r>
      <w:r>
        <w:br w:type="page"/>
      </w:r>
    </w:p>
    <w:p>
      <w:pPr>
        <w:pStyle w:val="TextBody"/>
        <w:bidi w:val="0"/>
        <w:spacing w:before="0" w:after="0"/>
        <w:jc w:val="right"/>
        <w:rPr/>
      </w:pPr>
      <w:r>
        <w:rPr/>
        <w:t> </w:t>
      </w:r>
    </w:p>
    <w:p>
      <w:pPr>
        <w:pStyle w:val="TextBody"/>
        <w:bidi w:val="0"/>
        <w:spacing w:before="0" w:after="0"/>
        <w:jc w:val="center"/>
        <w:rPr>
          <w:rFonts w:ascii="Arial;sans-serif" w:hAnsi="Arial;sans-serif"/>
          <w:b/>
          <w:sz w:val="22"/>
        </w:rPr>
      </w:pPr>
      <w:r>
        <w:rPr>
          <w:rFonts w:ascii="Arial;sans-serif" w:hAnsi="Arial;sans-serif"/>
          <w:b/>
          <w:sz w:val="22"/>
        </w:rPr>
        <w:t>Definitive Healthcare Welcomes Scott Stephenson to Board of Directors</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Arial;sans-serif" w:hAnsi="Arial;sans-serif"/>
          <w:b/>
          <w:sz w:val="22"/>
        </w:rPr>
        <w:t xml:space="preserve">Framingham, MA (September 8, 2023) – </w:t>
      </w:r>
      <w:r>
        <w:rPr>
          <w:rFonts w:ascii="Arial;sans-serif" w:hAnsi="Arial;sans-serif"/>
          <w:b w:val="false"/>
          <w:sz w:val="22"/>
        </w:rPr>
        <w:t>Definitive Healthcare Corp. (Nasdaq: DH), an industry leader in healthcare commercial intelligence, today announced two changes to its Board of Directors. On September 6, 2023, Scott Stephenson, the former Chief Executive Officer of Verisk Analytics, joined the Board of Directors and the nominating and corporate governance committee of the Board, while Chris Mitchell, managing director of Spectrum Equity, stepped down from the Board of Directors.</w:t>
      </w:r>
    </w:p>
    <w:p>
      <w:pPr>
        <w:pStyle w:val="TextBody"/>
        <w:bidi w:val="0"/>
        <w:spacing w:before="0" w:after="0"/>
        <w:jc w:val="left"/>
        <w:rPr/>
      </w:pPr>
      <w:r>
        <w:rPr/>
        <w:t>“</w:t>
      </w:r>
      <w:r>
        <w:rPr>
          <w:rFonts w:ascii="Arial;sans-serif" w:hAnsi="Arial;sans-serif"/>
          <w:b w:val="false"/>
          <w:sz w:val="22"/>
        </w:rPr>
        <w:t>We are thrilled to welcome Scott Stephenson to the Definitive Healthcare Board of Directors,” said Jason Krantz, Executive Chairman of the Board and founder of Definitive Healthcare. “Scott brings a deep expertise in combining data and analytics to generate new intelligence for customers of all sizes. Scott will be a valuable resource for our leadership team as we continue to build out our industry-leading SaaS platform and develop new solutions that leverage artificial intelligence and machine learning.”</w:t>
      </w:r>
    </w:p>
    <w:p>
      <w:pPr>
        <w:pStyle w:val="TextBody"/>
        <w:bidi w:val="0"/>
        <w:spacing w:before="0" w:after="0"/>
        <w:jc w:val="left"/>
        <w:rPr/>
      </w:pPr>
      <w:r>
        <w:rPr/>
        <w:t> </w:t>
      </w:r>
    </w:p>
    <w:p>
      <w:pPr>
        <w:pStyle w:val="TextBody"/>
        <w:bidi w:val="0"/>
        <w:spacing w:before="0" w:after="0"/>
        <w:jc w:val="left"/>
        <w:rPr>
          <w:rFonts w:ascii="Arial;sans-serif" w:hAnsi="Arial;sans-serif"/>
          <w:b w:val="false"/>
          <w:sz w:val="22"/>
        </w:rPr>
      </w:pPr>
      <w:r>
        <w:rPr>
          <w:rFonts w:ascii="Arial;sans-serif" w:hAnsi="Arial;sans-serif"/>
          <w:b w:val="false"/>
          <w:sz w:val="22"/>
        </w:rPr>
        <w:t>Stephenson held various roles at Verisk Analytics, Inc. (Nasdaq: VRSK), a strategic data analytics and technology partner to the global insurance industry, between 2001 and 2022, including nine years as chief executive officer and a member of the Board of Directors. Prior to joining Verisk, Stephenson was a partner with The Boston Consulting Group, eventually rising to senior partner and member of the firm’s North American operating committee.</w:t>
      </w:r>
    </w:p>
    <w:p>
      <w:pPr>
        <w:pStyle w:val="TextBody"/>
        <w:bidi w:val="0"/>
        <w:spacing w:before="0" w:after="0"/>
        <w:jc w:val="left"/>
        <w:rPr/>
      </w:pPr>
      <w:r>
        <w:rPr/>
        <w:t> </w:t>
      </w:r>
    </w:p>
    <w:p>
      <w:pPr>
        <w:pStyle w:val="TextBody"/>
        <w:bidi w:val="0"/>
        <w:spacing w:before="0" w:after="0"/>
        <w:jc w:val="left"/>
        <w:rPr>
          <w:rFonts w:ascii="Arial;sans-serif" w:hAnsi="Arial;sans-serif"/>
          <w:b w:val="false"/>
          <w:sz w:val="22"/>
        </w:rPr>
      </w:pPr>
      <w:r>
        <w:rPr>
          <w:rFonts w:ascii="Arial;sans-serif" w:hAnsi="Arial;sans-serif"/>
          <w:b w:val="false"/>
          <w:sz w:val="22"/>
        </w:rPr>
        <w:t>Since February 2020, Stephenson has served on the Board of Directors of Public Service Enterprise Group Inc. (NYSE: PEG), the publicly traded parent company of New Jersey-based gas and electric utility company, Public Service Electric and Gas Co. (PSE&amp;G). Mr. Stephenson holds a B.S. from the University of Virginia and an M.B.A. from Harvard Business School.</w:t>
      </w:r>
    </w:p>
    <w:p>
      <w:pPr>
        <w:pStyle w:val="TextBody"/>
        <w:bidi w:val="0"/>
        <w:spacing w:before="0" w:after="0"/>
        <w:jc w:val="left"/>
        <w:rPr/>
      </w:pPr>
      <w:r>
        <w:rPr/>
        <w:t> </w:t>
      </w:r>
    </w:p>
    <w:p>
      <w:pPr>
        <w:pStyle w:val="TextBody"/>
        <w:bidi w:val="0"/>
        <w:spacing w:before="0" w:after="0"/>
        <w:jc w:val="left"/>
        <w:rPr/>
      </w:pPr>
      <w:r>
        <w:rPr/>
        <w:t>“</w:t>
      </w:r>
      <w:r>
        <w:rPr>
          <w:rFonts w:ascii="Arial;sans-serif" w:hAnsi="Arial;sans-serif"/>
          <w:b w:val="false"/>
          <w:sz w:val="22"/>
        </w:rPr>
        <w:t>I’m excited to join the Definitive Healthcare Board of Directors,” said Stephenson. “Definitive Healthcare’s innovative SaaS platform, combined with their Atlas Dataset and proprietary AI-driven analytics has the company perfectly positioned to be an industry leader in the rapidly expanding market for healthcare commercial intelligence. I look forward to working with the leadership team to help them grow the business.”</w:t>
      </w:r>
      <w:r>
        <w:rPr>
          <w:rFonts w:ascii="Times New Roman" w:hAnsi="Times New Roman"/>
          <w:sz w:val="20"/>
        </w:rPr>
        <w:t xml:space="preserve"> </w:t>
      </w:r>
    </w:p>
    <w:p>
      <w:pPr>
        <w:pStyle w:val="TextBody"/>
        <w:bidi w:val="0"/>
        <w:spacing w:before="0" w:after="0"/>
        <w:jc w:val="left"/>
        <w:rPr>
          <w:rFonts w:ascii="Arial;sans-serif" w:hAnsi="Arial;sans-serif"/>
          <w:b w:val="false"/>
          <w:sz w:val="22"/>
        </w:rPr>
      </w:pPr>
      <w:r>
        <w:rPr>
          <w:rFonts w:ascii="Arial;sans-serif" w:hAnsi="Arial;sans-serif"/>
          <w:b w:val="false"/>
          <w:sz w:val="22"/>
        </w:rPr>
        <w:t>Concurrent with Stephenson’s appointment, Chris Mitchell stepped down from the Definitive Healthcare board of directors.</w:t>
      </w:r>
    </w:p>
    <w:p>
      <w:pPr>
        <w:pStyle w:val="TextBody"/>
        <w:bidi w:val="0"/>
        <w:spacing w:before="0" w:after="0"/>
        <w:jc w:val="left"/>
        <w:rPr/>
      </w:pPr>
      <w:r>
        <w:rPr/>
        <w:t>“</w:t>
      </w:r>
      <w:r>
        <w:rPr>
          <w:rFonts w:ascii="Arial;sans-serif" w:hAnsi="Arial;sans-serif"/>
          <w:b w:val="false"/>
          <w:sz w:val="22"/>
        </w:rPr>
        <w:t>Chris was one of the first external investors in Definitive Healthcare and I’ve always appreciated the tremendous faith that he showed in me and the business,” said Krantz. “Chris is a trusted advisor who helped us steer the company through an IPO and to more than $200 million in revenue. On behalf of the entire Definitive Healthcare family, I want to thank him for his service.”</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sz w:val="22"/>
        </w:rPr>
      </w:pPr>
      <w:r>
        <w:rPr>
          <w:rFonts w:ascii="Arial;sans-serif" w:hAnsi="Arial;sans-serif"/>
          <w:b/>
          <w:sz w:val="22"/>
        </w:rPr>
        <w:t>About Definitive Healthcare</w:t>
      </w:r>
    </w:p>
    <w:p>
      <w:pPr>
        <w:pStyle w:val="TextBody"/>
        <w:bidi w:val="0"/>
        <w:spacing w:before="0" w:after="0"/>
        <w:jc w:val="left"/>
        <w:rPr/>
      </w:pPr>
      <w:r>
        <w:rPr/>
        <w:t> </w:t>
      </w:r>
    </w:p>
    <w:p>
      <w:pPr>
        <w:pStyle w:val="TextBody"/>
        <w:bidi w:val="0"/>
        <w:spacing w:before="0" w:after="0"/>
        <w:jc w:val="left"/>
        <w:rPr>
          <w:rFonts w:ascii="Arial;sans-serif" w:hAnsi="Arial;sans-serif"/>
          <w:b w:val="false"/>
          <w:sz w:val="22"/>
        </w:rPr>
      </w:pPr>
      <w:r>
        <w:rPr>
          <w:rFonts w:ascii="Arial;sans-serif" w:hAnsi="Arial;sans-serif"/>
          <w:b w:val="false"/>
          <w:sz w:val="22"/>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w:t>
      </w:r>
    </w:p>
    <w:p>
      <w:pPr>
        <w:pStyle w:val="TextBody"/>
        <w:bidi w:val="0"/>
        <w:spacing w:before="0" w:after="0"/>
        <w:jc w:val="left"/>
        <w:rPr/>
      </w:pPr>
      <w:r>
        <w:rPr/>
        <w:t> </w:t>
      </w:r>
    </w:p>
    <w:p>
      <w:pPr>
        <w:pStyle w:val="TextBody"/>
        <w:bidi w:val="0"/>
        <w:spacing w:before="0" w:after="0"/>
        <w:jc w:val="left"/>
        <w:rPr>
          <w:rFonts w:ascii="Arial;sans-serif" w:hAnsi="Arial;sans-serif"/>
          <w:b/>
          <w:sz w:val="22"/>
        </w:rPr>
      </w:pPr>
      <w:r>
        <w:rPr>
          <w:rFonts w:ascii="Arial;sans-serif" w:hAnsi="Arial;sans-serif"/>
          <w:b/>
          <w:sz w:val="22"/>
        </w:rPr>
        <w:t>Forward-Looking Statements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i/>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r>
        <w:rPr>
          <w:rFonts w:ascii="Times New Roman" w:hAnsi="Times New Roman"/>
          <w:sz w:val="20"/>
        </w:rPr>
        <w:t xml:space="preserve"> </w:t>
      </w:r>
    </w:p>
    <w:p>
      <w:pPr>
        <w:pStyle w:val="TextBody"/>
        <w:bidi w:val="0"/>
        <w:spacing w:before="0" w:after="0"/>
        <w:jc w:val="left"/>
        <w:rPr>
          <w:rFonts w:ascii="Arial;sans-serif" w:hAnsi="Arial;sans-serif"/>
          <w:b w:val="false"/>
          <w:i/>
          <w:sz w:val="22"/>
        </w:rPr>
      </w:pPr>
      <w:r>
        <w:rPr>
          <w:rFonts w:ascii="Arial;sans-serif" w:hAnsi="Arial;sans-serif"/>
          <w:b w:val="false"/>
          <w:i/>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pStyle w:val="TextBody"/>
        <w:bidi w:val="0"/>
        <w:spacing w:before="0" w:after="0"/>
        <w:jc w:val="left"/>
        <w:rPr/>
      </w:pPr>
      <w:r>
        <w:rPr/>
        <w:t> </w:t>
      </w:r>
    </w:p>
    <w:p>
      <w:pPr>
        <w:pStyle w:val="TextBody"/>
        <w:bidi w:val="0"/>
        <w:spacing w:before="0" w:after="0"/>
        <w:jc w:val="left"/>
        <w:rPr>
          <w:rFonts w:ascii="Arial;sans-serif" w:hAnsi="Arial;sans-serif"/>
          <w:b w:val="false"/>
          <w:i/>
          <w:sz w:val="22"/>
        </w:rPr>
      </w:pPr>
      <w:r>
        <w:rPr>
          <w:rFonts w:ascii="Arial;sans-serif" w:hAnsi="Arial;sans-serif"/>
          <w:b w:val="false"/>
          <w:i/>
          <w:sz w:val="22"/>
        </w:rPr>
        <w:t>For additional discussion of factors that could impact our operational and financial results, refer to our Quarterly Report on Form 10-Q for the three months ended June 30, 2023, our 2022 Form 10-K/A and our Q1 2023 Form 10-Q/A, as well as our Current Reports on Form 8-K and other subsequent SEC filings, which are or will be available on the Investor Relations page of our website at ir.definitivehc.com and on the SEC website at www.sec.gov.</w:t>
      </w:r>
    </w:p>
    <w:p>
      <w:pPr>
        <w:pStyle w:val="TextBody"/>
        <w:bidi w:val="0"/>
        <w:spacing w:before="0" w:after="0"/>
        <w:jc w:val="left"/>
        <w:rPr/>
      </w:pPr>
      <w:r>
        <w:rPr/>
        <w:t> </w:t>
      </w:r>
    </w:p>
    <w:p>
      <w:pPr>
        <w:pStyle w:val="TextBody"/>
        <w:bidi w:val="0"/>
        <w:spacing w:before="0" w:after="0"/>
        <w:jc w:val="left"/>
        <w:rPr>
          <w:rFonts w:ascii="Arial;sans-serif" w:hAnsi="Arial;sans-serif"/>
          <w:b w:val="false"/>
          <w:i/>
          <w:sz w:val="22"/>
        </w:rPr>
      </w:pPr>
      <w:r>
        <w:rPr>
          <w:rFonts w:ascii="Arial;sans-serif" w:hAnsi="Arial;sans-serif"/>
          <w:b w:val="false"/>
          <w:i/>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sans-serif" w:hAnsi="Arial;sans-serif"/>
          <w:b/>
          <w:sz w:val="22"/>
        </w:rPr>
      </w:pPr>
      <w:r>
        <w:rPr>
          <w:rFonts w:ascii="Arial;sans-serif" w:hAnsi="Arial;sans-serif"/>
          <w:b/>
          <w:sz w:val="22"/>
        </w:rPr>
        <w:t>Investor Relations Contact: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val="false"/>
          <w:sz w:val="22"/>
        </w:rPr>
        <w:t>Brian Denyeau</w:t>
      </w:r>
      <w:r>
        <w:rPr>
          <w:rFonts w:ascii="Times New Roman" w:hAnsi="Times New Roman"/>
          <w:sz w:val="20"/>
        </w:rPr>
        <w:t xml:space="preserve"> </w:t>
      </w:r>
      <w:r>
        <w:rPr>
          <w:rFonts w:ascii="Arial;sans-serif" w:hAnsi="Arial;sans-serif"/>
          <w:b w:val="false"/>
          <w:sz w:val="22"/>
        </w:rPr>
        <w:br/>
      </w:r>
      <w:r>
        <w:rPr>
          <w:rFonts w:ascii="Calibri;sans-serif" w:hAnsi="Calibri;sans-serif"/>
          <w:b w:val="false"/>
          <w:sz w:val="22"/>
        </w:rPr>
        <w:t>ICR for Definitive Healthcare</w:t>
      </w:r>
      <w:r>
        <w:rPr>
          <w:rFonts w:ascii="Times New Roman" w:hAnsi="Times New Roman"/>
          <w:sz w:val="20"/>
        </w:rPr>
        <w:t xml:space="preserve"> </w:t>
      </w:r>
      <w:r>
        <w:rPr>
          <w:rFonts w:ascii="Arial;sans-serif" w:hAnsi="Arial;sans-serif"/>
          <w:b w:val="false"/>
          <w:sz w:val="22"/>
        </w:rPr>
        <w:br/>
      </w:r>
      <w:r>
        <w:rPr>
          <w:rFonts w:ascii="Calibri;sans-serif" w:hAnsi="Calibri;sans-serif"/>
          <w:b w:val="false"/>
          <w:sz w:val="22"/>
        </w:rPr>
        <w:t>brian.denyeau@icrinc.com</w:t>
      </w:r>
      <w:r>
        <w:rPr>
          <w:rFonts w:ascii="Times New Roman" w:hAnsi="Times New Roman"/>
          <w:sz w:val="20"/>
        </w:rPr>
        <w:t xml:space="preserve"> </w:t>
      </w:r>
      <w:r>
        <w:rPr>
          <w:rFonts w:ascii="Arial;sans-serif" w:hAnsi="Arial;sans-serif"/>
          <w:b w:val="false"/>
          <w:sz w:val="22"/>
        </w:rPr>
        <w:br/>
      </w:r>
      <w:r>
        <w:rPr>
          <w:rFonts w:ascii="Calibri;sans-serif" w:hAnsi="Calibri;sans-serif"/>
          <w:b w:val="false"/>
          <w:sz w:val="22"/>
        </w:rPr>
        <w:t>646-277-1251</w:t>
      </w:r>
    </w:p>
    <w:p>
      <w:pPr>
        <w:pStyle w:val="TextBody"/>
        <w:bidi w:val="0"/>
        <w:spacing w:before="0" w:after="0"/>
        <w:jc w:val="left"/>
        <w:rPr/>
      </w:pPr>
      <w:r>
        <w:rPr/>
        <w:t> </w:t>
      </w:r>
    </w:p>
    <w:p>
      <w:pPr>
        <w:pStyle w:val="TextBody"/>
        <w:bidi w:val="0"/>
        <w:spacing w:before="0" w:after="0"/>
        <w:jc w:val="left"/>
        <w:rPr>
          <w:rFonts w:ascii="Arial;sans-serif" w:hAnsi="Arial;sans-serif"/>
          <w:b/>
          <w:sz w:val="22"/>
        </w:rPr>
      </w:pPr>
      <w:r>
        <w:rPr>
          <w:rFonts w:ascii="Arial;sans-serif" w:hAnsi="Arial;sans-serif"/>
          <w:b/>
          <w:sz w:val="22"/>
        </w:rPr>
        <w:t>Media Contacts: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val="false"/>
          <w:sz w:val="22"/>
        </w:rPr>
        <w:t>Danielle Johns</w:t>
      </w:r>
      <w:r>
        <w:rPr>
          <w:rFonts w:ascii="Times New Roman" w:hAnsi="Times New Roman"/>
          <w:sz w:val="20"/>
        </w:rPr>
        <w:t xml:space="preserve"> </w:t>
      </w:r>
      <w:r>
        <w:rPr>
          <w:rFonts w:ascii="Arial;sans-serif" w:hAnsi="Arial;sans-serif"/>
          <w:b w:val="false"/>
          <w:sz w:val="22"/>
        </w:rPr>
        <w:br/>
      </w:r>
      <w:r>
        <w:rPr>
          <w:rFonts w:ascii="Calibri;sans-serif" w:hAnsi="Calibri;sans-serif"/>
          <w:b w:val="false"/>
          <w:sz w:val="22"/>
        </w:rPr>
        <w:t>djohns@definitivehc.com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Calibri;sans-serif" w:hAnsi="Calibri;sans-serif"/>
          <w:b w:val="false"/>
          <w:sz w:val="22"/>
        </w:rPr>
        <w:t>Highwire PR</w:t>
      </w:r>
      <w:r>
        <w:rPr>
          <w:rFonts w:ascii="Times New Roman" w:hAnsi="Times New Roman"/>
          <w:sz w:val="20"/>
        </w:rPr>
        <w:t xml:space="preserve"> </w:t>
      </w:r>
      <w:r>
        <w:rPr>
          <w:rFonts w:ascii="Arial;sans-serif" w:hAnsi="Arial;sans-serif"/>
          <w:b w:val="false"/>
          <w:sz w:val="22"/>
        </w:rPr>
        <w:br/>
      </w:r>
      <w:r>
        <w:rPr>
          <w:rFonts w:ascii="Calibri;sans-serif" w:hAnsi="Calibri;sans-serif"/>
          <w:b w:val="false"/>
          <w:sz w:val="22"/>
        </w:rPr>
        <w:t>definitivehealthcare@highwirepr.com</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1721</Words>
  <Characters>9752</Characters>
  <CharactersWithSpaces>11455</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