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0"/>
        <w:jc w:val="center"/>
        <w:rPr>
          <w:rFonts w:ascii="Times New Roman" w:hAnsi="Times New Roman"/>
          <w:sz w:val="20"/>
        </w:rPr>
      </w:pPr>
      <w:bookmarkStart w:id="0" w:name="dh-20230630.htm"/>
      <w:bookmarkStart w:id="1" w:name="ksdh20230630"/>
      <w:bookmarkEnd w:id="0"/>
      <w:bookmarkEnd w:id="1"/>
      <w:r>
        <w:rPr>
          <w:rFonts w:ascii="Times New Roman;serif" w:hAnsi="Times New Roman;serif"/>
          <w:b/>
          <w:sz w:val="34"/>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4"/>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2"/>
        </w:rPr>
        <w:t>Washington, D.C. 20549</w:t>
      </w:r>
      <w:r>
        <w:rPr>
          <w:rFonts w:ascii="Times New Roman" w:hAnsi="Times New Roman"/>
          <w:sz w:val="20"/>
        </w:rPr>
        <w:t xml:space="preserve"> </w:t>
      </w:r>
    </w:p>
    <w:p>
      <w:pPr>
        <w:pStyle w:val="TextBody"/>
        <w:bidi w:val="0"/>
        <w:spacing w:before="40" w:after="0"/>
        <w:jc w:val="center"/>
        <w:rPr>
          <w:rFonts w:ascii="Times New Roman" w:hAnsi="Times New Roman"/>
          <w:sz w:val="20"/>
        </w:rPr>
      </w:pPr>
      <w:r>
        <w:rPr>
          <w:rFonts w:ascii="Times New Roman;serif" w:hAnsi="Times New Roman;serif"/>
          <w:b/>
          <w:sz w:val="34"/>
        </w:rPr>
        <w:t>FORM 10-Q</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18"/>
        </w:rPr>
        <w:t>(Mark One)</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sz w:val="22"/>
        </w:rPr>
        <w:t>QUARTERLY REPORT PURSUANT TO SECTION 13 OR 15(d) OF THE SECURITIES EXCHANGE ACT OF 1934</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18"/>
        </w:rPr>
        <w:t>For the quarterly period ended June 30, 2023</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18"/>
        </w:rPr>
        <w:t>or</w:t>
      </w:r>
      <w:r>
        <w:rPr>
          <w:rFonts w:ascii="Times New Roman" w:hAnsi="Times New Roman"/>
          <w:sz w:val="20"/>
        </w:rPr>
        <w:t xml:space="preserve"> </w:t>
      </w:r>
    </w:p>
    <w:p>
      <w:pPr>
        <w:pStyle w:val="TextBody"/>
        <w:bidi w:val="0"/>
        <w:spacing w:before="120" w:after="0"/>
        <w:jc w:val="left"/>
        <w:rPr/>
      </w:pPr>
      <w:r>
        <w:rPr/>
        <w:t xml:space="preserve">☐ </w:t>
      </w:r>
      <w:r>
        <w:rPr>
          <w:rFonts w:ascii="Times New Roman;serif" w:hAnsi="Times New Roman;serif"/>
          <w:b/>
          <w:sz w:val="22"/>
        </w:rPr>
        <w:t>TRANSITION REPORT PURSUANT TO SECTION 13 OR 15(d) OF THE SECURITIES EXCHANGE ACT OF 1934</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bidi w:val="0"/>
        <w:spacing w:before="120" w:after="0"/>
        <w:jc w:val="center"/>
        <w:rPr>
          <w:rFonts w:ascii="Times New Roman;serif" w:hAnsi="Times New Roman;serif"/>
          <w:b/>
          <w:sz w:val="18"/>
        </w:rPr>
      </w:pPr>
      <w:r>
        <w:rPr>
          <w:rFonts w:ascii="Times New Roman;serif" w:hAnsi="Times New Roman;serif"/>
          <w:b/>
          <w:sz w:val="18"/>
        </w:rPr>
        <w:t>Commission File Number 001-40815</w:t>
      </w:r>
    </w:p>
    <w:p>
      <w:pPr>
        <w:pStyle w:val="TextBody"/>
        <w:bidi w:val="0"/>
        <w:spacing w:before="40" w:after="0"/>
        <w:jc w:val="center"/>
        <w:rPr>
          <w:rFonts w:ascii="Times New Roman" w:hAnsi="Times New Roman"/>
          <w:sz w:val="20"/>
        </w:rPr>
      </w:pPr>
      <w:r>
        <w:rPr>
          <w:rFonts w:ascii="Times New Roman;serif" w:hAnsi="Times New Roman;serif"/>
          <w:b/>
          <w:sz w:val="46"/>
        </w:rPr>
        <w:t>Definitive Healthcare Corp.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8"/>
        </w:rPr>
        <w:t>(Exact name of registrant as specified in its charter)</w:t>
      </w:r>
      <w:r>
        <w:rPr>
          <w:rFonts w:ascii="Times New Roman" w:hAnsi="Times New Roman"/>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86-3988281</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492 Old Connecticut Path, Suite 401</w:t>
            </w:r>
          </w:p>
          <w:p>
            <w:pPr>
              <w:pStyle w:val="TableContents"/>
              <w:bidi w:val="0"/>
              <w:spacing w:before="0" w:after="20"/>
              <w:ind w:left="0" w:right="0" w:hanging="0"/>
              <w:jc w:val="center"/>
              <w:rPr>
                <w:rFonts w:ascii="Times New Roman;serif" w:hAnsi="Times New Roman;serif"/>
                <w:b/>
                <w:sz w:val="18"/>
              </w:rPr>
            </w:pPr>
            <w:r>
              <w:rPr>
                <w:rFonts w:ascii="Times New Roman;serif" w:hAnsi="Times New Roman;serif"/>
                <w:b/>
                <w:sz w:val="18"/>
              </w:rPr>
              <w:t>Framingham, MA</w:t>
            </w:r>
          </w:p>
        </w:tc>
        <w:tc>
          <w:tcPr>
            <w:tcW w:w="148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01701</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18"/>
        </w:rPr>
        <w:t>(508) 720-4224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(Registrant’s telephone number, including area code)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tbl>
      <w:tblPr>
        <w:tblW w:w="8088" w:type="dxa"/>
        <w:jc w:val="left"/>
        <w:tblInd w:w="0" w:type="dxa"/>
        <w:tblLayout w:type="fixed"/>
        <w:tblCellMar>
          <w:top w:w="28" w:type="dxa"/>
          <w:left w:w="28" w:type="dxa"/>
          <w:bottom w:w="28" w:type="dxa"/>
          <w:right w:w="28" w:type="dxa"/>
        </w:tblCellMar>
      </w:tblPr>
      <w:tblGrid>
        <w:gridCol w:w="3316"/>
        <w:gridCol w:w="1456"/>
        <w:gridCol w:w="3316"/>
      </w:tblGrid>
      <w:tr>
        <w:trPr/>
        <w:tc>
          <w:tcPr>
            <w:tcW w:w="33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33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31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Class A Common Stock, $0.001 par value</w:t>
            </w:r>
          </w:p>
        </w:tc>
        <w:tc>
          <w:tcPr>
            <w:tcW w:w="145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DH</w:t>
            </w:r>
          </w:p>
        </w:tc>
        <w:tc>
          <w:tcPr>
            <w:tcW w:w="331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The Nasdaq Stock Market LLC</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4489" w:type="dxa"/>
        <w:jc w:val="left"/>
        <w:tblInd w:w="0" w:type="dxa"/>
        <w:tblLayout w:type="fixed"/>
        <w:tblCellMar>
          <w:top w:w="28" w:type="dxa"/>
          <w:left w:w="28" w:type="dxa"/>
          <w:bottom w:w="28" w:type="dxa"/>
          <w:right w:w="28" w:type="dxa"/>
        </w:tblCellMar>
      </w:tblPr>
      <w:tblGrid>
        <w:gridCol w:w="1771"/>
        <w:gridCol w:w="316"/>
        <w:gridCol w:w="204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by Rule 12b-2 of the Exchange Act). Yes ☐ 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As of August 11, 2023, the number of outstanding shares of the registrant’s Class A Common Stock was 113,299,336</w:t>
      </w:r>
      <w:r>
        <w:rPr>
          <w:rFonts w:ascii="Times New Roman" w:hAnsi="Times New Roman"/>
          <w:sz w:val="20"/>
        </w:rPr>
        <w:t xml:space="preserve"> </w:t>
      </w:r>
      <w:r>
        <w:rPr>
          <w:rFonts w:ascii="Times New Roman;serif" w:hAnsi="Times New Roman;serif"/>
          <w:b w:val="false"/>
          <w:sz w:val="18"/>
        </w:rPr>
        <w:t>shares.</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Definitive Healthcare Corp.</w:t>
      </w:r>
    </w:p>
    <w:p>
      <w:pPr>
        <w:pStyle w:val="TextBody"/>
        <w:bidi w:val="0"/>
        <w:spacing w:before="240" w:after="0"/>
        <w:jc w:val="center"/>
        <w:rPr>
          <w:rFonts w:ascii="Times New Roman" w:hAnsi="Times New Roman"/>
          <w:sz w:val="20"/>
        </w:rPr>
      </w:pPr>
      <w:r>
        <w:rPr>
          <w:rFonts w:ascii="Times New Roman;serif" w:hAnsi="Times New Roman;serif"/>
          <w:b/>
          <w:sz w:val="20"/>
        </w:rPr>
        <w:t>Quarterly Report on Form 10-Q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tbl>
      <w:tblPr>
        <w:tblW w:w="8973" w:type="dxa"/>
        <w:jc w:val="left"/>
        <w:tblInd w:w="0" w:type="dxa"/>
        <w:tblLayout w:type="fixed"/>
        <w:tblCellMar>
          <w:top w:w="28" w:type="dxa"/>
          <w:left w:w="28" w:type="dxa"/>
          <w:bottom w:w="28" w:type="dxa"/>
          <w:right w:w="28" w:type="dxa"/>
        </w:tblCellMar>
      </w:tblPr>
      <w:tblGrid>
        <w:gridCol w:w="1051"/>
        <w:gridCol w:w="7366"/>
        <w:gridCol w:w="556"/>
      </w:tblGrid>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r>
              <w:rPr/>
              <w:t> </w:t>
            </w:r>
          </w:p>
        </w:tc>
        <w:tc>
          <w:tcPr>
            <w:tcW w:w="556" w:type="dxa"/>
            <w:tcBorders/>
            <w:vAlign w:val="center"/>
          </w:tcPr>
          <w:p>
            <w:pPr>
              <w:pStyle w:val="TableContents"/>
              <w:pBdr>
                <w:bottom w:val="single" w:sz="6" w:space="1" w:color="000000"/>
              </w:pBdr>
              <w:bidi w:val="0"/>
              <w:spacing w:before="0" w:after="0"/>
              <w:ind w:left="0" w:right="0" w:hanging="0"/>
              <w:jc w:val="center"/>
              <w:rPr>
                <w:rFonts w:ascii="Times New Roman" w:hAnsi="Times New Roman"/>
                <w:sz w:val="16"/>
              </w:rPr>
            </w:pPr>
            <w:r>
              <w:rPr>
                <w:rFonts w:ascii="Times New Roman;serif" w:hAnsi="Times New Roman;serif"/>
                <w:b/>
                <w:sz w:val="16"/>
              </w:rPr>
              <w:t>Page</w:t>
            </w:r>
            <w:r>
              <w:rPr>
                <w:rFonts w:ascii="Times New Roman" w:hAnsi="Times New Roman"/>
                <w:sz w:val="16"/>
              </w:rPr>
              <w:t xml:space="preserve"> </w:t>
            </w:r>
          </w:p>
        </w:tc>
      </w:tr>
      <w:tr>
        <w:trPr/>
        <w:tc>
          <w:tcPr>
            <w:tcW w:w="1051"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r>
              <w:rPr/>
              <w:t> </w:t>
            </w:r>
          </w:p>
          <w:p>
            <w:pPr>
              <w:pStyle w:val="TableContents"/>
              <w:pBdr/>
              <w:bidi w:val="0"/>
              <w:spacing w:before="0" w:after="0"/>
              <w:ind w:left="0" w:right="0" w:hanging="240"/>
              <w:jc w:val="left"/>
              <w:rPr/>
            </w:pPr>
            <w:r>
              <w:rPr/>
              <w:t> </w:t>
            </w:r>
          </w:p>
        </w:tc>
        <w:tc>
          <w:tcPr>
            <w:tcW w:w="556" w:type="dxa"/>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0"/>
              <w:ind w:left="0" w:right="0" w:hanging="240"/>
              <w:jc w:val="left"/>
              <w:rPr/>
            </w:pPr>
            <w:hyperlink w:anchor="glossary">
              <w:r>
                <w:rPr>
                  <w:rStyle w:val="InternetLink"/>
                  <w:rFonts w:ascii="Times New Roman;serif" w:hAnsi="Times New Roman;serif"/>
                  <w:b w:val="false"/>
                  <w:sz w:val="20"/>
                  <w:u w:val="single"/>
                </w:rPr>
                <w:t>Glossary</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105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hyperlink w:anchor="cautionary_note">
              <w:r>
                <w:rPr>
                  <w:rStyle w:val="InternetLink"/>
                  <w:rFonts w:ascii="Times New Roman;serif" w:hAnsi="Times New Roman;serif"/>
                  <w:b w:val="false"/>
                  <w:sz w:val="20"/>
                  <w:u w:val="single"/>
                </w:rPr>
                <w:t>Cautionary Note Regarding Forward-Looking Statements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4</w:t>
            </w:r>
          </w:p>
        </w:tc>
      </w:tr>
      <w:tr>
        <w:trPr/>
        <w:tc>
          <w:tcPr>
            <w:tcW w:w="105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sz w:val="20"/>
              </w:rPr>
            </w:pPr>
            <w:r>
              <w:rPr>
                <w:rFonts w:ascii="Times New Roman;serif" w:hAnsi="Times New Roman;serif"/>
                <w:b/>
                <w:sz w:val="20"/>
              </w:rPr>
              <w:t>Part I.</w:t>
            </w:r>
          </w:p>
        </w:tc>
        <w:tc>
          <w:tcPr>
            <w:tcW w:w="7366" w:type="dxa"/>
            <w:tcBorders/>
            <w:vAlign w:val="center"/>
          </w:tcPr>
          <w:p>
            <w:pPr>
              <w:pStyle w:val="TableContents"/>
              <w:pBdr/>
              <w:bidi w:val="0"/>
              <w:spacing w:before="0" w:after="0"/>
              <w:ind w:left="0" w:right="0" w:hanging="240"/>
              <w:jc w:val="left"/>
              <w:rPr/>
            </w:pPr>
            <w:hyperlink w:anchor="part_i_financial_information">
              <w:r>
                <w:rPr>
                  <w:rStyle w:val="InternetLink"/>
                  <w:rFonts w:ascii="Times New Roman;serif" w:hAnsi="Times New Roman;serif"/>
                  <w:b w:val="false"/>
                  <w:sz w:val="20"/>
                  <w:u w:val="single"/>
                </w:rPr>
                <w:t>FINANCIAL INFORMATION</w:t>
              </w:r>
            </w:hyperlink>
            <w:hyperlink w:anchor="part_i_financial_information">
              <w:r>
                <w:rPr>
                  <w:rStyle w:val="InternetLink"/>
                  <w:rFonts w:ascii="Times New Roman" w:hAnsi="Times New Roman"/>
                  <w:sz w:val="20"/>
                </w:rPr>
                <w:t xml:space="preserve"> </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pBdr/>
              <w:bidi w:val="0"/>
              <w:spacing w:before="0" w:after="0"/>
              <w:ind w:left="0" w:right="0" w:hanging="240"/>
              <w:jc w:val="left"/>
              <w:rPr/>
            </w:pPr>
            <w:hyperlink w:anchor="consolidated_balance_sheets">
              <w:r>
                <w:rPr>
                  <w:rStyle w:val="InternetLink"/>
                  <w:rFonts w:ascii="Times New Roman;serif" w:hAnsi="Times New Roman;serif"/>
                  <w:b w:val="false"/>
                  <w:sz w:val="20"/>
                  <w:u w:val="single"/>
                </w:rPr>
                <w:t>Condensed Consolidated Balance Sheets</w:t>
              </w:r>
            </w:hyperlink>
            <w:hyperlink w:anchor="consolidated_balance_sheets">
              <w:r>
                <w:rPr>
                  <w:rStyle w:val="InternetLink"/>
                  <w:rFonts w:ascii="Times New Roman" w:hAnsi="Times New Roman"/>
                  <w:sz w:val="20"/>
                </w:rPr>
                <w:t xml:space="preserve"> </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0"/>
              <w:ind w:left="0" w:right="0" w:hanging="240"/>
              <w:jc w:val="left"/>
              <w:rPr/>
            </w:pPr>
            <w:hyperlink w:anchor="consolidated_statements_of_operations">
              <w:r>
                <w:rPr>
                  <w:rStyle w:val="InternetLink"/>
                  <w:rFonts w:ascii="Times New Roman;serif" w:hAnsi="Times New Roman;serif"/>
                  <w:b w:val="false"/>
                  <w:sz w:val="20"/>
                  <w:u w:val="single"/>
                </w:rPr>
                <w:t>Condensed Consolidated Statements of Operations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6</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hyperlink w:anchor="statements_of_comprehensive_loss">
              <w:r>
                <w:rPr>
                  <w:rStyle w:val="InternetLink"/>
                  <w:rFonts w:ascii="Times New Roman;serif" w:hAnsi="Times New Roman;serif"/>
                  <w:b w:val="false"/>
                  <w:sz w:val="20"/>
                  <w:u w:val="single"/>
                </w:rPr>
                <w:t>Condensed Consolidated Statements of Comprehensive Loss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7</w:t>
            </w:r>
          </w:p>
        </w:tc>
      </w:tr>
      <w:tr>
        <w:trPr/>
        <w:tc>
          <w:tcPr>
            <w:tcW w:w="105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0"/>
              <w:ind w:left="0" w:right="0" w:hanging="240"/>
              <w:jc w:val="left"/>
              <w:rPr/>
            </w:pPr>
            <w:hyperlink w:anchor="changes_in_members_equity">
              <w:r>
                <w:rPr>
                  <w:rStyle w:val="InternetLink"/>
                  <w:rFonts w:ascii="Times New Roman;serif" w:hAnsi="Times New Roman;serif"/>
                  <w:b w:val="false"/>
                  <w:sz w:val="20"/>
                  <w:u w:val="single"/>
                </w:rPr>
                <w:t>Condensed Consolidated Statements of Changes in Total Equity</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8</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0"/>
              <w:ind w:left="0" w:right="0" w:hanging="240"/>
              <w:jc w:val="left"/>
              <w:rPr/>
            </w:pPr>
            <w:hyperlink w:anchor="statements_of_cash_flows">
              <w:r>
                <w:rPr>
                  <w:rStyle w:val="InternetLink"/>
                  <w:rFonts w:ascii="Times New Roman;serif" w:hAnsi="Times New Roman;serif"/>
                  <w:b w:val="false"/>
                  <w:sz w:val="20"/>
                  <w:u w:val="single"/>
                </w:rPr>
                <w:t>Condensed Consolidated Statements of Cash Flows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10</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0"/>
              <w:ind w:left="0" w:right="0" w:hanging="240"/>
              <w:jc w:val="left"/>
              <w:rPr/>
            </w:pPr>
            <w:hyperlink w:anchor="notes_to_financial_statements">
              <w:r>
                <w:rPr>
                  <w:rStyle w:val="InternetLink"/>
                  <w:rFonts w:ascii="Times New Roman;serif" w:hAnsi="Times New Roman;serif"/>
                  <w:b w:val="false"/>
                  <w:sz w:val="20"/>
                  <w:u w:val="single"/>
                </w:rPr>
                <w:t>Notes to the Condensed Consolidated Financial Statements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11</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pBdr/>
              <w:bidi w:val="0"/>
              <w:spacing w:before="0" w:after="0"/>
              <w:ind w:left="0" w:right="0" w:hanging="24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34</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pBdr/>
              <w:bidi w:val="0"/>
              <w:spacing w:before="0" w:after="0"/>
              <w:ind w:left="0" w:right="0" w:hanging="24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48</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pBdr/>
              <w:bidi w:val="0"/>
              <w:spacing w:before="0" w:after="0"/>
              <w:ind w:left="0" w:right="0" w:hanging="240"/>
              <w:jc w:val="left"/>
              <w:rPr/>
            </w:pPr>
            <w:hyperlink w:anchor="item_4_controls_and_procedures">
              <w:r>
                <w:rPr>
                  <w:rStyle w:val="InternetLink"/>
                  <w:rFonts w:ascii="Times New Roman;serif" w:hAnsi="Times New Roman;serif"/>
                  <w:b w:val="false"/>
                  <w:sz w:val="20"/>
                  <w:u w:val="single"/>
                </w:rPr>
                <w:t>Controls and Procedures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49</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sz w:val="20"/>
              </w:rPr>
            </w:pPr>
            <w:r>
              <w:rPr>
                <w:rFonts w:ascii="Times New Roman;serif" w:hAnsi="Times New Roman;serif"/>
                <w:b/>
                <w:sz w:val="20"/>
              </w:rPr>
              <w:t>Part II.</w:t>
            </w:r>
          </w:p>
        </w:tc>
        <w:tc>
          <w:tcPr>
            <w:tcW w:w="7366" w:type="dxa"/>
            <w:tcBorders/>
            <w:vAlign w:val="center"/>
          </w:tcPr>
          <w:p>
            <w:pPr>
              <w:pStyle w:val="TableContents"/>
              <w:pBdr/>
              <w:bidi w:val="0"/>
              <w:spacing w:before="0" w:after="0"/>
              <w:ind w:left="0" w:right="0" w:hanging="240"/>
              <w:jc w:val="left"/>
              <w:rPr/>
            </w:pPr>
            <w:hyperlink w:anchor="part_ii_other_information">
              <w:r>
                <w:rPr>
                  <w:rStyle w:val="InternetLink"/>
                  <w:rFonts w:ascii="Times New Roman;serif" w:hAnsi="Times New Roman;serif"/>
                  <w:b w:val="false"/>
                  <w:sz w:val="20"/>
                  <w:u w:val="single"/>
                </w:rPr>
                <w:t>OTHER INFORMATION</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pBdr/>
              <w:bidi w:val="0"/>
              <w:spacing w:before="0" w:after="0"/>
              <w:ind w:left="0" w:right="0" w:hanging="240"/>
              <w:jc w:val="left"/>
              <w:rPr/>
            </w:pPr>
            <w:hyperlink w:anchor="item_1_legal_proceedings">
              <w:r>
                <w:rPr>
                  <w:rStyle w:val="InternetLink"/>
                  <w:rFonts w:ascii="Times New Roman;serif" w:hAnsi="Times New Roman;serif"/>
                  <w:b w:val="false"/>
                  <w:sz w:val="20"/>
                  <w:u w:val="single"/>
                </w:rPr>
                <w:t>Legal Proceedings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pBdr/>
              <w:bidi w:val="0"/>
              <w:spacing w:before="0" w:after="0"/>
              <w:ind w:left="0" w:right="0" w:hanging="240"/>
              <w:jc w:val="left"/>
              <w:rPr/>
            </w:pPr>
            <w:hyperlink w:anchor="item_1a_risk_factors">
              <w:r>
                <w:rPr>
                  <w:rStyle w:val="InternetLink"/>
                  <w:rFonts w:ascii="Times New Roman;serif" w:hAnsi="Times New Roman;serif"/>
                  <w:b w:val="false"/>
                  <w:sz w:val="20"/>
                  <w:u w:val="single"/>
                </w:rPr>
                <w:t>Risk Factors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1051" w:type="dxa"/>
            <w:tcBorders/>
            <w:vAlign w:val="center"/>
          </w:tcPr>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r>
              <w:rPr/>
              <w:t> </w:t>
            </w:r>
          </w:p>
        </w:tc>
        <w:tc>
          <w:tcPr>
            <w:tcW w:w="556" w:type="dxa"/>
            <w:tcBorders/>
            <w:vAlign w:val="center"/>
          </w:tcPr>
          <w:p>
            <w:pPr>
              <w:pStyle w:val="TableContents"/>
              <w:bidi w:val="0"/>
              <w:spacing w:before="0" w:after="20"/>
              <w:ind w:left="0" w:right="0" w:hanging="0"/>
              <w:jc w:val="left"/>
              <w:rPr/>
            </w:pPr>
            <w:r>
              <w:rPr/>
              <w:t> </w:t>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pBdr/>
              <w:bidi w:val="0"/>
              <w:spacing w:before="0" w:after="0"/>
              <w:ind w:left="0" w:right="0" w:hanging="240"/>
              <w:jc w:val="left"/>
              <w:rPr/>
            </w:pPr>
            <w:hyperlink w:anchor="item2_unregistered_sales_of_equity">
              <w:r>
                <w:rPr>
                  <w:rStyle w:val="InternetLink"/>
                  <w:rFonts w:ascii="Times New Roman;serif" w:hAnsi="Times New Roman;serif"/>
                  <w:b w:val="false"/>
                  <w:sz w:val="20"/>
                  <w:u w:val="single"/>
                </w:rPr>
                <w:t>Unregistered Sales of Equity Securities and Use of Proceeds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pBdr/>
              <w:bidi w:val="0"/>
              <w:spacing w:before="0" w:after="0"/>
              <w:ind w:left="0" w:right="0" w:hanging="24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pBdr/>
              <w:bidi w:val="0"/>
              <w:spacing w:before="0" w:after="0"/>
              <w:ind w:left="0" w:right="0" w:hanging="240"/>
              <w:jc w:val="left"/>
              <w:rPr/>
            </w:pPr>
            <w:hyperlink w:anchor="item_4_mine_safety_disclosures">
              <w:r>
                <w:rPr>
                  <w:rStyle w:val="InternetLink"/>
                  <w:rFonts w:ascii="Times New Roman;serif" w:hAnsi="Times New Roman;serif"/>
                  <w:b w:val="false"/>
                  <w:sz w:val="20"/>
                  <w:u w:val="single"/>
                </w:rPr>
                <w:t>Mine Safety Disclosures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1051" w:type="dxa"/>
            <w:tcBorders/>
            <w:vAlign w:val="center"/>
          </w:tcPr>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r>
              <w:rPr/>
              <w:t> </w:t>
            </w:r>
          </w:p>
        </w:tc>
        <w:tc>
          <w:tcPr>
            <w:tcW w:w="556" w:type="dxa"/>
            <w:tcBorders/>
            <w:vAlign w:val="center"/>
          </w:tcPr>
          <w:p>
            <w:pPr>
              <w:pStyle w:val="TableContents"/>
              <w:bidi w:val="0"/>
              <w:spacing w:before="0" w:after="20"/>
              <w:ind w:left="0" w:right="0" w:hanging="0"/>
              <w:jc w:val="left"/>
              <w:rPr/>
            </w:pPr>
            <w:r>
              <w:rPr/>
              <w:t> </w:t>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pBdr/>
              <w:bidi w:val="0"/>
              <w:spacing w:before="0" w:after="0"/>
              <w:ind w:left="0" w:right="0" w:hanging="240"/>
              <w:jc w:val="left"/>
              <w:rPr/>
            </w:pPr>
            <w:hyperlink w:anchor="item_5_other_information">
              <w:r>
                <w:rPr>
                  <w:rStyle w:val="InternetLink"/>
                  <w:rFonts w:ascii="Times New Roman;serif" w:hAnsi="Times New Roman;serif"/>
                  <w:b w:val="false"/>
                  <w:sz w:val="20"/>
                  <w:u w:val="single"/>
                </w:rPr>
                <w:t>Other Information</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1051" w:type="dxa"/>
            <w:tcBorders/>
            <w:vAlign w:val="center"/>
          </w:tcPr>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r>
              <w:rPr/>
              <w:t> </w:t>
            </w:r>
          </w:p>
        </w:tc>
        <w:tc>
          <w:tcPr>
            <w:tcW w:w="556" w:type="dxa"/>
            <w:tcBorders/>
            <w:vAlign w:val="center"/>
          </w:tcPr>
          <w:p>
            <w:pPr>
              <w:pStyle w:val="TableContents"/>
              <w:bidi w:val="0"/>
              <w:spacing w:before="0" w:after="20"/>
              <w:ind w:left="0" w:right="0" w:hanging="0"/>
              <w:jc w:val="left"/>
              <w:rPr/>
            </w:pPr>
            <w:r>
              <w:rPr/>
              <w:t> </w:t>
            </w:r>
          </w:p>
        </w:tc>
      </w:tr>
      <w:tr>
        <w:trPr/>
        <w:tc>
          <w:tcPr>
            <w:tcW w:w="105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pBdr/>
              <w:bidi w:val="0"/>
              <w:spacing w:before="0" w:after="0"/>
              <w:ind w:left="0" w:right="0" w:hanging="240"/>
              <w:jc w:val="left"/>
              <w:rPr/>
            </w:pPr>
            <w:hyperlink w:anchor="item_6_exhibits">
              <w:r>
                <w:rPr>
                  <w:rStyle w:val="InternetLink"/>
                  <w:rFonts w:ascii="Times New Roman;serif" w:hAnsi="Times New Roman;serif"/>
                  <w:b w:val="false"/>
                  <w:sz w:val="20"/>
                  <w:u w:val="single"/>
                </w:rPr>
                <w:t>Exhibits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51</w:t>
            </w:r>
          </w:p>
        </w:tc>
      </w:tr>
      <w:tr>
        <w:trPr/>
        <w:tc>
          <w:tcPr>
            <w:tcW w:w="841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r>
      <w:tr>
        <w:trPr/>
        <w:tc>
          <w:tcPr>
            <w:tcW w:w="8417" w:type="dxa"/>
            <w:gridSpan w:val="2"/>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56" w:type="dxa"/>
            <w:tcBorders/>
            <w:vAlign w:val="center"/>
          </w:tcPr>
          <w:p>
            <w:pPr>
              <w:pStyle w:val="TableContents"/>
              <w:bidi w:val="0"/>
              <w:spacing w:before="0" w:after="20"/>
              <w:ind w:left="0" w:right="0" w:hanging="0"/>
              <w:jc w:val="center"/>
              <w:rPr>
                <w:rFonts w:ascii="Times New Roman;serif" w:hAnsi="Times New Roman;serif"/>
                <w:b w:val="false"/>
                <w:sz w:val="20"/>
              </w:rPr>
            </w:pPr>
            <w:r>
              <w:rPr>
                <w:rFonts w:ascii="Times New Roman;serif" w:hAnsi="Times New Roman;serif"/>
                <w:b w:val="false"/>
                <w:sz w:val="20"/>
              </w:rPr>
              <w:t>52</w:t>
            </w:r>
          </w:p>
        </w:tc>
      </w:tr>
    </w:tbl>
    <w:p>
      <w:pPr>
        <w:pStyle w:val="TextBody"/>
        <w:bidi w:val="0"/>
        <w:spacing w:before="24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glossary"/>
      <w:bookmarkEnd w:id="2"/>
      <w:r>
        <w:rPr>
          <w:rFonts w:ascii="Times New Roman;serif" w:hAnsi="Times New Roman;serif"/>
          <w:b/>
          <w:sz w:val="20"/>
        </w:rPr>
        <w:t>GLOSSARY</w:t>
      </w:r>
    </w:p>
    <w:p>
      <w:pPr>
        <w:pStyle w:val="TextBody"/>
        <w:bidi w:val="0"/>
        <w:spacing w:before="0" w:after="0"/>
        <w:jc w:val="center"/>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pStyle w:val="TextBody"/>
        <w:bidi w:val="0"/>
        <w:spacing w:before="120" w:after="0"/>
        <w:jc w:val="left"/>
        <w:rPr/>
      </w:pPr>
      <w:r>
        <w:rPr/>
        <w:t> </w:t>
      </w:r>
    </w:p>
    <w:p>
      <w:pPr>
        <w:pStyle w:val="TextBody"/>
        <w:bidi w:val="0"/>
        <w:spacing w:before="120" w:after="0"/>
        <w:jc w:val="left"/>
        <w:rPr/>
      </w:pPr>
      <w:r>
        <w:rPr/>
        <w:t>•</w:t>
      </w:r>
    </w:p>
    <w:p>
      <w:pPr>
        <w:pStyle w:val="TextBody"/>
        <w:bidi w:val="0"/>
        <w:spacing w:before="120" w:after="0"/>
        <w:jc w:val="left"/>
        <w:rPr/>
      </w:pPr>
      <w:r>
        <w:rPr/>
        <w:t>“</w:t>
      </w:r>
      <w:r>
        <w:rPr>
          <w:rFonts w:ascii="Times New Roman;serif" w:hAnsi="Times New Roman;serif"/>
          <w:b w:val="false"/>
          <w:sz w:val="20"/>
          <w:u w:val="single"/>
        </w:rPr>
        <w:t>AIDH Buyer</w:t>
      </w:r>
      <w:r>
        <w:rPr/>
        <w:t xml:space="preserve">” </w:t>
      </w:r>
      <w:r>
        <w:rPr>
          <w:rFonts w:ascii="Times New Roman;serif" w:hAnsi="Times New Roman;serif"/>
          <w:b w:val="false"/>
          <w:sz w:val="20"/>
        </w:rPr>
        <w:t>refers to AIDH Buyer, LLC, which is a wholly owned subsidiary of Definitive OpCo and the direct parent company of DH Holdings.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Advent</w:t>
      </w:r>
      <w:r>
        <w:rPr/>
        <w:t xml:space="preserve">” </w:t>
      </w:r>
      <w:r>
        <w:rPr>
          <w:rFonts w:ascii="Times New Roman;serif" w:hAnsi="Times New Roman;serif"/>
          <w:b w:val="false"/>
          <w:sz w:val="20"/>
        </w:rPr>
        <w:t>refers to funds affiliated with Advent International, a global private equity firm.</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AIDH Management Holdings, LLC</w:t>
      </w:r>
      <w:r>
        <w:rPr/>
        <w:t xml:space="preserve">” </w:t>
      </w:r>
      <w:r>
        <w:rPr>
          <w:rFonts w:ascii="Times New Roman;serif" w:hAnsi="Times New Roman;serif"/>
          <w:b w:val="false"/>
          <w:sz w:val="20"/>
        </w:rPr>
        <w:t>is a special purpose investment vehicle through which certain persons, primarily employees and certain legacy investors, indirectly hold interests in Definitive OpCo.</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Amended LLC Agreement</w:t>
      </w:r>
      <w:r>
        <w:rPr/>
        <w:t xml:space="preserve">” </w:t>
      </w:r>
      <w:r>
        <w:rPr>
          <w:rFonts w:ascii="Times New Roman;serif" w:hAnsi="Times New Roman;serif"/>
          <w:b w:val="false"/>
          <w:sz w:val="20"/>
        </w:rPr>
        <w:t xml:space="preserve">refers to the second amended and restated limited liability company agreement entered into by Definitive Opco pursuant to which members have the right to exchange all or a portion of their LLC units for newly issued shares of Class A Common Stock in Definitive Healthcare Corp. </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ARR</w:t>
      </w:r>
      <w:r>
        <w:rPr/>
        <w:t xml:space="preserve">” </w:t>
      </w:r>
      <w:r>
        <w:rPr>
          <w:rFonts w:ascii="Times New Roman;serif" w:hAnsi="Times New Roman;serif"/>
          <w:b w:val="false"/>
          <w:sz w:val="20"/>
        </w:rPr>
        <w:t>refers to annualized recurring revenue as of period end.</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Blocker Company</w:t>
      </w:r>
      <w:r>
        <w:rPr/>
        <w:t xml:space="preserve">” </w:t>
      </w:r>
      <w:r>
        <w:rPr>
          <w:rFonts w:ascii="Times New Roman;serif" w:hAnsi="Times New Roman;serif"/>
          <w:b w:val="false"/>
          <w:sz w:val="20"/>
        </w:rPr>
        <w:t>or “</w:t>
      </w:r>
      <w:r>
        <w:rPr>
          <w:rFonts w:ascii="Times New Roman;serif" w:hAnsi="Times New Roman;serif"/>
          <w:b w:val="false"/>
          <w:sz w:val="20"/>
          <w:u w:val="single"/>
        </w:rPr>
        <w:t>Blocker Companies</w:t>
      </w:r>
      <w:r>
        <w:rPr/>
        <w:t xml:space="preserve">” </w:t>
      </w:r>
      <w:r>
        <w:rPr>
          <w:rFonts w:ascii="Times New Roman;serif" w:hAnsi="Times New Roman;serif"/>
          <w:b w:val="false"/>
          <w:sz w:val="20"/>
        </w:rPr>
        <w:t>refers to certain entities treated as corporations for U.S. federal income tax purposes that held LLC units in Definitive OpCo which, through the Reorganization Transactions, were merged into Definitive Healthcare Corp. and are now holders of Class A Common Stock.</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Continuing Pre-IPO LLC Members</w:t>
      </w:r>
      <w:r>
        <w:rPr/>
        <w:t xml:space="preserve">” </w:t>
      </w:r>
      <w:r>
        <w:rPr>
          <w:rFonts w:ascii="Times New Roman;serif" w:hAnsi="Times New Roman;serif"/>
          <w:b w:val="false"/>
          <w:sz w:val="20"/>
        </w:rPr>
        <w:t>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Definitive OpCo</w:t>
      </w:r>
      <w:r>
        <w:rPr/>
        <w:t xml:space="preserve">” </w:t>
      </w:r>
      <w:r>
        <w:rPr>
          <w:rFonts w:ascii="Times New Roman;serif" w:hAnsi="Times New Roman;serif"/>
          <w:b w:val="false"/>
          <w:sz w:val="20"/>
        </w:rPr>
        <w:t>refers to AIDH TopCo, LLC, a Delaware limited liability company, and a subsidiary of Definitive Healthcare Corp., following the Reorganization Transactions.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DH Holdings</w:t>
      </w:r>
      <w:r>
        <w:rPr/>
        <w:t xml:space="preserve">” </w:t>
      </w:r>
      <w:r>
        <w:rPr>
          <w:rFonts w:ascii="Times New Roman;serif" w:hAnsi="Times New Roman;serif"/>
          <w:b w:val="false"/>
          <w:sz w:val="20"/>
        </w:rPr>
        <w:t>refers to Definitive Healthcare Holdings, LLC, a Delaware limited liability company and wholly-owned subsidiary of AIDH Buyer.</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IPO</w:t>
      </w:r>
      <w:r>
        <w:rPr/>
        <w:t xml:space="preserve">” </w:t>
      </w:r>
      <w:r>
        <w:rPr>
          <w:rFonts w:ascii="Times New Roman;serif" w:hAnsi="Times New Roman;serif"/>
          <w:b w:val="false"/>
          <w:sz w:val="20"/>
        </w:rPr>
        <w:t>refers to the initial public offering of Class A Common Stock of Definitive Healthcare Corp.</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LLC Units</w:t>
      </w:r>
      <w:r>
        <w:rPr/>
        <w:t xml:space="preserve">” </w:t>
      </w:r>
      <w:r>
        <w:rPr>
          <w:rFonts w:ascii="Times New Roman;serif" w:hAnsi="Times New Roman;serif"/>
          <w:b w:val="false"/>
          <w:sz w:val="20"/>
        </w:rPr>
        <w:t>refers to limited liability company interests in Definitive OpCo.</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NDR</w:t>
      </w:r>
      <w:r>
        <w:rPr/>
        <w:t xml:space="preserve">” </w:t>
      </w:r>
      <w:r>
        <w:rPr>
          <w:rFonts w:ascii="Times New Roman;serif" w:hAnsi="Times New Roman;serif"/>
          <w:b w:val="false"/>
          <w:sz w:val="20"/>
        </w:rPr>
        <w:t>or “</w:t>
      </w:r>
      <w:r>
        <w:rPr>
          <w:rFonts w:ascii="Times New Roman;serif" w:hAnsi="Times New Roman;serif"/>
          <w:b w:val="false"/>
          <w:sz w:val="20"/>
          <w:u w:val="single"/>
        </w:rPr>
        <w:t>Net Dollar Retention Rate</w:t>
      </w:r>
      <w:r>
        <w:rPr/>
        <w:t xml:space="preserve">” </w:t>
      </w:r>
      <w:r>
        <w:rPr>
          <w:rFonts w:ascii="Times New Roman;serif" w:hAnsi="Times New Roman;serif"/>
          <w:b w:val="false"/>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Populi</w:t>
      </w:r>
      <w:r>
        <w:rPr/>
        <w:t xml:space="preserve">” </w:t>
      </w:r>
      <w:r>
        <w:rPr>
          <w:rFonts w:ascii="Times New Roman;serif" w:hAnsi="Times New Roman;serif"/>
          <w:b w:val="false"/>
          <w:sz w:val="20"/>
        </w:rPr>
        <w:t>refers to Populi, Inc., a Delaware corporation.</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Pre-IPO LLC Members</w:t>
      </w:r>
      <w:r>
        <w:rPr/>
        <w:t xml:space="preserve">” </w:t>
      </w:r>
      <w:r>
        <w:rPr>
          <w:rFonts w:ascii="Times New Roman;serif" w:hAnsi="Times New Roman;serif"/>
          <w:b w:val="false"/>
          <w:sz w:val="20"/>
        </w:rPr>
        <w:t>refers to certain affiliates of Spectrum Equity, Jason Krantz, DH Holdings, AIDH Management Holdings, LLC, certain affiliates of 22C Capital, certain affiliates of Advent and certain other minority equity holders of Definitive OpCo prior to the Reorganization Transactions.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Reorganization Parties</w:t>
      </w:r>
      <w:r>
        <w:rPr/>
        <w:t xml:space="preserve">” </w:t>
      </w:r>
      <w:r>
        <w:rPr>
          <w:rFonts w:ascii="Times New Roman;serif" w:hAnsi="Times New Roman;serif"/>
          <w:b w:val="false"/>
          <w:sz w:val="20"/>
        </w:rPr>
        <w:t>refers to the shareholders of the Blocker Companies prior to the merger of the Blocker Companies into Definitive Healthcare Corp.</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Reorganization Transactions</w:t>
      </w:r>
      <w:r>
        <w:rPr/>
        <w:t xml:space="preserve">” </w:t>
      </w:r>
      <w:r>
        <w:rPr>
          <w:rFonts w:ascii="Times New Roman;serif" w:hAnsi="Times New Roman;serif"/>
          <w:b w:val="false"/>
          <w:sz w:val="20"/>
        </w:rPr>
        <w:t>refers to transactions completed in connection with the Company’s IPO as defined within Note 1 to our unaudited condensed consolidated financial statements included in Part I, Item 1 of this Form 10-Q.</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Spectrum Equity</w:t>
      </w:r>
      <w:r>
        <w:rPr/>
        <w:t xml:space="preserve">” </w:t>
      </w:r>
      <w:r>
        <w:rPr>
          <w:rFonts w:ascii="Times New Roman;serif" w:hAnsi="Times New Roman;serif"/>
          <w:b w:val="false"/>
          <w:sz w:val="20"/>
        </w:rPr>
        <w:t>refers to investment funds associated with Spectrum Equity Management, L.P., a private equity firm.</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Sponsors</w:t>
      </w:r>
      <w:r>
        <w:rPr/>
        <w:t xml:space="preserve">” </w:t>
      </w:r>
      <w:r>
        <w:rPr>
          <w:rFonts w:ascii="Times New Roman;serif" w:hAnsi="Times New Roman;serif"/>
          <w:b w:val="false"/>
          <w:sz w:val="20"/>
        </w:rPr>
        <w:t>refers collectively to Advent, 22C Capital, and Spectrum Equity.</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Tax Receivable Agreement</w:t>
      </w:r>
      <w:r>
        <w:rPr/>
        <w:t xml:space="preserve">” </w:t>
      </w:r>
      <w:r>
        <w:rPr>
          <w:rFonts w:ascii="Times New Roman;serif" w:hAnsi="Times New Roman;serif"/>
          <w:b w:val="false"/>
          <w:sz w:val="20"/>
        </w:rPr>
        <w:t>refers to the Tax Receivable Agreement, dated September 14, 2021, between Definitive Healthcare Corp., Definitive OpCo, and the TRA Parties.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TRA Parties</w:t>
      </w:r>
      <w:r>
        <w:rPr/>
        <w:t xml:space="preserve">” </w:t>
      </w:r>
      <w:r>
        <w:rPr>
          <w:rFonts w:ascii="Times New Roman;serif" w:hAnsi="Times New Roman;serif"/>
          <w:b w:val="false"/>
          <w:sz w:val="20"/>
        </w:rPr>
        <w:t>refers to the Continuing Pre-IPO LLC Members, the Reorganization Parties, and any future party to the Tax Receivable Agreement.</w:t>
      </w:r>
    </w:p>
    <w:p>
      <w:pPr>
        <w:pStyle w:val="TextBody"/>
        <w:bidi w:val="0"/>
        <w:spacing w:before="0" w:after="0"/>
        <w:jc w:val="left"/>
        <w:rPr/>
      </w:pPr>
      <w:r>
        <w:rPr/>
        <w:t>•</w:t>
      </w:r>
    </w:p>
    <w:p>
      <w:pPr>
        <w:pStyle w:val="TextBody"/>
        <w:bidi w:val="0"/>
        <w:jc w:val="left"/>
        <w:rPr/>
      </w:pPr>
      <w:r>
        <w:rPr/>
        <w:t>“</w:t>
      </w:r>
      <w:r>
        <w:rPr>
          <w:rFonts w:ascii="Times New Roman;serif" w:hAnsi="Times New Roman;serif"/>
          <w:b w:val="false"/>
          <w:sz w:val="20"/>
          <w:u w:val="single"/>
        </w:rPr>
        <w:t>22C Capital</w:t>
      </w:r>
      <w:r>
        <w:rPr/>
        <w:t xml:space="preserve">” </w:t>
      </w:r>
      <w:r>
        <w:rPr>
          <w:rFonts w:ascii="Times New Roman;serif" w:hAnsi="Times New Roman;serif"/>
          <w:b w:val="false"/>
          <w:sz w:val="20"/>
        </w:rPr>
        <w:t>refers to investment funds associated with 22C Capital LLC, a private equity firm.</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cautionary_note"/>
      <w:bookmarkEnd w:id="3"/>
      <w:r>
        <w:rPr>
          <w:rFonts w:ascii="Times New Roman;serif" w:hAnsi="Times New Roman;serif"/>
          <w:b/>
          <w:sz w:val="20"/>
        </w:rPr>
        <w:t>CAUTIONARY NOTE REGARDING FORWARD-LOOKING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reasons described above, we caution you against relying on any forward-looking statements, which should also be read in conjunction with Part I, Item 1A, “Risk Factors,” in our Amendment No.1 on Form 10-K/A to our Annual Report on Form 10-K for the year ended December 31, 2022 (the “2022 Form 10-K/A”) filed with the Securities and Exchange Commission (“SEC”) on August 14, 2023,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4" w:name="part_i_financial_information"/>
      <w:bookmarkEnd w:id="4"/>
      <w:r>
        <w:rPr>
          <w:rFonts w:ascii="Times New Roman;serif" w:hAnsi="Times New Roman;serif"/>
          <w:b w:val="false"/>
          <w:sz w:val="20"/>
        </w:rPr>
        <w:t>PART I - FINANCIAL INFORMATION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consolidated_balance_sheets"/>
      <w:bookmarkEnd w:id="5"/>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(in thousands, except number of shares and par value)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583"/>
        <w:gridCol w:w="246"/>
        <w:gridCol w:w="211"/>
        <w:gridCol w:w="931"/>
        <w:gridCol w:w="166"/>
        <w:gridCol w:w="246"/>
        <w:gridCol w:w="227"/>
        <w:gridCol w:w="1002"/>
        <w:gridCol w:w="593"/>
      </w:tblGrid>
      <w:tr>
        <w:trPr/>
        <w:tc>
          <w:tcPr>
            <w:tcW w:w="65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83"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93" w:type="dxa"/>
            <w:tcBorders/>
            <w:vAlign w:val="center"/>
          </w:tcPr>
          <w:p>
            <w:pPr>
              <w:pStyle w:val="TableContents"/>
              <w:bidi w:val="0"/>
              <w:spacing w:before="0" w:after="0"/>
              <w:ind w:left="0" w:right="0" w:hanging="0"/>
              <w:jc w:val="center"/>
              <w:rPr/>
            </w:pPr>
            <w:r>
              <w:rPr/>
              <w:t> </w:t>
            </w:r>
          </w:p>
        </w:tc>
      </w:tr>
      <w:tr>
        <w:trPr/>
        <w:tc>
          <w:tcPr>
            <w:tcW w:w="6583"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246" w:type="dxa"/>
            <w:tcBorders/>
            <w:vAlign w:val="center"/>
          </w:tcPr>
          <w:p>
            <w:pPr>
              <w:pStyle w:val="TableContents"/>
              <w:bidi w:val="0"/>
              <w:spacing w:before="0" w:after="0"/>
              <w:ind w:left="0" w:right="0" w:firstLine="100"/>
              <w:jc w:val="left"/>
              <w:rPr/>
            </w:pPr>
            <w:r>
              <w:rPr/>
              <w:t> </w:t>
            </w:r>
          </w:p>
        </w:tc>
        <w:tc>
          <w:tcPr>
            <w:tcW w:w="1142" w:type="dxa"/>
            <w:gridSpan w:val="2"/>
            <w:tcBorders/>
            <w:vAlign w:val="center"/>
          </w:tcPr>
          <w:p>
            <w:pPr>
              <w:pStyle w:val="TableContents"/>
              <w:bidi w:val="0"/>
              <w:spacing w:before="0" w:after="0"/>
              <w:ind w:left="10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29" w:type="dxa"/>
            <w:gridSpan w:val="2"/>
            <w:tcBorders/>
            <w:vAlign w:val="center"/>
          </w:tcPr>
          <w:p>
            <w:pPr>
              <w:pStyle w:val="TableContents"/>
              <w:bidi w:val="0"/>
              <w:spacing w:before="0" w:after="0"/>
              <w:ind w:left="100" w:right="0" w:hanging="0"/>
              <w:jc w:val="left"/>
              <w:rPr/>
            </w:pPr>
            <w:r>
              <w:rPr/>
              <w:t> </w:t>
            </w:r>
          </w:p>
        </w:tc>
        <w:tc>
          <w:tcPr>
            <w:tcW w:w="593" w:type="dxa"/>
            <w:tcBorders/>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246" w:type="dxa"/>
            <w:tcBorders/>
            <w:vAlign w:val="center"/>
          </w:tcPr>
          <w:p>
            <w:pPr>
              <w:pStyle w:val="TableContents"/>
              <w:bidi w:val="0"/>
              <w:spacing w:before="0" w:after="0"/>
              <w:ind w:left="0" w:right="0" w:firstLine="100"/>
              <w:jc w:val="left"/>
              <w:rPr/>
            </w:pPr>
            <w:r>
              <w:rPr/>
              <w:t> </w:t>
            </w:r>
          </w:p>
        </w:tc>
        <w:tc>
          <w:tcPr>
            <w:tcW w:w="1142" w:type="dxa"/>
            <w:gridSpan w:val="2"/>
            <w:tcBorders/>
            <w:vAlign w:val="center"/>
          </w:tcPr>
          <w:p>
            <w:pPr>
              <w:pStyle w:val="TableContents"/>
              <w:bidi w:val="0"/>
              <w:spacing w:before="0" w:after="283"/>
              <w:ind w:left="0" w:right="0" w:firstLine="100"/>
              <w:jc w:val="left"/>
              <w:rPr>
                <w:sz w:val="4"/>
                <w:szCs w:val="4"/>
              </w:rPr>
            </w:pPr>
            <w:r>
              <w:rPr>
                <w:sz w:val="4"/>
                <w:szCs w:val="4"/>
              </w:rPr>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29" w:type="dxa"/>
            <w:gridSpan w:val="2"/>
            <w:tcBorders/>
            <w:vAlign w:val="center"/>
          </w:tcPr>
          <w:p>
            <w:pPr>
              <w:pStyle w:val="TableContents"/>
              <w:bidi w:val="0"/>
              <w:spacing w:before="0" w:after="283"/>
              <w:ind w:left="0" w:right="0" w:firstLine="100"/>
              <w:jc w:val="left"/>
              <w:rPr>
                <w:sz w:val="4"/>
                <w:szCs w:val="4"/>
              </w:rPr>
            </w:pPr>
            <w:r>
              <w:rPr>
                <w:sz w:val="4"/>
                <w:szCs w:val="4"/>
              </w:rPr>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132,385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146,934</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218,515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184,939</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44,519</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13,734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12,686</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contract costs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83"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current assets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421,042</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413,745</w:t>
            </w:r>
          </w:p>
        </w:tc>
        <w:tc>
          <w:tcPr>
            <w:tcW w:w="593" w:type="dxa"/>
            <w:tcBorders/>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593" w:type="dxa"/>
            <w:tcBorders/>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8,697</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9,681</w:t>
            </w:r>
          </w:p>
        </w:tc>
        <w:tc>
          <w:tcPr>
            <w:tcW w:w="593" w:type="dxa"/>
            <w:tcBorders/>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593" w:type="dxa"/>
            <w:tcBorders/>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contract costs,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16,171</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593" w:type="dxa"/>
            <w:tcBorders/>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325,794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593" w:type="dxa"/>
            <w:tcBorders/>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83"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assets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2,104,863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3,650</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3,948</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33,238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26,855</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revenue</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97,495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99,692</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term loan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12,031</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8,594</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83"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current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148,127</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140,610</w:t>
            </w:r>
          </w:p>
        </w:tc>
        <w:tc>
          <w:tcPr>
            <w:tcW w:w="593" w:type="dxa"/>
            <w:tcBorders/>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 term liabilities:</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249,166</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255,765</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9,969</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163,298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155,111</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78,569</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75,737</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83"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649,404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640,679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83"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6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583"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Class A Common Stock, par value $0.001, 600,000,000</w:t>
            </w:r>
            <w:r>
              <w:rPr>
                <w:rFonts w:ascii="Times New Roman" w:hAnsi="Times New Roman"/>
                <w:sz w:val="20"/>
              </w:rPr>
              <w:t> </w:t>
            </w:r>
            <w:r>
              <w:rPr>
                <w:rFonts w:ascii="Times New Roman;serif" w:hAnsi="Times New Roman;serif"/>
                <w:b w:val="false"/>
                <w:sz w:val="20"/>
              </w:rPr>
              <w:t>shares authorized, 113,085,164</w:t>
            </w:r>
            <w:r>
              <w:rPr>
                <w:rFonts w:ascii="Times New Roman" w:hAnsi="Times New Roman"/>
                <w:sz w:val="20"/>
              </w:rPr>
              <w:t> </w:t>
            </w:r>
            <w:r>
              <w:rPr>
                <w:rFonts w:ascii="Times New Roman;serif" w:hAnsi="Times New Roman;serif"/>
                <w:b w:val="false"/>
                <w:sz w:val="20"/>
              </w:rPr>
              <w:t>and 105,138,273</w:t>
            </w:r>
            <w:r>
              <w:rPr>
                <w:rFonts w:ascii="Times New Roman" w:hAnsi="Times New Roman"/>
                <w:sz w:val="20"/>
              </w:rPr>
              <w:t> </w:t>
            </w:r>
            <w:r>
              <w:rPr>
                <w:rFonts w:ascii="Times New Roman;serif" w:hAnsi="Times New Roman;serif"/>
                <w:b w:val="false"/>
                <w:sz w:val="20"/>
              </w:rPr>
              <w:t>shares issued and outstanding at June 30, 2023 and December 31, 2022, respectively</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Class B Common Stock, par value $0.00001, 65,000,000</w:t>
            </w:r>
            <w:r>
              <w:rPr>
                <w:rFonts w:ascii="Times New Roman" w:hAnsi="Times New Roman"/>
                <w:sz w:val="20"/>
              </w:rPr>
              <w:t> </w:t>
            </w:r>
            <w:r>
              <w:rPr>
                <w:rFonts w:ascii="Times New Roman;serif" w:hAnsi="Times New Roman;serif"/>
                <w:b w:val="false"/>
                <w:sz w:val="20"/>
              </w:rPr>
              <w:t>shares authorized, 42,861,612</w:t>
            </w:r>
            <w:r>
              <w:rPr>
                <w:rFonts w:ascii="Times New Roman" w:hAnsi="Times New Roman"/>
                <w:sz w:val="20"/>
              </w:rPr>
              <w:t> </w:t>
            </w:r>
            <w:r>
              <w:rPr>
                <w:rFonts w:ascii="Times New Roman;serif" w:hAnsi="Times New Roman;serif"/>
                <w:b w:val="false"/>
                <w:sz w:val="20"/>
              </w:rPr>
              <w:t>and 41,548,822</w:t>
            </w:r>
            <w:r>
              <w:rPr>
                <w:rFonts w:ascii="Times New Roman" w:hAnsi="Times New Roman"/>
                <w:sz w:val="20"/>
              </w:rPr>
              <w:t> </w:t>
            </w:r>
            <w:r>
              <w:rPr>
                <w:rFonts w:ascii="Times New Roman;serif" w:hAnsi="Times New Roman;serif"/>
                <w:b w:val="false"/>
                <w:sz w:val="20"/>
              </w:rPr>
              <w:t>shares issued and outstanding, respectively, at June 30, 2023, and 50,433,101</w:t>
            </w:r>
            <w:r>
              <w:rPr>
                <w:rFonts w:ascii="Times New Roman" w:hAnsi="Times New Roman"/>
                <w:sz w:val="20"/>
              </w:rPr>
              <w:t> </w:t>
            </w:r>
            <w:r>
              <w:rPr>
                <w:rFonts w:ascii="Times New Roman;serif" w:hAnsi="Times New Roman;serif"/>
                <w:b w:val="false"/>
                <w:sz w:val="20"/>
              </w:rPr>
              <w:t>and 48,923,952</w:t>
            </w:r>
            <w:r>
              <w:rPr>
                <w:rFonts w:ascii="Times New Roman" w:hAnsi="Times New Roman"/>
                <w:sz w:val="20"/>
              </w:rPr>
              <w:t> </w:t>
            </w:r>
            <w:r>
              <w:rPr>
                <w:rFonts w:ascii="Times New Roman;serif" w:hAnsi="Times New Roman;serif"/>
                <w:b w:val="false"/>
                <w:sz w:val="20"/>
              </w:rPr>
              <w:t>shares issued and outstanding, respectively at December 31, 2022</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1,050,714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970,207</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593" w:type="dxa"/>
            <w:tcBorders/>
            <w:vAlign w:val="center"/>
          </w:tcPr>
          <w:p>
            <w:pPr>
              <w:pStyle w:val="TableContents"/>
              <w:bidi w:val="0"/>
              <w:spacing w:before="0" w:after="0"/>
              <w:ind w:left="0" w:right="0" w:firstLine="200"/>
              <w:jc w:val="left"/>
              <w:rPr/>
            </w:pPr>
            <w:r>
              <w:rPr/>
              <w:t> </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(25,062</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8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533,027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83"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equity</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1,455,459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1,481,945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83"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 and equity</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2,104,863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consolidated_statements_of_operations"/>
      <w:bookmarkEnd w:id="6"/>
      <w:r>
        <w:rPr>
          <w:rFonts w:ascii="Times New Roman;serif" w:hAnsi="Times New Roman;serif"/>
          <w:b/>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(amounts in thousands, except share amounts and per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(Unaudited)</w:t>
      </w:r>
      <w:r>
        <w:rPr>
          <w:rFonts w:ascii="Times New Roman" w:hAnsi="Times New Roman"/>
          <w:sz w:val="20"/>
        </w:rPr>
        <w:t xml:space="preserve"> </w:t>
      </w:r>
    </w:p>
    <w:tbl>
      <w:tblPr>
        <w:tblW w:w="10342" w:type="dxa"/>
        <w:jc w:val="left"/>
        <w:tblInd w:w="0" w:type="dxa"/>
        <w:tblLayout w:type="fixed"/>
        <w:tblCellMar>
          <w:top w:w="28" w:type="dxa"/>
          <w:left w:w="28" w:type="dxa"/>
          <w:bottom w:w="28" w:type="dxa"/>
          <w:right w:w="28" w:type="dxa"/>
        </w:tblCellMar>
      </w:tblPr>
      <w:tblGrid>
        <w:gridCol w:w="2551"/>
        <w:gridCol w:w="246"/>
        <w:gridCol w:w="211"/>
        <w:gridCol w:w="1141"/>
        <w:gridCol w:w="266"/>
        <w:gridCol w:w="246"/>
        <w:gridCol w:w="211"/>
        <w:gridCol w:w="1036"/>
        <w:gridCol w:w="266"/>
        <w:gridCol w:w="246"/>
        <w:gridCol w:w="211"/>
        <w:gridCol w:w="1141"/>
        <w:gridCol w:w="266"/>
        <w:gridCol w:w="246"/>
        <w:gridCol w:w="211"/>
        <w:gridCol w:w="1036"/>
        <w:gridCol w:w="811"/>
      </w:tblGrid>
      <w:tr>
        <w:trPr/>
        <w:tc>
          <w:tcPr>
            <w:tcW w:w="25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31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31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81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60,957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120,158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104,672</w:t>
            </w:r>
          </w:p>
        </w:tc>
        <w:tc>
          <w:tcPr>
            <w:tcW w:w="81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16,630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12,148</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10,958</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49,789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97,084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81,566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24,702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48,125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44,878</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20,113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15,556</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13,670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21,091</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20,068</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55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8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61,860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54,648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121,426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105,010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(24,342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(23,444</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Interest income</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Interest expense</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(4,714</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Other (expense) income, net</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4,088</w:t>
            </w:r>
          </w:p>
        </w:tc>
        <w:tc>
          <w:tcPr>
            <w:tcW w:w="811" w:type="dxa"/>
            <w:tcBorders/>
            <w:vAlign w:val="center"/>
          </w:tcPr>
          <w:p>
            <w:pPr>
              <w:pStyle w:val="TableContents"/>
              <w:bidi w:val="0"/>
              <w:spacing w:before="0" w:after="0"/>
              <w:ind w:left="0" w:right="0" w:firstLine="400"/>
              <w:jc w:val="left"/>
              <w:rPr/>
            </w:pPr>
            <w:r>
              <w:rPr/>
              <w:t> </w:t>
            </w:r>
          </w:p>
        </w:tc>
      </w:tr>
      <w:tr>
        <w:trPr/>
        <w:tc>
          <w:tcPr>
            <w:tcW w:w="255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Total other (expense) income, net</w:t>
            </w:r>
          </w:p>
        </w:tc>
        <w:tc>
          <w:tcPr>
            <w:tcW w:w="246" w:type="dxa"/>
            <w:tcBorders/>
            <w:vAlign w:val="center"/>
          </w:tcPr>
          <w:p>
            <w:pPr>
              <w:pStyle w:val="TableContents"/>
              <w:bidi w:val="0"/>
              <w:spacing w:before="0" w:after="0"/>
              <w:ind w:left="8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(5,429</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before income taxes</w:t>
            </w:r>
          </w:p>
        </w:tc>
        <w:tc>
          <w:tcPr>
            <w:tcW w:w="246" w:type="dxa"/>
            <w:tcBorders/>
            <w:vAlign w:val="center"/>
          </w:tcPr>
          <w:p>
            <w:pPr>
              <w:pStyle w:val="TableContents"/>
              <w:bidi w:val="0"/>
              <w:spacing w:before="0" w:after="0"/>
              <w:ind w:left="1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(13,089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(23,820</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Benefit from income taxes</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(20,629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(14,067</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811" w:type="dxa"/>
            <w:tcBorders/>
            <w:vAlign w:val="center"/>
          </w:tcPr>
          <w:p>
            <w:pPr>
              <w:pStyle w:val="TableContents"/>
              <w:bidi w:val="0"/>
              <w:spacing w:before="0" w:after="0"/>
              <w:ind w:left="0" w:right="0" w:firstLine="400"/>
              <w:jc w:val="left"/>
              <w:rPr/>
            </w:pPr>
            <w:r>
              <w:rPr/>
              <w:t> </w:t>
            </w:r>
          </w:p>
        </w:tc>
      </w:tr>
      <w:tr>
        <w:trPr/>
        <w:tc>
          <w:tcPr>
            <w:tcW w:w="255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8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Class A Common Stock outstanding:</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255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8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111,768,782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99,203,697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110,011,177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98,186,909</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statements_of_comprehensive_loss"/>
      <w:bookmarkEnd w:id="7"/>
      <w:r>
        <w:rPr>
          <w:rFonts w:ascii="Times New Roman;serif" w:hAnsi="Times New Roman;serif"/>
          <w:b/>
          <w:sz w:val="20"/>
        </w:rPr>
        <w:t>CONDENSED CONSOLIDATED STATEMENTS OF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(amounts 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(Unaudited)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4496"/>
        <w:gridCol w:w="146"/>
        <w:gridCol w:w="214"/>
        <w:gridCol w:w="751"/>
        <w:gridCol w:w="169"/>
        <w:gridCol w:w="148"/>
        <w:gridCol w:w="233"/>
        <w:gridCol w:w="815"/>
        <w:gridCol w:w="166"/>
        <w:gridCol w:w="146"/>
        <w:gridCol w:w="211"/>
        <w:gridCol w:w="736"/>
        <w:gridCol w:w="166"/>
        <w:gridCol w:w="146"/>
        <w:gridCol w:w="233"/>
        <w:gridCol w:w="815"/>
        <w:gridCol w:w="614"/>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0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pPr>
            <w:r>
              <w:rPr/>
              <w:t> </w:t>
            </w:r>
          </w:p>
        </w:tc>
        <w:tc>
          <w:tcPr>
            <w:tcW w:w="169" w:type="dxa"/>
            <w:tcBorders/>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center"/>
              <w:rPr/>
            </w:pPr>
            <w:r>
              <w:rPr/>
              <w:t> </w:t>
            </w:r>
          </w:p>
        </w:tc>
        <w:tc>
          <w:tcPr>
            <w:tcW w:w="10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614" w:type="dxa"/>
            <w:tcBorders/>
            <w:vAlign w:val="center"/>
          </w:tcPr>
          <w:p>
            <w:pPr>
              <w:pStyle w:val="TableContents"/>
              <w:bidi w:val="0"/>
              <w:spacing w:before="0" w:after="0"/>
              <w:ind w:left="0" w:right="0" w:hanging="0"/>
              <w:jc w:val="center"/>
              <w:rPr/>
            </w:pPr>
            <w:r>
              <w:rPr/>
              <w:t> </w:t>
            </w:r>
          </w:p>
        </w:tc>
      </w:tr>
      <w:tr>
        <w:trPr/>
        <w:tc>
          <w:tcPr>
            <w:tcW w:w="4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center"/>
              <w:rPr/>
            </w:pPr>
            <w:r>
              <w:rPr/>
              <w:t> </w:t>
            </w:r>
          </w:p>
        </w:tc>
        <w:tc>
          <w:tcPr>
            <w:tcW w:w="10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6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965"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104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48" w:type="dxa"/>
            <w:gridSpan w:val="2"/>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firstLine="200"/>
              <w:jc w:val="righ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61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61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interest rate hedging instruments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3,340</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4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(10,970</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(20,503</w:t>
            </w:r>
          </w:p>
        </w:tc>
        <w:tc>
          <w:tcPr>
            <w:tcW w:w="61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Comprehensive loss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(8,047</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4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 attributable to Definitive Healthcare Corp.</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(8,107</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(12,456</w:t>
            </w:r>
          </w:p>
        </w:tc>
        <w:tc>
          <w:tcPr>
            <w:tcW w:w="6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DEFINITIVE HEALTHCARE CORP.</w:t>
      </w:r>
    </w:p>
    <w:p>
      <w:pPr>
        <w:pStyle w:val="TextBody"/>
        <w:bidi w:val="0"/>
        <w:spacing w:before="0" w:after="0"/>
        <w:jc w:val="center"/>
        <w:rPr>
          <w:rFonts w:ascii="Times New Roman" w:hAnsi="Times New Roman"/>
          <w:sz w:val="20"/>
        </w:rPr>
      </w:pPr>
      <w:bookmarkStart w:id="8" w:name="changes_in_members_equity"/>
      <w:bookmarkEnd w:id="8"/>
      <w:r>
        <w:rPr>
          <w:rFonts w:ascii="Times New Roman;serif" w:hAnsi="Times New Roman;serif"/>
          <w:b/>
          <w:sz w:val="20"/>
        </w:rPr>
        <w:t>CONDENSED CONSOLIDATED STATEMENTS OF CHANGES IN TOTAL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(amounts in thousands, except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(Unaudited)</w:t>
      </w:r>
      <w:r>
        <w:rPr>
          <w:rFonts w:ascii="Times New Roman" w:hAnsi="Times New Roman"/>
          <w:sz w:val="20"/>
        </w:rPr>
        <w:t xml:space="preserve"> </w:t>
      </w:r>
    </w:p>
    <w:tbl>
      <w:tblPr>
        <w:tblW w:w="10999" w:type="dxa"/>
        <w:jc w:val="left"/>
        <w:tblInd w:w="0" w:type="dxa"/>
        <w:tblLayout w:type="fixed"/>
        <w:tblCellMar>
          <w:top w:w="28" w:type="dxa"/>
          <w:left w:w="28" w:type="dxa"/>
          <w:bottom w:w="28" w:type="dxa"/>
          <w:right w:w="28" w:type="dxa"/>
        </w:tblCellMar>
      </w:tblPr>
      <w:tblGrid>
        <w:gridCol w:w="1186"/>
        <w:gridCol w:w="146"/>
        <w:gridCol w:w="1006"/>
        <w:gridCol w:w="166"/>
        <w:gridCol w:w="196"/>
        <w:gridCol w:w="376"/>
        <w:gridCol w:w="146"/>
        <w:gridCol w:w="146"/>
        <w:gridCol w:w="916"/>
        <w:gridCol w:w="166"/>
        <w:gridCol w:w="206"/>
        <w:gridCol w:w="365"/>
        <w:gridCol w:w="146"/>
        <w:gridCol w:w="196"/>
        <w:gridCol w:w="826"/>
        <w:gridCol w:w="166"/>
        <w:gridCol w:w="199"/>
        <w:gridCol w:w="672"/>
        <w:gridCol w:w="166"/>
        <w:gridCol w:w="282"/>
        <w:gridCol w:w="739"/>
        <w:gridCol w:w="166"/>
        <w:gridCol w:w="225"/>
        <w:gridCol w:w="796"/>
        <w:gridCol w:w="16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66" w:type="dxa"/>
            <w:tcBorders/>
            <w:vAlign w:val="center"/>
          </w:tcPr>
          <w:p>
            <w:pPr>
              <w:pStyle w:val="TableContents"/>
              <w:bidi w:val="0"/>
              <w:spacing w:before="0" w:after="0"/>
              <w:ind w:left="0" w:right="0" w:hanging="0"/>
              <w:jc w:val="center"/>
              <w:rPr/>
            </w:pPr>
            <w:r>
              <w:rPr/>
              <w:t> </w:t>
            </w:r>
          </w:p>
        </w:tc>
        <w:tc>
          <w:tcPr>
            <w:tcW w:w="5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2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January 1, 2023,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105,138,273</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50,433,101</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970,207</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(25,062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3,668</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533,027</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1,481,945</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Class A Common Stock upon vesting of RSUs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380,676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828</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(127,829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LLC unit exchanges,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4,771,545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(4,771,545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41,881</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(52,352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(10,466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 unvested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(34,623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Equity-based compensation</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7,811</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3,317</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11,128</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March 31, 2023, as restated</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00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110,162,665</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45,626,933</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20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1,018,692</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9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(37,125</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2,793</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22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479,388</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1,463,858</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459</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635</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390</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Class A Common Stock upon vesting of RSUs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309,694</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620</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(105,249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LLC unit exchanges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2,718,054</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(2,718,054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23,934</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 unvested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(47,267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Equity-based compensation</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8,943</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3,420</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12,363</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noncontrolling 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(2,827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113,085,164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42,861,612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1,050,714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447,071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1,455,459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t> </w:t>
      </w:r>
    </w:p>
    <w:tbl>
      <w:tblPr>
        <w:tblW w:w="10824" w:type="dxa"/>
        <w:jc w:val="left"/>
        <w:tblInd w:w="0" w:type="dxa"/>
        <w:tblLayout w:type="fixed"/>
        <w:tblCellMar>
          <w:top w:w="28" w:type="dxa"/>
          <w:left w:w="28" w:type="dxa"/>
          <w:bottom w:w="28" w:type="dxa"/>
          <w:right w:w="28" w:type="dxa"/>
        </w:tblCellMar>
      </w:tblPr>
      <w:tblGrid>
        <w:gridCol w:w="1186"/>
        <w:gridCol w:w="146"/>
        <w:gridCol w:w="1006"/>
        <w:gridCol w:w="146"/>
        <w:gridCol w:w="196"/>
        <w:gridCol w:w="376"/>
        <w:gridCol w:w="146"/>
        <w:gridCol w:w="146"/>
        <w:gridCol w:w="916"/>
        <w:gridCol w:w="166"/>
        <w:gridCol w:w="206"/>
        <w:gridCol w:w="365"/>
        <w:gridCol w:w="146"/>
        <w:gridCol w:w="196"/>
        <w:gridCol w:w="691"/>
        <w:gridCol w:w="166"/>
        <w:gridCol w:w="199"/>
        <w:gridCol w:w="672"/>
        <w:gridCol w:w="166"/>
        <w:gridCol w:w="282"/>
        <w:gridCol w:w="739"/>
        <w:gridCol w:w="146"/>
        <w:gridCol w:w="225"/>
        <w:gridCol w:w="796"/>
        <w:gridCol w:w="16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46" w:type="dxa"/>
            <w:tcBorders/>
            <w:vAlign w:val="center"/>
          </w:tcPr>
          <w:p>
            <w:pPr>
              <w:pStyle w:val="TableContents"/>
              <w:bidi w:val="0"/>
              <w:spacing w:before="0" w:after="0"/>
              <w:ind w:left="0" w:right="0" w:hanging="0"/>
              <w:jc w:val="center"/>
              <w:rPr/>
            </w:pPr>
            <w:r>
              <w:rPr/>
              <w:t> </w:t>
            </w:r>
          </w:p>
        </w:tc>
        <w:tc>
          <w:tcPr>
            <w:tcW w:w="5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2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January 1, 2022,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97,030,095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58,244,627</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888,992</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(17,840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628,525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1,499,836</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856</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487</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1,343</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LLC unit exchanges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544,302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(544,302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5,071</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 unvested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Equity-based compensation</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4,377</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2,495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6,872</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noncontrolling 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March 31, 2022,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97,574,397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57,666,776</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897,744</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(26,421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918</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621,522</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1,493,861</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755</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580</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1,335</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358</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Class A Common Stock upon vesting of RSUs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11,729</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LLC unit exchanges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2,898,589</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(2,898,589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24,764</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(29,358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 unvested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(22,807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Equity-based compensation</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5,852</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3,153</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9,005</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noncontrolling 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(5,029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2022, as restated</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100,484,715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54,745,380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928,047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(31,907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586,525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1,484,438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statements_of_cash_flows"/>
      <w:bookmarkEnd w:id="9"/>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in thousands)</w:t>
      </w:r>
    </w:p>
    <w:p>
      <w:pPr>
        <w:pStyle w:val="TextBody"/>
        <w:bidi w:val="0"/>
        <w:spacing w:before="0" w:after="120"/>
        <w:jc w:val="center"/>
        <w:rPr>
          <w:rFonts w:ascii="Times New Roman;serif" w:hAnsi="Times New Roman;serif"/>
          <w:b w:val="false"/>
          <w:i/>
          <w:sz w:val="20"/>
        </w:rPr>
      </w:pPr>
      <w:r>
        <w:rPr>
          <w:rFonts w:ascii="Times New Roman;serif" w:hAnsi="Times New Roman;serif"/>
          <w:b w:val="false"/>
          <w:i/>
          <w:sz w:val="20"/>
        </w:rPr>
        <w:t>(Unaudited)</w:t>
      </w:r>
    </w:p>
    <w:tbl>
      <w:tblPr>
        <w:tblW w:w="9357" w:type="dxa"/>
        <w:jc w:val="left"/>
        <w:tblInd w:w="0" w:type="dxa"/>
        <w:tblLayout w:type="fixed"/>
        <w:tblCellMar>
          <w:top w:w="28" w:type="dxa"/>
          <w:left w:w="28" w:type="dxa"/>
          <w:bottom w:w="28" w:type="dxa"/>
          <w:right w:w="28" w:type="dxa"/>
        </w:tblCellMar>
      </w:tblPr>
      <w:tblGrid>
        <w:gridCol w:w="5561"/>
        <w:gridCol w:w="146"/>
        <w:gridCol w:w="196"/>
        <w:gridCol w:w="751"/>
        <w:gridCol w:w="266"/>
        <w:gridCol w:w="146"/>
        <w:gridCol w:w="223"/>
        <w:gridCol w:w="857"/>
        <w:gridCol w:w="1211"/>
      </w:tblGrid>
      <w:tr>
        <w:trPr/>
        <w:tc>
          <w:tcPr>
            <w:tcW w:w="5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556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211" w:type="dxa"/>
            <w:tcBorders/>
            <w:vAlign w:val="center"/>
          </w:tcPr>
          <w:p>
            <w:pPr>
              <w:pStyle w:val="TableContents"/>
              <w:bidi w:val="0"/>
              <w:spacing w:before="0" w:after="0"/>
              <w:ind w:left="0" w:right="0" w:hanging="0"/>
              <w:jc w:val="center"/>
              <w:rPr/>
            </w:pPr>
            <w:r>
              <w:rPr/>
              <w:t> </w:t>
            </w:r>
          </w:p>
        </w:tc>
      </w:tr>
      <w:tr>
        <w:trPr/>
        <w:tc>
          <w:tcPr>
            <w:tcW w:w="556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1"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Cash flows provided by (used in) operating activities: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400"/>
              <w:jc w:val="righ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loss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(27,577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(23,181</w:t>
            </w:r>
          </w:p>
        </w:tc>
        <w:tc>
          <w:tcPr>
            <w:tcW w:w="121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Adjustments to reconcile net loss to net cash provided by operating activities: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700"/>
              <w:jc w:val="righ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Depreciation and amortization</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959</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1,252</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intangible assets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24,763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29,774</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deferred contract costs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6,030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3,991</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Equity-based compensation</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23,491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15,877</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debt issuance costs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351</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Provision for doubtful accounts receivable</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466</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Non-cash restructuring charges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1,023</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Tax receivable agreement remeasurement</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4,698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(3,330</w:t>
            </w:r>
          </w:p>
        </w:tc>
        <w:tc>
          <w:tcPr>
            <w:tcW w:w="1211"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income taxes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(677</w:t>
            </w:r>
          </w:p>
        </w:tc>
        <w:tc>
          <w:tcPr>
            <w:tcW w:w="1211"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Changes in operating assets and liabilities:</w:t>
            </w:r>
          </w:p>
        </w:tc>
        <w:tc>
          <w:tcPr>
            <w:tcW w:w="146" w:type="dxa"/>
            <w:tcBorders/>
            <w:vAlign w:val="center"/>
          </w:tcPr>
          <w:p>
            <w:pPr>
              <w:pStyle w:val="TableContents"/>
              <w:bidi w:val="0"/>
              <w:spacing w:before="0" w:after="0"/>
              <w:ind w:left="5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700"/>
              <w:jc w:val="righ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Accounts receivable</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13,884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15,270</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Prepaid expenses and other current assets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1,319</w:t>
            </w:r>
          </w:p>
        </w:tc>
        <w:tc>
          <w:tcPr>
            <w:tcW w:w="1211" w:type="dxa"/>
            <w:tcBorders/>
            <w:vAlign w:val="center"/>
          </w:tcPr>
          <w:p>
            <w:pPr>
              <w:pStyle w:val="TableContents"/>
              <w:bidi w:val="0"/>
              <w:spacing w:before="0" w:after="0"/>
              <w:ind w:left="0" w:right="0" w:firstLine="700"/>
              <w:jc w:val="left"/>
              <w:rPr/>
            </w:pPr>
            <w:r>
              <w:rPr/>
              <w:t> </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contract costs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(9,107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(6,846</w:t>
            </w:r>
          </w:p>
        </w:tc>
        <w:tc>
          <w:tcPr>
            <w:tcW w:w="1211"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Contingent consideration</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(6,400</w:t>
            </w:r>
          </w:p>
        </w:tc>
        <w:tc>
          <w:tcPr>
            <w:tcW w:w="1211"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Accounts payable, accrued expenses, and other liabilities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(3,023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(993</w:t>
            </w:r>
          </w:p>
        </w:tc>
        <w:tc>
          <w:tcPr>
            <w:tcW w:w="1211"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revenue</w:t>
            </w:r>
          </w:p>
        </w:tc>
        <w:tc>
          <w:tcPr>
            <w:tcW w:w="146" w:type="dxa"/>
            <w:tcBorders/>
            <w:vAlign w:val="center"/>
          </w:tcPr>
          <w:p>
            <w:pPr>
              <w:pStyle w:val="TableContents"/>
              <w:bidi w:val="0"/>
              <w:spacing w:before="0" w:after="0"/>
              <w:ind w:left="8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(2,244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1,678</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1"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Net cash provided by operating activities</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26,994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29,114</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1"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Cash flows (used in) provided by investing activities: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400"/>
              <w:jc w:val="righ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Purchases of property, equipment, and other assets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(2,078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(1,577</w:t>
            </w:r>
          </w:p>
        </w:tc>
        <w:tc>
          <w:tcPr>
            <w:tcW w:w="1211"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Purchases of short-term investments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(132,799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(162,957</w:t>
            </w:r>
          </w:p>
        </w:tc>
        <w:tc>
          <w:tcPr>
            <w:tcW w:w="1211"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Maturities of short-term investments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102,747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44,000</w:t>
            </w:r>
          </w:p>
        </w:tc>
        <w:tc>
          <w:tcPr>
            <w:tcW w:w="1211" w:type="dxa"/>
            <w:tcBorders/>
            <w:vAlign w:val="center"/>
          </w:tcPr>
          <w:p>
            <w:pPr>
              <w:pStyle w:val="TableContents"/>
              <w:bidi w:val="0"/>
              <w:spacing w:before="0" w:after="0"/>
              <w:ind w:left="0" w:right="0" w:firstLine="400"/>
              <w:jc w:val="lef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paid for acquisitions, net of cash acquired</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(56,499</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Net cash used in investing activities</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(32,130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(177,033</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Cash flows used in financing activities: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400"/>
              <w:jc w:val="righ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Repayments of term loans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(3,438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(3,438</w:t>
            </w:r>
          </w:p>
        </w:tc>
        <w:tc>
          <w:tcPr>
            <w:tcW w:w="1211"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Taxes paid related to net share settlement of equity awards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(2,615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pPr>
            <w:r>
              <w:rPr/>
              <w:t>—</w:t>
            </w:r>
          </w:p>
        </w:tc>
        <w:tc>
          <w:tcPr>
            <w:tcW w:w="1211" w:type="dxa"/>
            <w:tcBorders/>
            <w:vAlign w:val="center"/>
          </w:tcPr>
          <w:p>
            <w:pPr>
              <w:pStyle w:val="TableContents"/>
              <w:bidi w:val="0"/>
              <w:spacing w:before="0" w:after="0"/>
              <w:ind w:left="0" w:right="0" w:firstLine="400"/>
              <w:jc w:val="lef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Payment of contingent consideration</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(1,100</w:t>
            </w:r>
          </w:p>
        </w:tc>
        <w:tc>
          <w:tcPr>
            <w:tcW w:w="1211"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Payments under tax receivable agreement</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pPr>
            <w:r>
              <w:rPr/>
              <w:t>—</w:t>
            </w:r>
          </w:p>
        </w:tc>
        <w:tc>
          <w:tcPr>
            <w:tcW w:w="1211" w:type="dxa"/>
            <w:tcBorders/>
            <w:vAlign w:val="center"/>
          </w:tcPr>
          <w:p>
            <w:pPr>
              <w:pStyle w:val="TableContents"/>
              <w:bidi w:val="0"/>
              <w:spacing w:before="0" w:after="0"/>
              <w:ind w:left="0" w:right="0" w:firstLine="400"/>
              <w:jc w:val="lef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Payments of equity offering issuance costs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(1,299</w:t>
            </w:r>
          </w:p>
        </w:tc>
        <w:tc>
          <w:tcPr>
            <w:tcW w:w="1211"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Member distributions</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(2,827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(5,287</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cash used in financing activities</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(9,156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(11,124</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Net decrease in cash and cash equivalents</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(14,292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(159,043</w:t>
            </w:r>
          </w:p>
        </w:tc>
        <w:tc>
          <w:tcPr>
            <w:tcW w:w="1211"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Effect of exchange rate changes on cash and cash equivalents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(253</w:t>
            </w:r>
          </w:p>
        </w:tc>
        <w:tc>
          <w:tcPr>
            <w:tcW w:w="1211"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and cash equivalents, beginning of period</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146,934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387,498</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and cash equivalents, end of period</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132,385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228,202</w:t>
            </w:r>
          </w:p>
        </w:tc>
        <w:tc>
          <w:tcPr>
            <w:tcW w:w="1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1"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Supplemental cash flow disclosures: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400"/>
              <w:jc w:val="righ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paid during the period for:</w:t>
            </w:r>
          </w:p>
        </w:tc>
        <w:tc>
          <w:tcPr>
            <w:tcW w:w="146" w:type="dxa"/>
            <w:tcBorders/>
            <w:vAlign w:val="center"/>
          </w:tcPr>
          <w:p>
            <w:pPr>
              <w:pStyle w:val="TableContents"/>
              <w:bidi w:val="0"/>
              <w:spacing w:before="0" w:after="0"/>
              <w:ind w:left="5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600"/>
              <w:jc w:val="righ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Interest</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7,091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4,350</w:t>
            </w:r>
          </w:p>
        </w:tc>
        <w:tc>
          <w:tcPr>
            <w:tcW w:w="1211" w:type="dxa"/>
            <w:tcBorders/>
            <w:vAlign w:val="center"/>
          </w:tcPr>
          <w:p>
            <w:pPr>
              <w:pStyle w:val="TableContents"/>
              <w:bidi w:val="0"/>
              <w:spacing w:before="0" w:after="0"/>
              <w:ind w:left="0" w:right="0" w:firstLine="600"/>
              <w:jc w:val="lef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Income taxes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136</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57" w:type="dxa"/>
            <w:tcBorders/>
            <w:vAlign w:val="center"/>
          </w:tcPr>
          <w:p>
            <w:pPr>
              <w:pStyle w:val="TableContents"/>
              <w:bidi w:val="0"/>
              <w:spacing w:before="0" w:after="0"/>
              <w:ind w:left="0" w:right="0" w:hanging="0"/>
              <w:jc w:val="right"/>
              <w:rPr/>
            </w:pPr>
            <w:r>
              <w:rPr/>
              <w:t>—</w:t>
            </w:r>
          </w:p>
        </w:tc>
        <w:tc>
          <w:tcPr>
            <w:tcW w:w="1211" w:type="dxa"/>
            <w:tcBorders/>
            <w:vAlign w:val="center"/>
          </w:tcPr>
          <w:p>
            <w:pPr>
              <w:pStyle w:val="TableContents"/>
              <w:bidi w:val="0"/>
              <w:spacing w:before="0" w:after="0"/>
              <w:ind w:left="0" w:right="0" w:firstLine="600"/>
              <w:jc w:val="lef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Acquisitions:</w:t>
            </w:r>
          </w:p>
        </w:tc>
        <w:tc>
          <w:tcPr>
            <w:tcW w:w="146" w:type="dxa"/>
            <w:tcBorders/>
            <w:vAlign w:val="center"/>
          </w:tcPr>
          <w:p>
            <w:pPr>
              <w:pStyle w:val="TableContents"/>
              <w:bidi w:val="0"/>
              <w:spacing w:before="0" w:after="0"/>
              <w:ind w:left="5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800"/>
              <w:jc w:val="righ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assets acquired, net of cash acquired</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97,499</w:t>
            </w:r>
          </w:p>
        </w:tc>
        <w:tc>
          <w:tcPr>
            <w:tcW w:w="1211" w:type="dxa"/>
            <w:tcBorders/>
            <w:vAlign w:val="center"/>
          </w:tcPr>
          <w:p>
            <w:pPr>
              <w:pStyle w:val="TableContents"/>
              <w:bidi w:val="0"/>
              <w:spacing w:before="0" w:after="0"/>
              <w:ind w:left="0" w:right="0" w:firstLine="800"/>
              <w:jc w:val="lef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Initial cash investment in prior year</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(40,000</w:t>
            </w:r>
          </w:p>
        </w:tc>
        <w:tc>
          <w:tcPr>
            <w:tcW w:w="1211"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Contingent consideration</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(1,000</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cash paid for acquisitions</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56,499</w:t>
            </w:r>
          </w:p>
        </w:tc>
        <w:tc>
          <w:tcPr>
            <w:tcW w:w="1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1" w:type="dxa"/>
            <w:tcBorders/>
            <w:vAlign w:val="center"/>
          </w:tcPr>
          <w:p>
            <w:pPr>
              <w:pStyle w:val="TableContents"/>
              <w:bidi w:val="0"/>
              <w:spacing w:before="0" w:after="0"/>
              <w:ind w:left="0" w:right="0" w:firstLine="500"/>
              <w:jc w:val="left"/>
              <w:rPr>
                <w:rFonts w:ascii="Times New Roman;serif" w:hAnsi="Times New Roman;serif"/>
                <w:b/>
                <w:sz w:val="17"/>
              </w:rPr>
            </w:pPr>
            <w:r>
              <w:rPr>
                <w:rFonts w:ascii="Times New Roman;serif" w:hAnsi="Times New Roman;serif"/>
                <w:b/>
                <w:sz w:val="17"/>
              </w:rPr>
              <w:t>Supplemental disclosure of non-cash investing activities:</w:t>
            </w:r>
          </w:p>
        </w:tc>
        <w:tc>
          <w:tcPr>
            <w:tcW w:w="146" w:type="dxa"/>
            <w:tcBorders/>
            <w:vAlign w:val="center"/>
          </w:tcPr>
          <w:p>
            <w:pPr>
              <w:pStyle w:val="TableContents"/>
              <w:bidi w:val="0"/>
              <w:spacing w:before="0" w:after="0"/>
              <w:ind w:left="5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0" w:type="dxa"/>
            <w:gridSpan w:val="2"/>
            <w:tcBorders/>
            <w:vAlign w:val="center"/>
          </w:tcPr>
          <w:p>
            <w:pPr>
              <w:pStyle w:val="TableContents"/>
              <w:bidi w:val="0"/>
              <w:spacing w:before="0" w:after="0"/>
              <w:ind w:left="0" w:right="0" w:hanging="0"/>
              <w:jc w:val="right"/>
              <w:rPr/>
            </w:pPr>
            <w:r>
              <w:rPr/>
              <w:t> </w:t>
            </w:r>
          </w:p>
        </w:tc>
        <w:tc>
          <w:tcPr>
            <w:tcW w:w="1211" w:type="dxa"/>
            <w:tcBorders/>
            <w:vAlign w:val="center"/>
          </w:tcPr>
          <w:p>
            <w:pPr>
              <w:pStyle w:val="TableContents"/>
              <w:bidi w:val="0"/>
              <w:spacing w:before="0" w:after="0"/>
              <w:ind w:left="0" w:right="0" w:firstLine="400"/>
              <w:jc w:val="right"/>
              <w:rPr/>
            </w:pPr>
            <w:r>
              <w:rPr/>
              <w:t> </w:t>
            </w:r>
          </w:p>
        </w:tc>
      </w:tr>
      <w:tr>
        <w:trPr/>
        <w:tc>
          <w:tcPr>
            <w:tcW w:w="5561"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Capital expenditures included in accrued expenses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60</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3,500</w:t>
            </w:r>
          </w:p>
        </w:tc>
        <w:tc>
          <w:tcPr>
            <w:tcW w:w="1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caps/>
          <w:sz w:val="20"/>
        </w:rPr>
        <w:t>DEFINITIVE HEALTHCARE CORP.</w:t>
      </w:r>
      <w:r>
        <w:rPr>
          <w:rFonts w:ascii="Times New Roman" w:hAnsi="Times New Roman"/>
          <w:caps/>
          <w:sz w:val="20"/>
        </w:rPr>
        <w:t xml:space="preserve"> </w:t>
      </w:r>
    </w:p>
    <w:p>
      <w:pPr>
        <w:pStyle w:val="TextBody"/>
        <w:bidi w:val="0"/>
        <w:spacing w:before="0" w:after="0"/>
        <w:jc w:val="center"/>
        <w:rPr>
          <w:rFonts w:ascii="Times New Roman" w:hAnsi="Times New Roman"/>
          <w:sz w:val="20"/>
        </w:rPr>
      </w:pPr>
      <w:bookmarkStart w:id="10" w:name="notes_to_financial_statements"/>
      <w:bookmarkEnd w:id="10"/>
      <w:r>
        <w:rPr>
          <w:rFonts w:ascii="Times New Roman;serif" w:hAnsi="Times New Roman;serif"/>
          <w:b/>
          <w:sz w:val="20"/>
        </w:rPr>
        <w:t>NOTES TO THE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360" w:after="0"/>
        <w:jc w:val="left"/>
        <w:rPr>
          <w:rFonts w:ascii="Times New Roman" w:hAnsi="Times New Roman"/>
          <w:sz w:val="20"/>
        </w:rPr>
      </w:pPr>
      <w:r>
        <w:rPr>
          <w:rFonts w:ascii="Times New Roman;serif" w:hAnsi="Times New Roman;serif"/>
          <w:b/>
          <w:sz w:val="20"/>
        </w:rPr>
        <w:t>1. Organization and Basis of Presentation</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Description of Business and Organization</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Healthcare Corp. (the “Company”) was formed on May 5, 2021</w:t>
      </w:r>
      <w:r>
        <w:rPr>
          <w:rFonts w:ascii="Times New Roman" w:hAnsi="Times New Roman"/>
          <w:sz w:val="20"/>
        </w:rPr>
        <w:t xml:space="preserve"> </w:t>
      </w:r>
      <w:r>
        <w:rPr>
          <w:rFonts w:ascii="Times New Roman;serif" w:hAnsi="Times New Roman;serif"/>
          <w:b w:val="false"/>
          <w:sz w:val="20"/>
        </w:rPr>
        <w:t>as a Delaware corporation to facilitate an initial public offering (“IPO”) and other related transactions to carry on the business of AIDH TopCo, LLC (“Definitive OpCo”). Following consummation of the Reorganization Transactions as described in the Company’s 2022 Form 10-K/A,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condensed consolidated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connection with the Reorganization Transactions and the IPO, Definitive Healthcare Corp entered into a tax receivable agreement. See Note 15. </w:t>
      </w:r>
      <w:r>
        <w:rPr>
          <w:rFonts w:ascii="Times New Roman;serif" w:hAnsi="Times New Roman;serif"/>
          <w:b w:val="false"/>
          <w:i/>
          <w:sz w:val="20"/>
        </w:rPr>
        <w:t>Income Taxes</w:t>
      </w:r>
      <w:r>
        <w:rPr>
          <w:rFonts w:ascii="Times New Roman;serif" w:hAnsi="Times New Roman;serif"/>
          <w:b w:val="false"/>
          <w:sz w:val="20"/>
        </w:rPr>
        <w: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condensed consolidated financial statements as of June 30, 2023 and for the three and six months ended June 30, 2023 and 2022 are unaudited and should be read in conjunction with the Company’s audited financial statements for the year ended December 31, 2022. All adjustments, consisting of normal recurring adjustments, except as otherwise noted, considered necessary for a fair presentation of the unaudited interim condensed consolidated financial statements for these interim periods have been included.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Refer to Note 2.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in the notes to the consolidated financial statements in the 2022 Form 10-K/A for the Company’s significant accounting policies and estimates.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Use of Estimates in the Preparation of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Adoption of Recently Issued Financial Accounting Standards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2016, the FASB issued ASU No. 2016-13—</w:t>
      </w:r>
      <w:r>
        <w:rPr>
          <w:rFonts w:ascii="Times New Roman;serif" w:hAnsi="Times New Roman;serif"/>
          <w:b w:val="false"/>
          <w:i/>
          <w:sz w:val="20"/>
        </w:rPr>
        <w:t>Financial Instruments – Credit Losses (Topic 326) – Measurement of Credit Losses on Financial Instruments</w:t>
      </w:r>
      <w:r>
        <w:rPr>
          <w:rFonts w:ascii="Times New Roman;serif" w:hAnsi="Times New Roman;serif"/>
          <w:b w:val="false"/>
          <w:sz w:val="20"/>
        </w:rPr>
        <w:t>. This standard is intended to improve financial reporting by requiring earlier recognition of credit losses on financing receivables and other financial assets in scope, such as trade receivables. The amendment is effective for fiscal years beginning after December 15, 2022. The Company adopted the update effective January 1, 2023 and the adoption of the standard did not have a material impact on the Company's consolidated financial statements for the quarter ended June 30, 2023.</w:t>
      </w:r>
    </w:p>
    <w:p>
      <w:pPr>
        <w:pStyle w:val="TextBody"/>
        <w:bidi w:val="0"/>
        <w:spacing w:before="240" w:after="0"/>
        <w:jc w:val="left"/>
        <w:rPr>
          <w:rFonts w:ascii="Times New Roman" w:hAnsi="Times New Roman"/>
          <w:sz w:val="20"/>
        </w:rPr>
      </w:pPr>
      <w:r>
        <w:rPr>
          <w:rFonts w:ascii="Times New Roman;serif" w:hAnsi="Times New Roman;serif"/>
          <w:b/>
          <w:i/>
          <w:sz w:val="20"/>
        </w:rPr>
        <w:t>Recently Issued Accounting Pronouncements Not Yet Adopted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new accounting pronouncements are issued by the FASB or other accounting standard setting bodies that the Company adopts as of the specified effective date. Unless otherwise discussed, we do not believe that the adoption of recently issued standards have had or may have a material impact on our condensed consolidated statements or disclosures.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Restatement of Previously Issued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financial statements for the three and six months ended June 30, 2022, have been restated to reflect the correction of misstatements related to the collection of sales taxes from sales of services to customers further described below (the “Misstatements”), along with other immaterial adjustments. The Company also restated all amounts within the notes to the financial statements. A description of adjustments and their impact on the previously issued financial statements are included below.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The Company determined that it did not accrue sales taxes and corrected these Misstatements by recording sales tax accruals through general and administrative expense as of the end of each affected period.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voluntarily disclosures.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The Misstatements that appeared in the previously issued financial statements were material, and the Company has also corrected other immaterial errors, which are further described below.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described in additional detail in the Explanatory Note in our 2022 Form 10-K/A, the Company restated its audited consolidated financial statements as of and for the years ended December 31, 2022, 2021 and 2020, as well as the unaudited condensed consolidated quarterly financial information for the quarterly periods in the fiscal years ended December 31, 2022, 2021, and 2020, to reflect the correction of the Misstatements and other immaterial adjustments, and to make corresponding disclosures. The Company also filed an Amendment No. 1 on Form 10-Q/A to amend the Quarterly Report on Form 10-Q for the three months ended March 31, 2023 with the SEC on August 14, 2023, to restate its unaudited condensed consolidated financial statements for the three months ended March 31,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summary of the impacts of the Misstatements and other immaterial adjustments is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461"/>
        <w:gridCol w:w="146"/>
        <w:gridCol w:w="374"/>
        <w:gridCol w:w="1105"/>
        <w:gridCol w:w="304"/>
        <w:gridCol w:w="167"/>
        <w:gridCol w:w="242"/>
        <w:gridCol w:w="845"/>
        <w:gridCol w:w="266"/>
        <w:gridCol w:w="146"/>
        <w:gridCol w:w="335"/>
        <w:gridCol w:w="1172"/>
        <w:gridCol w:w="279"/>
        <w:gridCol w:w="152"/>
        <w:gridCol w:w="221"/>
        <w:gridCol w:w="773"/>
        <w:gridCol w:w="217"/>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03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10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9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(9,579</w:t>
            </w:r>
          </w:p>
        </w:tc>
        <w:tc>
          <w:tcPr>
            <w:tcW w:w="30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67" w:type="dxa"/>
            <w:tcBorders/>
            <w:vAlign w:val="center"/>
          </w:tcPr>
          <w:p>
            <w:pPr>
              <w:pStyle w:val="TableContents"/>
              <w:bidi w:val="0"/>
              <w:spacing w:before="0" w:after="0"/>
              <w:ind w:left="10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(22,636</w:t>
            </w:r>
          </w:p>
        </w:tc>
        <w:tc>
          <w:tcPr>
            <w:tcW w:w="27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52"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noncontrolling interests</w:t>
            </w:r>
          </w:p>
        </w:tc>
        <w:tc>
          <w:tcPr>
            <w:tcW w:w="146" w:type="dxa"/>
            <w:tcBorders/>
            <w:vAlign w:val="center"/>
          </w:tcPr>
          <w:p>
            <w:pPr>
              <w:pStyle w:val="TableContents"/>
              <w:bidi w:val="0"/>
              <w:spacing w:before="0" w:after="0"/>
              <w:ind w:left="10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30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67" w:type="dxa"/>
            <w:tcBorders/>
            <w:vAlign w:val="center"/>
          </w:tcPr>
          <w:p>
            <w:pPr>
              <w:pStyle w:val="TableContents"/>
              <w:bidi w:val="0"/>
              <w:spacing w:before="0" w:after="0"/>
              <w:ind w:left="10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35"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(8,862</w:t>
            </w:r>
          </w:p>
        </w:tc>
        <w:tc>
          <w:tcPr>
            <w:tcW w:w="27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52"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(9,114</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146" w:type="dxa"/>
            <w:tcBorders/>
            <w:vAlign w:val="center"/>
          </w:tcPr>
          <w:p>
            <w:pPr>
              <w:pStyle w:val="TableContents"/>
              <w:bidi w:val="0"/>
              <w:spacing w:before="0" w:after="0"/>
              <w:ind w:left="10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(5,150</w:t>
            </w:r>
          </w:p>
        </w:tc>
        <w:tc>
          <w:tcPr>
            <w:tcW w:w="30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67" w:type="dxa"/>
            <w:tcBorders/>
            <w:vAlign w:val="center"/>
          </w:tcPr>
          <w:p>
            <w:pPr>
              <w:pStyle w:val="TableContents"/>
              <w:bidi w:val="0"/>
              <w:spacing w:before="0" w:after="0"/>
              <w:ind w:left="10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35"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(13,774</w:t>
            </w:r>
          </w:p>
        </w:tc>
        <w:tc>
          <w:tcPr>
            <w:tcW w:w="27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52"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(14,067</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5107" w:type="dxa"/>
        <w:jc w:val="left"/>
        <w:tblInd w:w="0" w:type="dxa"/>
        <w:tblLayout w:type="fixed"/>
        <w:tblCellMar>
          <w:top w:w="28" w:type="dxa"/>
          <w:left w:w="28" w:type="dxa"/>
          <w:bottom w:w="28" w:type="dxa"/>
          <w:right w:w="28" w:type="dxa"/>
        </w:tblCellMar>
      </w:tblPr>
      <w:tblGrid>
        <w:gridCol w:w="1481"/>
        <w:gridCol w:w="146"/>
        <w:gridCol w:w="324"/>
        <w:gridCol w:w="1431"/>
        <w:gridCol w:w="246"/>
        <w:gridCol w:w="146"/>
        <w:gridCol w:w="211"/>
        <w:gridCol w:w="931"/>
        <w:gridCol w:w="191"/>
      </w:tblGrid>
      <w:tr>
        <w:trPr/>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100" w:right="0" w:hanging="0"/>
              <w:jc w:val="left"/>
              <w:rPr/>
            </w:pPr>
            <w:r>
              <w:rPr/>
              <w:t> </w:t>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2,122,855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2,124,165</w:t>
            </w:r>
          </w:p>
        </w:tc>
        <w:tc>
          <w:tcPr>
            <w:tcW w:w="191" w:type="dxa"/>
            <w:tcBorders/>
            <w:vAlign w:val="center"/>
          </w:tcPr>
          <w:p>
            <w:pPr>
              <w:pStyle w:val="TableContents"/>
              <w:bidi w:val="0"/>
              <w:spacing w:before="0" w:after="0"/>
              <w:ind w:left="0" w:right="0" w:hanging="0"/>
              <w:jc w:val="left"/>
              <w:rPr/>
            </w:pPr>
            <w:r>
              <w:rPr/>
              <w:t> </w:t>
            </w:r>
          </w:p>
        </w:tc>
      </w:tr>
      <w:tr>
        <w:trPr/>
        <w:tc>
          <w:tcPr>
            <w:tcW w:w="148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10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4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634,155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639,727</w:t>
            </w:r>
          </w:p>
        </w:tc>
        <w:tc>
          <w:tcPr>
            <w:tcW w:w="191" w:type="dxa"/>
            <w:tcBorders/>
            <w:vAlign w:val="center"/>
          </w:tcPr>
          <w:p>
            <w:pPr>
              <w:pStyle w:val="TableContents"/>
              <w:bidi w:val="0"/>
              <w:spacing w:before="0" w:after="0"/>
              <w:ind w:left="0" w:right="0" w:hanging="0"/>
              <w:jc w:val="left"/>
              <w:rPr/>
            </w:pPr>
            <w:r>
              <w:rPr/>
              <w:t> </w:t>
            </w:r>
          </w:p>
        </w:tc>
      </w:tr>
      <w:tr>
        <w:trPr/>
        <w:tc>
          <w:tcPr>
            <w:tcW w:w="148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vAlign w:val="center"/>
          </w:tcPr>
          <w:p>
            <w:pPr>
              <w:pStyle w:val="TableContents"/>
              <w:bidi w:val="0"/>
              <w:spacing w:before="0" w:after="0"/>
              <w:ind w:left="10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4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1,488,700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1,484,438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categories of restatement adjustments and their impacts on previously reported financial statements are described below:</w:t>
      </w:r>
    </w:p>
    <w:p>
      <w:pPr>
        <w:pStyle w:val="TextBody"/>
        <w:bidi w:val="0"/>
        <w:spacing w:before="120" w:after="0"/>
        <w:jc w:val="left"/>
        <w:rPr>
          <w:rFonts w:ascii="Times New Roman" w:hAnsi="Times New Roman"/>
          <w:b w:val="false"/>
          <w:i/>
          <w:sz w:val="20"/>
        </w:rPr>
      </w:pPr>
      <w:r>
        <w:rPr>
          <w:rFonts w:ascii="Times New Roman" w:hAnsi="Times New Roman"/>
          <w:b w:val="false"/>
          <w:i/>
          <w:sz w:val="20"/>
        </w:rPr>
        <w:t>a)</w:t>
      </w:r>
    </w:p>
    <w:p>
      <w:pPr>
        <w:pStyle w:val="TextBody"/>
        <w:bidi w:val="0"/>
        <w:spacing w:before="120" w:after="0"/>
        <w:jc w:val="left"/>
        <w:rPr>
          <w:rFonts w:ascii="Times New Roman;serif" w:hAnsi="Times New Roman;serif"/>
          <w:sz w:val="24"/>
        </w:rPr>
      </w:pPr>
      <w:r>
        <w:rPr>
          <w:rFonts w:ascii="Times New Roman;serif" w:hAnsi="Times New Roman;serif"/>
          <w:b w:val="false"/>
          <w:i/>
          <w:sz w:val="20"/>
        </w:rPr>
        <w:t>Sales Tax and Related Misstatements</w:t>
      </w:r>
      <w:r>
        <w:rPr>
          <w:rFonts w:ascii="Times New Roman;serif" w:hAnsi="Times New Roman;serif"/>
          <w:sz w:val="24"/>
        </w:rPr>
        <w:t xml:space="preserve"> – </w:t>
      </w:r>
      <w:r>
        <w:rPr>
          <w:rFonts w:ascii="Times New Roman;serif" w:hAnsi="Times New Roman;serif"/>
          <w:b w:val="false"/>
          <w:sz w:val="20"/>
        </w:rPr>
        <w:t>Sales tax on sales of services to customers who were subject to sales tax, inclusive of maximum penalties and interest, that was not previously accrued by the Company is corrected by an increase to accrued expenses and other current liabilities on the condensed consolidated balance sheets and an increase to general and administrative expenses on the condensed consolidated statements of operations.</w:t>
      </w:r>
    </w:p>
    <w:p>
      <w:pPr>
        <w:pStyle w:val="TextBody"/>
        <w:bidi w:val="0"/>
        <w:spacing w:before="120" w:after="0"/>
        <w:jc w:val="left"/>
        <w:rPr>
          <w:rFonts w:ascii="Times New Roman" w:hAnsi="Times New Roman"/>
          <w:b w:val="false"/>
          <w:i/>
          <w:sz w:val="19"/>
        </w:rPr>
      </w:pPr>
      <w:r>
        <w:rPr>
          <w:rFonts w:ascii="Times New Roman" w:hAnsi="Times New Roman"/>
          <w:b w:val="false"/>
          <w:i/>
          <w:sz w:val="19"/>
        </w:rPr>
        <w:t>b)</w:t>
      </w:r>
    </w:p>
    <w:p>
      <w:pPr>
        <w:pStyle w:val="TextBody"/>
        <w:bidi w:val="0"/>
        <w:spacing w:before="120" w:after="0"/>
        <w:jc w:val="left"/>
        <w:rPr>
          <w:rFonts w:ascii="Times New Roman;serif" w:hAnsi="Times New Roman;serif"/>
          <w:sz w:val="24"/>
        </w:rPr>
      </w:pPr>
      <w:r>
        <w:rPr>
          <w:rFonts w:ascii="Times New Roman;serif" w:hAnsi="Times New Roman;serif"/>
          <w:b w:val="false"/>
          <w:i/>
          <w:sz w:val="19"/>
        </w:rPr>
        <w:t xml:space="preserve">Related Impact on Tax Receivable Agreement ("TRA") </w:t>
      </w:r>
      <w:r>
        <w:rPr>
          <w:rFonts w:ascii="Times New Roman;serif" w:hAnsi="Times New Roman;serif"/>
          <w:sz w:val="24"/>
        </w:rPr>
        <w:t xml:space="preserve">– </w:t>
      </w:r>
      <w:r>
        <w:rPr>
          <w:rFonts w:ascii="Times New Roman;serif" w:hAnsi="Times New Roman;serif"/>
          <w:b w:val="false"/>
          <w:sz w:val="19"/>
        </w:rPr>
        <w:t>Any impact on tax receivable gains and losses due to the corrections in (a) above is reflected as a change in the tax receivable agreement liability on the balance sheet and a change in other expense on the condensed consolidated statements of operations.</w:t>
      </w:r>
    </w:p>
    <w:p>
      <w:pPr>
        <w:pStyle w:val="TextBody"/>
        <w:bidi w:val="0"/>
        <w:spacing w:before="120" w:after="0"/>
        <w:jc w:val="left"/>
        <w:rPr>
          <w:rFonts w:ascii="Times New Roman" w:hAnsi="Times New Roman"/>
          <w:b w:val="false"/>
          <w:i/>
          <w:sz w:val="19"/>
        </w:rPr>
      </w:pPr>
      <w:r>
        <w:rPr>
          <w:rFonts w:ascii="Times New Roman" w:hAnsi="Times New Roman"/>
          <w:b w:val="false"/>
          <w:i/>
          <w:sz w:val="19"/>
        </w:rPr>
        <w:t>c)</w:t>
      </w:r>
    </w:p>
    <w:p>
      <w:pPr>
        <w:pStyle w:val="TextBody"/>
        <w:bidi w:val="0"/>
        <w:spacing w:before="120" w:after="0"/>
        <w:jc w:val="left"/>
        <w:rPr>
          <w:rFonts w:ascii="Times New Roman;serif" w:hAnsi="Times New Roman;serif"/>
          <w:sz w:val="24"/>
        </w:rPr>
      </w:pPr>
      <w:r>
        <w:rPr>
          <w:rFonts w:ascii="Times New Roman;serif" w:hAnsi="Times New Roman;serif"/>
          <w:b w:val="false"/>
          <w:i/>
          <w:sz w:val="19"/>
        </w:rPr>
        <w:t xml:space="preserve">Purchase Price Allocation Misstatement – </w:t>
      </w:r>
      <w:r>
        <w:rPr>
          <w:rFonts w:ascii="Times New Roman;serif" w:hAnsi="Times New Roman;serif"/>
          <w:b w:val="false"/>
          <w:sz w:val="19"/>
        </w:rPr>
        <w:t>In connection with the Company’s acquisition of Monocl Holding Company, the Company had previously failed to record a deferred tax liability related to identified intangible assets of Monocl Holding Company. Therefore, the Company corrected the opening purchase price of Monocl Holding Company to record an opening deferred tax liability with an offset to goodwill on the condensed consolidated balance sheets. The opening deferred tax liability subsequently resulted in an increase in benefit from income taxes on the consolidated statements of operations through the period ending March 31, 2022.</w:t>
      </w:r>
    </w:p>
    <w:p>
      <w:pPr>
        <w:pStyle w:val="TextBody"/>
        <w:bidi w:val="0"/>
        <w:spacing w:before="120" w:after="0"/>
        <w:jc w:val="left"/>
        <w:rPr>
          <w:rFonts w:ascii="Times New Roman" w:hAnsi="Times New Roman"/>
          <w:b w:val="false"/>
          <w:i/>
          <w:sz w:val="19"/>
        </w:rPr>
      </w:pPr>
      <w:r>
        <w:rPr>
          <w:rFonts w:ascii="Times New Roman" w:hAnsi="Times New Roman"/>
          <w:b w:val="false"/>
          <w:i/>
          <w:sz w:val="19"/>
        </w:rPr>
        <w:t>d)</w:t>
      </w:r>
    </w:p>
    <w:p>
      <w:pPr>
        <w:pStyle w:val="TextBody"/>
        <w:bidi w:val="0"/>
        <w:spacing w:before="120" w:after="0"/>
        <w:jc w:val="left"/>
        <w:rPr>
          <w:rFonts w:ascii="Times New Roman;serif" w:hAnsi="Times New Roman;serif"/>
          <w:sz w:val="24"/>
        </w:rPr>
      </w:pPr>
      <w:r>
        <w:rPr>
          <w:rFonts w:ascii="Times New Roman;serif" w:hAnsi="Times New Roman;serif"/>
          <w:b w:val="false"/>
          <w:i/>
          <w:sz w:val="19"/>
        </w:rPr>
        <w:t>Related Impact on Noncontrolling Interests</w:t>
      </w:r>
      <w:r>
        <w:rPr>
          <w:rFonts w:ascii="Times New Roman;serif" w:hAnsi="Times New Roman;serif"/>
          <w:sz w:val="24"/>
        </w:rPr>
        <w:t xml:space="preserve"> – </w:t>
      </w:r>
      <w:r>
        <w:rPr>
          <w:rFonts w:ascii="Times New Roman;serif" w:hAnsi="Times New Roman;serif"/>
          <w:b w:val="false"/>
          <w:sz w:val="19"/>
        </w:rPr>
        <w:t>Any impact on noncontrolling interests resulting from the allocation of net loss due to the corrections in (a) and (c) above is reflected as (i) a change in the net loss attributable to noncontrolling interests on the condensed consolidated statements of operations, and (ii) a change in noncontrolling interests on the condensed consolidated balance sheets.</w:t>
      </w:r>
    </w:p>
    <w:p>
      <w:pPr>
        <w:pStyle w:val="TextBody"/>
        <w:bidi w:val="0"/>
        <w:spacing w:before="120" w:after="0"/>
        <w:jc w:val="left"/>
        <w:rPr>
          <w:rFonts w:ascii="Times New Roman" w:hAnsi="Times New Roman"/>
          <w:b w:val="false"/>
          <w:i/>
          <w:sz w:val="19"/>
        </w:rPr>
      </w:pPr>
      <w:r>
        <w:rPr>
          <w:rFonts w:ascii="Times New Roman" w:hAnsi="Times New Roman"/>
          <w:b w:val="false"/>
          <w:i/>
          <w:sz w:val="19"/>
        </w:rPr>
        <w:t>e)</w:t>
      </w:r>
    </w:p>
    <w:p>
      <w:pPr>
        <w:pStyle w:val="TextBody"/>
        <w:bidi w:val="0"/>
        <w:spacing w:before="120" w:after="283"/>
        <w:jc w:val="left"/>
        <w:rPr>
          <w:rFonts w:ascii="Times New Roman;serif" w:hAnsi="Times New Roman;serif"/>
          <w:sz w:val="24"/>
        </w:rPr>
      </w:pPr>
      <w:r>
        <w:rPr>
          <w:rFonts w:ascii="Times New Roman;serif" w:hAnsi="Times New Roman;serif"/>
          <w:b w:val="false"/>
          <w:i/>
          <w:sz w:val="19"/>
        </w:rPr>
        <w:t xml:space="preserve">Currency Translation Adjustments – </w:t>
      </w:r>
      <w:r>
        <w:rPr>
          <w:rFonts w:ascii="Times New Roman;serif" w:hAnsi="Times New Roman;serif"/>
          <w:b w:val="false"/>
          <w:sz w:val="19"/>
        </w:rPr>
        <w:t>The Company made currency translation adjustments of $0.3</w:t>
      </w:r>
      <w:r>
        <w:rPr>
          <w:rFonts w:ascii="Times New Roman;serif" w:hAnsi="Times New Roman;serif"/>
          <w:sz w:val="24"/>
        </w:rPr>
        <w:t xml:space="preserve"> </w:t>
      </w:r>
      <w:r>
        <w:rPr>
          <w:rFonts w:ascii="Times New Roman;serif" w:hAnsi="Times New Roman;serif"/>
          <w:b w:val="false"/>
          <w:sz w:val="19"/>
        </w:rPr>
        <w:t>million between certain long-lived assets and total equity on the condensed consolidated balance sheets as of June 30,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line items affected in the consolidated statements of operations for each respective period: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937"/>
        <w:gridCol w:w="146"/>
        <w:gridCol w:w="736"/>
        <w:gridCol w:w="1477"/>
        <w:gridCol w:w="246"/>
        <w:gridCol w:w="146"/>
        <w:gridCol w:w="351"/>
        <w:gridCol w:w="952"/>
        <w:gridCol w:w="214"/>
      </w:tblGrid>
      <w:tr>
        <w:trPr/>
        <w:tc>
          <w:tcPr>
            <w:tcW w:w="5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937"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22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 2022</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3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general and administrative expense (a)</w:t>
            </w:r>
          </w:p>
        </w:tc>
        <w:tc>
          <w:tcPr>
            <w:tcW w:w="146" w:type="dxa"/>
            <w:tcBorders/>
            <w:vAlign w:val="center"/>
          </w:tcPr>
          <w:p>
            <w:pPr>
              <w:pStyle w:val="TableContents"/>
              <w:bidi w:val="0"/>
              <w:spacing w:before="0" w:after="0"/>
              <w:ind w:left="100" w:right="0" w:hanging="0"/>
              <w:jc w:val="left"/>
              <w:rPr/>
            </w:pPr>
            <w:r>
              <w:rPr/>
              <w:t> </w:t>
            </w:r>
          </w:p>
        </w:tc>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w:t>
            </w:r>
          </w:p>
        </w:tc>
        <w:tc>
          <w:tcPr>
            <w:tcW w:w="214" w:type="dxa"/>
            <w:tcBorders/>
            <w:vAlign w:val="center"/>
          </w:tcPr>
          <w:p>
            <w:pPr>
              <w:pStyle w:val="TableContents"/>
              <w:bidi w:val="0"/>
              <w:spacing w:before="0" w:after="0"/>
              <w:ind w:left="0" w:right="0" w:hanging="0"/>
              <w:jc w:val="left"/>
              <w:rPr/>
            </w:pPr>
            <w:r>
              <w:rPr/>
              <w:t> </w:t>
            </w:r>
          </w:p>
        </w:tc>
      </w:tr>
      <w:tr>
        <w:trPr/>
        <w:tc>
          <w:tcPr>
            <w:tcW w:w="593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gain on remeasurement of TRA liability (other income) (b)</w:t>
            </w:r>
          </w:p>
        </w:tc>
        <w:tc>
          <w:tcPr>
            <w:tcW w:w="146" w:type="dxa"/>
            <w:tcBorders/>
            <w:vAlign w:val="center"/>
          </w:tcPr>
          <w:p>
            <w:pPr>
              <w:pStyle w:val="TableContents"/>
              <w:bidi w:val="0"/>
              <w:spacing w:before="0" w:after="0"/>
              <w:ind w:left="10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51"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214" w:type="dxa"/>
            <w:tcBorders/>
            <w:vAlign w:val="center"/>
          </w:tcPr>
          <w:p>
            <w:pPr>
              <w:pStyle w:val="TableContents"/>
              <w:bidi w:val="0"/>
              <w:spacing w:before="0" w:after="0"/>
              <w:ind w:left="0" w:right="0" w:hanging="0"/>
              <w:jc w:val="left"/>
              <w:rPr/>
            </w:pPr>
            <w:r>
              <w:rPr/>
              <w:t> </w:t>
            </w:r>
          </w:p>
        </w:tc>
      </w:tr>
      <w:tr>
        <w:trPr/>
        <w:tc>
          <w:tcPr>
            <w:tcW w:w="593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benefit from income taxes (c)</w:t>
            </w:r>
          </w:p>
        </w:tc>
        <w:tc>
          <w:tcPr>
            <w:tcW w:w="146" w:type="dxa"/>
            <w:tcBorders/>
            <w:vAlign w:val="center"/>
          </w:tcPr>
          <w:p>
            <w:pPr>
              <w:pStyle w:val="TableContents"/>
              <w:bidi w:val="0"/>
              <w:spacing w:before="0" w:after="0"/>
              <w:ind w:left="10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7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51"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214" w:type="dxa"/>
            <w:tcBorders/>
            <w:vAlign w:val="center"/>
          </w:tcPr>
          <w:p>
            <w:pPr>
              <w:pStyle w:val="TableContents"/>
              <w:bidi w:val="0"/>
              <w:spacing w:before="0" w:after="0"/>
              <w:ind w:left="0" w:right="0" w:hanging="0"/>
              <w:jc w:val="left"/>
              <w:rPr/>
            </w:pPr>
            <w:r>
              <w:rPr/>
              <w:t> </w:t>
            </w:r>
          </w:p>
        </w:tc>
      </w:tr>
      <w:tr>
        <w:trPr/>
        <w:tc>
          <w:tcPr>
            <w:tcW w:w="593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due to restatement items</w:t>
            </w:r>
          </w:p>
        </w:tc>
        <w:tc>
          <w:tcPr>
            <w:tcW w:w="146" w:type="dxa"/>
            <w:tcBorders/>
            <w:vAlign w:val="center"/>
          </w:tcPr>
          <w:p>
            <w:pPr>
              <w:pStyle w:val="TableContents"/>
              <w:bidi w:val="0"/>
              <w:spacing w:before="0" w:after="0"/>
              <w:ind w:left="10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51"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214" w:type="dxa"/>
            <w:tcBorders/>
            <w:vAlign w:val="center"/>
          </w:tcPr>
          <w:p>
            <w:pPr>
              <w:pStyle w:val="TableContents"/>
              <w:bidi w:val="0"/>
              <w:spacing w:before="0" w:after="0"/>
              <w:ind w:left="0" w:right="0" w:hanging="0"/>
              <w:jc w:val="left"/>
              <w:rPr/>
            </w:pPr>
            <w:r>
              <w:rPr/>
              <w:t> </w:t>
            </w:r>
          </w:p>
        </w:tc>
      </w:tr>
      <w:tr>
        <w:trPr/>
        <w:tc>
          <w:tcPr>
            <w:tcW w:w="593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noncontrolling interests due to restatement items (d)</w:t>
            </w:r>
          </w:p>
        </w:tc>
        <w:tc>
          <w:tcPr>
            <w:tcW w:w="146" w:type="dxa"/>
            <w:tcBorders/>
            <w:vAlign w:val="center"/>
          </w:tcPr>
          <w:p>
            <w:pPr>
              <w:pStyle w:val="TableContents"/>
              <w:bidi w:val="0"/>
              <w:spacing w:before="0" w:after="0"/>
              <w:ind w:left="10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51"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w:t>
            </w:r>
          </w:p>
        </w:tc>
        <w:tc>
          <w:tcPr>
            <w:tcW w:w="214" w:type="dxa"/>
            <w:tcBorders/>
            <w:vAlign w:val="center"/>
          </w:tcPr>
          <w:p>
            <w:pPr>
              <w:pStyle w:val="TableContents"/>
              <w:bidi w:val="0"/>
              <w:spacing w:before="0" w:after="0"/>
              <w:ind w:left="0" w:right="0" w:hanging="0"/>
              <w:jc w:val="left"/>
              <w:rPr/>
            </w:pPr>
            <w:r>
              <w:rPr/>
              <w:t> </w:t>
            </w:r>
          </w:p>
        </w:tc>
      </w:tr>
      <w:tr>
        <w:trPr/>
        <w:tc>
          <w:tcPr>
            <w:tcW w:w="593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Definitive Healthcare Corp. due to restatement items</w:t>
            </w:r>
          </w:p>
        </w:tc>
        <w:tc>
          <w:tcPr>
            <w:tcW w:w="146" w:type="dxa"/>
            <w:tcBorders/>
            <w:vAlign w:val="center"/>
          </w:tcPr>
          <w:p>
            <w:pPr>
              <w:pStyle w:val="TableContents"/>
              <w:bidi w:val="0"/>
              <w:spacing w:before="0" w:after="0"/>
              <w:ind w:left="10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51"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214" w:type="dxa"/>
            <w:tcBorders/>
            <w:vAlign w:val="center"/>
          </w:tcPr>
          <w:p>
            <w:pPr>
              <w:pStyle w:val="TableContents"/>
              <w:bidi w:val="0"/>
              <w:spacing w:before="0" w:after="0"/>
              <w:ind w:left="0" w:right="0" w:firstLine="20"/>
              <w:jc w:val="left"/>
              <w:rPr/>
            </w:pPr>
            <w:r>
              <w:rPr/>
              <w:t> </w:t>
            </w:r>
          </w:p>
        </w:tc>
      </w:tr>
      <w:tr>
        <w:trPr/>
        <w:tc>
          <w:tcPr>
            <w:tcW w:w="5937" w:type="dxa"/>
            <w:tcBorders/>
            <w:vAlign w:val="center"/>
          </w:tcPr>
          <w:p>
            <w:pPr>
              <w:pStyle w:val="TableContents"/>
              <w:bidi w:val="0"/>
              <w:spacing w:before="0" w:after="0"/>
              <w:ind w:left="2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13"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3" w:type="dxa"/>
            <w:gridSpan w:val="2"/>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 </w:t>
            </w:r>
          </w:p>
        </w:tc>
      </w:tr>
      <w:tr>
        <w:trPr/>
        <w:tc>
          <w:tcPr>
            <w:tcW w:w="9991" w:type="dxa"/>
            <w:gridSpan w:val="8"/>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See footnote descriptions above</w:t>
              <w:br/>
              <w:t>        (a) Sales Tax</w:t>
              <w:br/>
              <w:t xml:space="preserve">        (b) Related Impact on TRA </w:t>
              <w:br/>
              <w:t>        (c) Purchase Price Allocation Misstatement</w:t>
              <w:br/>
              <w:t>        (d) Related Impact on Noncontrolling Interests</w:t>
            </w:r>
          </w:p>
        </w:tc>
        <w:tc>
          <w:tcPr>
            <w:tcW w:w="21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47"/>
        <w:gridCol w:w="246"/>
        <w:gridCol w:w="236"/>
        <w:gridCol w:w="1159"/>
        <w:gridCol w:w="266"/>
        <w:gridCol w:w="246"/>
        <w:gridCol w:w="211"/>
        <w:gridCol w:w="1036"/>
        <w:gridCol w:w="266"/>
        <w:gridCol w:w="246"/>
        <w:gridCol w:w="236"/>
        <w:gridCol w:w="1159"/>
        <w:gridCol w:w="266"/>
        <w:gridCol w:w="246"/>
        <w:gridCol w:w="211"/>
        <w:gridCol w:w="1036"/>
        <w:gridCol w:w="792"/>
      </w:tblGrid>
      <w:tr>
        <w:trPr/>
        <w:tc>
          <w:tcPr>
            <w:tcW w:w="23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347"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31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31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share amounts and per share data)</w:t>
            </w:r>
          </w:p>
        </w:tc>
        <w:tc>
          <w:tcPr>
            <w:tcW w:w="246" w:type="dxa"/>
            <w:tcBorders/>
            <w:vAlign w:val="center"/>
          </w:tcPr>
          <w:p>
            <w:pPr>
              <w:pStyle w:val="TableContents"/>
              <w:bidi w:val="0"/>
              <w:spacing w:before="0" w:after="0"/>
              <w:ind w:left="0" w:right="0" w:hanging="0"/>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104,672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104,672</w:t>
            </w:r>
          </w:p>
        </w:tc>
        <w:tc>
          <w:tcPr>
            <w:tcW w:w="792"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12,148</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10,958</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81,566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81,566</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44,878</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15,556</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19,846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21,091</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20,068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20,068</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53,984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54,648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103,765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105,010</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(22,199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(23,444</w:t>
            </w:r>
          </w:p>
        </w:tc>
        <w:tc>
          <w:tcPr>
            <w:tcW w:w="7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income</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(4,714</w:t>
            </w:r>
          </w:p>
        </w:tc>
        <w:tc>
          <w:tcPr>
            <w:tcW w:w="79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expense, net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4,088</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expense, net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(22,762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(23,820</w:t>
            </w:r>
          </w:p>
        </w:tc>
        <w:tc>
          <w:tcPr>
            <w:tcW w:w="79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Benefit from income taxes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(9,114</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(13,774</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(14,067</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4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4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Basic and diluted </w:t>
            </w:r>
            <w:r>
              <w:rPr>
                <w:rFonts w:ascii="Times New Roman;serif" w:hAnsi="Times New Roman;serif"/>
                <w:b w:val="false"/>
                <w:sz w:val="13"/>
              </w:rPr>
              <w:t>(1)</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99,203,697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99,203,697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98,186,909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98,186,909</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line items affected in the condensed consolidated balance sheets for June 30, 2022:</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403"/>
        <w:gridCol w:w="146"/>
        <w:gridCol w:w="307"/>
        <w:gridCol w:w="1358"/>
        <w:gridCol w:w="266"/>
        <w:gridCol w:w="146"/>
        <w:gridCol w:w="453"/>
        <w:gridCol w:w="1359"/>
        <w:gridCol w:w="266"/>
        <w:gridCol w:w="146"/>
        <w:gridCol w:w="211"/>
        <w:gridCol w:w="931"/>
        <w:gridCol w:w="213"/>
      </w:tblGrid>
      <w:tr>
        <w:trPr/>
        <w:tc>
          <w:tcPr>
            <w:tcW w:w="4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Restatement Adjustments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4,696</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10,476</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372,196</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372,015</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1,322,959</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1,324,590</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2,122,855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2,124,165</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21,254</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119,188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125,760</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154,900</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634,155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639,727</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929,842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928,047</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(31,451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(31,907</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Noncontrolling interests</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588,215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586,525</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1,488,700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1,484,438</w:t>
            </w:r>
          </w:p>
        </w:tc>
        <w:tc>
          <w:tcPr>
            <w:tcW w:w="213" w:type="dxa"/>
            <w:tcBorders/>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146" w:type="dxa"/>
            <w:tcBorders/>
            <w:vAlign w:val="center"/>
          </w:tcPr>
          <w:p>
            <w:pPr>
              <w:pStyle w:val="TableContents"/>
              <w:bidi w:val="0"/>
              <w:spacing w:before="0" w:after="0"/>
              <w:ind w:left="1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2,122,855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5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2,124,165</w:t>
            </w:r>
          </w:p>
        </w:tc>
        <w:tc>
          <w:tcPr>
            <w:tcW w:w="213"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line items affected in the condensed consolidated statements of changes in total equity for June 30, 2022:</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212"/>
        <w:gridCol w:w="146"/>
        <w:gridCol w:w="247"/>
        <w:gridCol w:w="917"/>
        <w:gridCol w:w="266"/>
        <w:gridCol w:w="146"/>
        <w:gridCol w:w="437"/>
        <w:gridCol w:w="990"/>
        <w:gridCol w:w="266"/>
        <w:gridCol w:w="146"/>
        <w:gridCol w:w="234"/>
        <w:gridCol w:w="817"/>
        <w:gridCol w:w="266"/>
        <w:gridCol w:w="146"/>
        <w:gridCol w:w="255"/>
        <w:gridCol w:w="946"/>
        <w:gridCol w:w="266"/>
        <w:gridCol w:w="146"/>
        <w:gridCol w:w="211"/>
        <w:gridCol w:w="931"/>
        <w:gridCol w:w="214"/>
      </w:tblGrid>
      <w:tr>
        <w:trPr/>
        <w:tc>
          <w:tcPr>
            <w:tcW w:w="2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6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 Paid-In</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4" w:type="dxa"/>
            <w:tcBorders/>
            <w:vAlign w:val="center"/>
          </w:tcPr>
          <w:p>
            <w:pPr>
              <w:pStyle w:val="TableContents"/>
              <w:bidi w:val="0"/>
              <w:spacing w:before="0" w:after="0"/>
              <w:ind w:left="0" w:right="0" w:hanging="0"/>
              <w:jc w:val="center"/>
              <w:rPr/>
            </w:pPr>
            <w:r>
              <w:rPr/>
              <w:t> </w:t>
            </w:r>
          </w:p>
        </w:tc>
      </w:tr>
      <w:tr>
        <w:trPr/>
        <w:tc>
          <w:tcPr>
            <w:tcW w:w="2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 Income</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146" w:type="dxa"/>
            <w:tcBorders/>
            <w:vAlign w:val="center"/>
          </w:tcPr>
          <w:p>
            <w:pPr>
              <w:pStyle w:val="TableContents"/>
              <w:bidi w:val="0"/>
              <w:spacing w:before="0" w:after="0"/>
              <w:ind w:left="100" w:right="0" w:hanging="0"/>
              <w:jc w:val="righ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929,842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(31,451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588,215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1,488,700</w:t>
            </w:r>
          </w:p>
        </w:tc>
        <w:tc>
          <w:tcPr>
            <w:tcW w:w="214" w:type="dxa"/>
            <w:tcBorders/>
            <w:vAlign w:val="center"/>
          </w:tcPr>
          <w:p>
            <w:pPr>
              <w:pStyle w:val="TableContents"/>
              <w:bidi w:val="0"/>
              <w:spacing w:before="0" w:after="0"/>
              <w:ind w:left="0" w:right="0" w:hanging="0"/>
              <w:jc w:val="left"/>
              <w:rPr/>
            </w:pPr>
            <w:r>
              <w:rPr/>
              <w:t> </w:t>
            </w:r>
          </w:p>
        </w:tc>
      </w:tr>
      <w:tr>
        <w:trPr/>
        <w:tc>
          <w:tcPr>
            <w:tcW w:w="22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146" w:type="dxa"/>
            <w:tcBorders/>
            <w:vAlign w:val="center"/>
          </w:tcPr>
          <w:p>
            <w:pPr>
              <w:pStyle w:val="TableContents"/>
              <w:bidi w:val="0"/>
              <w:spacing w:before="0" w:after="0"/>
              <w:ind w:left="100" w:right="0" w:hanging="0"/>
              <w:jc w:val="righ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(4,262</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146" w:type="dxa"/>
            <w:tcBorders/>
            <w:vAlign w:val="center"/>
          </w:tcPr>
          <w:p>
            <w:pPr>
              <w:pStyle w:val="TableContents"/>
              <w:bidi w:val="0"/>
              <w:spacing w:before="0" w:after="0"/>
              <w:ind w:left="100" w:right="0" w:hanging="0"/>
              <w:jc w:val="righ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928,047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4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(31,907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586,525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1,484,438</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did not present tables for quarterly adjustments within the consolidated statements of cash flows since all of the foregoing adjustments only affected financial statement line items within cash flows from operating activities. The adjustments did not affect total cash flows from operating activities, financing activities, or investing activities for any period presented.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2. Acquisitions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December 22, 2021, Definitive Healthcare, LLC (“DH, LLC”), an indirect wholly owned subsidiary of Definitive Healthcare Corp. made a $40.0</w:t>
      </w:r>
      <w:r>
        <w:rPr>
          <w:rFonts w:ascii="Times New Roman" w:hAnsi="Times New Roman"/>
          <w:sz w:val="20"/>
        </w:rPr>
        <w:t xml:space="preserve"> </w:t>
      </w:r>
      <w:r>
        <w:rPr>
          <w:rFonts w:ascii="Times New Roman;serif" w:hAnsi="Times New Roman;serif"/>
          <w:b w:val="false"/>
          <w:sz w:val="20"/>
        </w:rPr>
        <w:t>million investment in Analytical Wizards Inc. (“AW” or “Analytical Wizards”), a privately held company. Analytical Wizards automates complex analytic models using tools that expedite efficient big data mining through artificial intelligence and machine learning to uncover deep insights. In the transaction the Company purchased Series B Convertible Preferred Stock of AW (“Series B Preferred Stock”), representing 35% ownership of AW, and an option to acquire the remaining 65% ownership (the "Purchase Option") for $65.0</w:t>
      </w:r>
      <w:r>
        <w:rPr>
          <w:rFonts w:ascii="Times New Roman" w:hAnsi="Times New Roman"/>
          <w:sz w:val="20"/>
        </w:rPr>
        <w:t xml:space="preserve"> </w:t>
      </w:r>
      <w:r>
        <w:rPr>
          <w:rFonts w:ascii="Times New Roman;serif" w:hAnsi="Times New Roman;serif"/>
          <w:b w:val="false"/>
          <w:sz w:val="20"/>
        </w:rPr>
        <w:t>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w:t>
      </w:r>
      <w:r>
        <w:rPr>
          <w:rFonts w:ascii="Times New Roman" w:hAnsi="Times New Roman"/>
          <w:sz w:val="20"/>
        </w:rPr>
        <w:t xml:space="preserve"> </w:t>
      </w:r>
      <w:r>
        <w:rPr>
          <w:rFonts w:ascii="Times New Roman;serif" w:hAnsi="Times New Roman;serif"/>
          <w:b w:val="false"/>
          <w:sz w:val="20"/>
        </w:rPr>
        <w:t>million for the Series B Preferred Stock and Purchase Option, which was allocated on a relative fair value basis such that the Series B Preferred Stock and Purchase Option had carrying values of $32.7</w:t>
      </w:r>
      <w:r>
        <w:rPr>
          <w:rFonts w:ascii="Times New Roman" w:hAnsi="Times New Roman"/>
          <w:sz w:val="20"/>
        </w:rPr>
        <w:t xml:space="preserve"> </w:t>
      </w:r>
      <w:r>
        <w:rPr>
          <w:rFonts w:ascii="Times New Roman;serif" w:hAnsi="Times New Roman;serif"/>
          <w:b w:val="false"/>
          <w:sz w:val="20"/>
        </w:rPr>
        <w:t>million and $7.3</w:t>
      </w:r>
      <w:r>
        <w:rPr>
          <w:rFonts w:ascii="Times New Roman" w:hAnsi="Times New Roman"/>
          <w:sz w:val="20"/>
        </w:rPr>
        <w:t xml:space="preserve"> </w:t>
      </w:r>
      <w:r>
        <w:rPr>
          <w:rFonts w:ascii="Times New Roman;serif" w:hAnsi="Times New Roman;serif"/>
          <w:b w:val="false"/>
          <w:sz w:val="20"/>
        </w:rPr>
        <w:t>million at the time of the transaction, respectively. The Series B Preferred Stock was recorded in Investments in equity securities and the Purchase Option was recorded in Other assets in the accompanying condensed consolidated balance sheet as of December 31, 2021.</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2022, the Company completed the purchase the remaining 65% of AW’s equity for $65.0</w:t>
      </w:r>
      <w:r>
        <w:rPr>
          <w:rFonts w:ascii="Times New Roman" w:hAnsi="Times New Roman"/>
          <w:sz w:val="20"/>
        </w:rPr>
        <w:t xml:space="preserve"> </w:t>
      </w:r>
      <w:r>
        <w:rPr>
          <w:rFonts w:ascii="Times New Roman;serif" w:hAnsi="Times New Roman;serif"/>
          <w:b w:val="false"/>
          <w:sz w:val="20"/>
        </w:rPr>
        <w:t>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condensed consolidated statements of operations for the three months ended March 31, 2022. The Company has included the financial results of Analytical Wizards in the condensed consolidated financial statements from February 18, 2022, the date of acquisition.</w:t>
      </w:r>
    </w:p>
    <w:p>
      <w:pPr>
        <w:pStyle w:val="TextBody"/>
        <w:bidi w:val="0"/>
        <w:spacing w:before="120" w:after="0"/>
        <w:jc w:val="left"/>
        <w:rPr>
          <w:rFonts w:ascii="Times New Roman" w:hAnsi="Times New Roman"/>
          <w:sz w:val="20"/>
        </w:rPr>
      </w:pPr>
      <w:r>
        <w:rPr>
          <w:rFonts w:ascii="Times New Roman;serif" w:hAnsi="Times New Roman;serif"/>
          <w:b w:val="false"/>
          <w:sz w:val="20"/>
        </w:rPr>
        <w:t>Upon the consummation of the acquisition, AW became an indirect wholly owned subsidiary of Definitive Healthcare Corp. The total consideration for the initial investment and subsequent exercise of the Purchase Option was $99.4</w:t>
      </w:r>
      <w:r>
        <w:rPr>
          <w:rFonts w:ascii="Times New Roman" w:hAnsi="Times New Roman"/>
          <w:sz w:val="20"/>
        </w:rPr>
        <w:t xml:space="preserve"> </w:t>
      </w:r>
      <w:r>
        <w:rPr>
          <w:rFonts w:ascii="Times New Roman;serif" w:hAnsi="Times New Roman;serif"/>
          <w:b w:val="false"/>
          <w:sz w:val="20"/>
        </w:rPr>
        <w:t>million, consisting of $40.0</w:t>
      </w:r>
      <w:r>
        <w:rPr>
          <w:rFonts w:ascii="Times New Roman" w:hAnsi="Times New Roman"/>
          <w:sz w:val="20"/>
        </w:rPr>
        <w:t xml:space="preserve"> </w:t>
      </w:r>
      <w:r>
        <w:rPr>
          <w:rFonts w:ascii="Times New Roman;serif" w:hAnsi="Times New Roman;serif"/>
          <w:b w:val="false"/>
          <w:sz w:val="20"/>
        </w:rPr>
        <w:t>million for the initial investment paid in December 2021, approximately $58.6</w:t>
      </w:r>
      <w:r>
        <w:rPr>
          <w:rFonts w:ascii="Times New Roman" w:hAnsi="Times New Roman"/>
          <w:sz w:val="20"/>
        </w:rPr>
        <w:t xml:space="preserve"> </w:t>
      </w:r>
      <w:r>
        <w:rPr>
          <w:rFonts w:ascii="Times New Roman;serif" w:hAnsi="Times New Roman;serif"/>
          <w:b w:val="false"/>
          <w:sz w:val="20"/>
        </w:rPr>
        <w:t>million of cash paid at closing, $0.2</w:t>
      </w:r>
      <w:r>
        <w:rPr>
          <w:rFonts w:ascii="Times New Roman" w:hAnsi="Times New Roman"/>
          <w:sz w:val="20"/>
        </w:rPr>
        <w:t xml:space="preserve"> </w:t>
      </w:r>
      <w:r>
        <w:rPr>
          <w:rFonts w:ascii="Times New Roman;serif" w:hAnsi="Times New Roman;serif"/>
          <w:b w:val="false"/>
          <w:sz w:val="20"/>
        </w:rPr>
        <w:t>million reimbursement from sellers for working capital adjustments, and up to $5.0</w:t>
      </w:r>
      <w:r>
        <w:rPr>
          <w:rFonts w:ascii="Times New Roman" w:hAnsi="Times New Roman"/>
          <w:sz w:val="20"/>
        </w:rPr>
        <w:t xml:space="preserve"> </w:t>
      </w:r>
      <w:r>
        <w:rPr>
          <w:rFonts w:ascii="Times New Roman;serif" w:hAnsi="Times New Roman;serif"/>
          <w:b w:val="false"/>
          <w:sz w:val="20"/>
        </w:rPr>
        <w:t>million of contingent consideration, initially valued at $1.0</w:t>
      </w:r>
      <w:r>
        <w:rPr>
          <w:rFonts w:ascii="Times New Roman" w:hAnsi="Times New Roman"/>
          <w:sz w:val="20"/>
        </w:rPr>
        <w:t xml:space="preserve"> </w:t>
      </w:r>
      <w:r>
        <w:rPr>
          <w:rFonts w:ascii="Times New Roman;serif" w:hAnsi="Times New Roman;serif"/>
          <w:b w:val="false"/>
          <w:sz w:val="20"/>
        </w:rPr>
        <w:t>million. The contingent consideration, which relates to earn-out payments that may be paid out, subject to meeting certain expense control metrics during the two-year period following the closing of the AW acquisition, has an estimated fair value of $1.0</w:t>
      </w:r>
      <w:r>
        <w:rPr>
          <w:rFonts w:ascii="Times New Roman" w:hAnsi="Times New Roman"/>
          <w:sz w:val="20"/>
        </w:rPr>
        <w:t xml:space="preserve"> </w:t>
      </w:r>
      <w:r>
        <w:rPr>
          <w:rFonts w:ascii="Times New Roman;serif" w:hAnsi="Times New Roman;serif"/>
          <w:b w:val="false"/>
          <w:sz w:val="20"/>
        </w:rPr>
        <w:t>million as of the acquisition date. Pursuant to the Stock Purchase Agreement governing the AW acquisition, $10.0</w:t>
      </w:r>
      <w:r>
        <w:rPr>
          <w:rFonts w:ascii="Times New Roman" w:hAnsi="Times New Roman"/>
          <w:sz w:val="20"/>
        </w:rPr>
        <w:t xml:space="preserve"> </w:t>
      </w:r>
      <w:r>
        <w:rPr>
          <w:rFonts w:ascii="Times New Roman;serif" w:hAnsi="Times New Roman;serif"/>
          <w:b w:val="false"/>
          <w:sz w:val="20"/>
        </w:rPr>
        <w:t>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condensed consolidated results as of the acquisition date.</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consideration transferred for the transaction is summarized as follows:</w:t>
      </w:r>
    </w:p>
    <w:p>
      <w:pPr>
        <w:pStyle w:val="TextBody"/>
        <w:bidi w:val="0"/>
        <w:spacing w:before="0" w:after="0"/>
        <w:jc w:val="left"/>
        <w:rPr/>
      </w:pPr>
      <w:r>
        <w:rPr/>
        <w:t> </w:t>
      </w:r>
    </w:p>
    <w:tbl>
      <w:tblPr>
        <w:tblW w:w="5220" w:type="dxa"/>
        <w:jc w:val="left"/>
        <w:tblInd w:w="0" w:type="dxa"/>
        <w:tblLayout w:type="fixed"/>
        <w:tblCellMar>
          <w:top w:w="28" w:type="dxa"/>
          <w:left w:w="28" w:type="dxa"/>
          <w:bottom w:w="28" w:type="dxa"/>
          <w:right w:w="28" w:type="dxa"/>
        </w:tblCellMar>
      </w:tblPr>
      <w:tblGrid>
        <w:gridCol w:w="3596"/>
        <w:gridCol w:w="146"/>
        <w:gridCol w:w="211"/>
        <w:gridCol w:w="676"/>
        <w:gridCol w:w="5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5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Initial cash investment in December 2021</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591" w:type="dxa"/>
            <w:tcBorders/>
            <w:vAlign w:val="center"/>
          </w:tcPr>
          <w:p>
            <w:pPr>
              <w:pStyle w:val="TableContents"/>
              <w:bidi w:val="0"/>
              <w:spacing w:before="0" w:after="0"/>
              <w:ind w:left="0" w:right="0" w:hanging="0"/>
              <w:jc w:val="left"/>
              <w:rPr/>
            </w:pPr>
            <w:r>
              <w:rPr/>
              <w:t> </w:t>
            </w:r>
          </w:p>
        </w:tc>
      </w:tr>
      <w:tr>
        <w:trPr/>
        <w:tc>
          <w:tcPr>
            <w:tcW w:w="35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consideration paid at closing</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58,645</w:t>
            </w:r>
          </w:p>
        </w:tc>
        <w:tc>
          <w:tcPr>
            <w:tcW w:w="591" w:type="dxa"/>
            <w:tcBorders/>
            <w:vAlign w:val="center"/>
          </w:tcPr>
          <w:p>
            <w:pPr>
              <w:pStyle w:val="TableContents"/>
              <w:bidi w:val="0"/>
              <w:spacing w:before="0" w:after="0"/>
              <w:ind w:left="0" w:right="0" w:hanging="0"/>
              <w:jc w:val="left"/>
              <w:rPr/>
            </w:pPr>
            <w:r>
              <w:rPr/>
              <w:t> </w:t>
            </w:r>
          </w:p>
        </w:tc>
      </w:tr>
      <w:tr>
        <w:trPr/>
        <w:tc>
          <w:tcPr>
            <w:tcW w:w="35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Working capital adjustment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9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Purchase price</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99,443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contingent consideration was based on the achievement of certain expense control metrics during the two-year period following the acquisition date, with potential earn-out payouts ranging from $0</w:t>
      </w:r>
      <w:r>
        <w:rPr>
          <w:rFonts w:ascii="Times New Roman" w:hAnsi="Times New Roman"/>
          <w:sz w:val="20"/>
        </w:rPr>
        <w:t xml:space="preserve"> </w:t>
      </w:r>
      <w:r>
        <w:rPr>
          <w:rFonts w:ascii="Times New Roman;serif" w:hAnsi="Times New Roman;serif"/>
          <w:b w:val="false"/>
          <w:sz w:val="20"/>
        </w:rPr>
        <w:t>to $5.0</w:t>
      </w:r>
      <w:r>
        <w:rPr>
          <w:rFonts w:ascii="Times New Roman" w:hAnsi="Times New Roman"/>
          <w:sz w:val="20"/>
        </w:rPr>
        <w:t xml:space="preserve"> </w:t>
      </w:r>
      <w:r>
        <w:rPr>
          <w:rFonts w:ascii="Times New Roman;serif" w:hAnsi="Times New Roman;serif"/>
          <w:b w:val="false"/>
          <w:sz w:val="20"/>
        </w:rPr>
        <w:t>million. The Company estimated the fair value of the contingent consideration to be $1.0</w:t>
      </w:r>
      <w:r>
        <w:rPr>
          <w:rFonts w:ascii="Times New Roman" w:hAnsi="Times New Roman"/>
          <w:sz w:val="20"/>
        </w:rPr>
        <w:t xml:space="preserve"> </w:t>
      </w:r>
      <w:r>
        <w:rPr>
          <w:rFonts w:ascii="Times New Roman;serif" w:hAnsi="Times New Roman;serif"/>
          <w:b w:val="false"/>
          <w:sz w:val="20"/>
        </w:rPr>
        <w:t>million as of February 18, 2022, based on the estimated achievement of the expense control metrics and time to payment. The Company estimated the fair value of the contingent consideration to be $2.3</w:t>
      </w:r>
      <w:r>
        <w:rPr>
          <w:rFonts w:ascii="Times New Roman" w:hAnsi="Times New Roman"/>
          <w:sz w:val="20"/>
        </w:rPr>
        <w:t xml:space="preserve"> </w:t>
      </w:r>
      <w:r>
        <w:rPr>
          <w:rFonts w:ascii="Times New Roman;serif" w:hAnsi="Times New Roman;serif"/>
          <w:b w:val="false"/>
          <w:sz w:val="20"/>
        </w:rPr>
        <w:t xml:space="preserve">million at June 30, 2023. The contingent consideration was recorded in accrued expenses and other current liabilities in the accompanying condensed consolidated balance sheet as of June 30, 2023. Refer to Note 11. </w:t>
      </w:r>
      <w:r>
        <w:rPr>
          <w:rFonts w:ascii="Times New Roman;serif" w:hAnsi="Times New Roman;serif"/>
          <w:b w:val="false"/>
          <w:i/>
          <w:sz w:val="20"/>
        </w:rPr>
        <w:t>Fair Value Measurements</w:t>
      </w:r>
      <w:r>
        <w:rPr>
          <w:rFonts w:ascii="Times New Roman;serif" w:hAnsi="Times New Roman;serif"/>
          <w:b w:val="false"/>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finalized the purchase price allocations of the AW acquisition during the first quarter of 2023. Acquisition-date fair values of assets and liabilities pertaining to this business combination have been allocated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416"/>
        <w:gridCol w:w="146"/>
        <w:gridCol w:w="520"/>
        <w:gridCol w:w="1819"/>
        <w:gridCol w:w="166"/>
        <w:gridCol w:w="146"/>
        <w:gridCol w:w="681"/>
        <w:gridCol w:w="1559"/>
        <w:gridCol w:w="166"/>
        <w:gridCol w:w="146"/>
        <w:gridCol w:w="211"/>
        <w:gridCol w:w="736"/>
        <w:gridCol w:w="493"/>
      </w:tblGrid>
      <w:tr>
        <w:trPr/>
        <w:tc>
          <w:tcPr>
            <w:tcW w:w="3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23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Purchase price allocation:</w:t>
            </w:r>
          </w:p>
        </w:tc>
        <w:tc>
          <w:tcPr>
            <w:tcW w:w="146" w:type="dxa"/>
            <w:tcBorders/>
            <w:vAlign w:val="center"/>
          </w:tcPr>
          <w:p>
            <w:pPr>
              <w:pStyle w:val="TableContents"/>
              <w:bidi w:val="0"/>
              <w:spacing w:before="0" w:after="0"/>
              <w:ind w:left="0" w:right="0" w:hanging="0"/>
              <w:jc w:val="left"/>
              <w:rPr/>
            </w:pPr>
            <w:r>
              <w:rPr/>
              <w:t> </w:t>
            </w:r>
          </w:p>
        </w:tc>
        <w:tc>
          <w:tcPr>
            <w:tcW w:w="23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Preliminary, as originally reported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Measurement period adjustments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adjusted</w:t>
            </w:r>
          </w:p>
        </w:tc>
        <w:tc>
          <w:tcPr>
            <w:tcW w:w="4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3,525</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46,000</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Right-of-use asset, operating leases</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(1,028</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Right-of-use liability, operating leases</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taxes</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(10,278</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10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4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 acquired and liabilities assumed</w:t>
            </w:r>
          </w:p>
        </w:tc>
        <w:tc>
          <w:tcPr>
            <w:tcW w:w="146" w:type="dxa"/>
            <w:tcBorders/>
            <w:vAlign w:val="center"/>
          </w:tcPr>
          <w:p>
            <w:pPr>
              <w:pStyle w:val="TableContents"/>
              <w:bidi w:val="0"/>
              <w:spacing w:before="0" w:after="0"/>
              <w:ind w:left="10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8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37,784</w:t>
            </w:r>
          </w:p>
        </w:tc>
        <w:tc>
          <w:tcPr>
            <w:tcW w:w="493" w:type="dxa"/>
            <w:tcBorders/>
            <w:vAlign w:val="center"/>
          </w:tcPr>
          <w:p>
            <w:pPr>
              <w:pStyle w:val="TableContents"/>
              <w:bidi w:val="0"/>
              <w:spacing w:before="0" w:after="0"/>
              <w:ind w:left="0" w:right="0" w:hanging="0"/>
              <w:jc w:val="left"/>
              <w:rPr/>
            </w:pPr>
            <w:r>
              <w:rPr/>
              <w:t> </w:t>
            </w:r>
          </w:p>
        </w:tc>
      </w:tr>
      <w:tr>
        <w:trPr/>
        <w:tc>
          <w:tcPr>
            <w:tcW w:w="3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10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61,659</w:t>
            </w:r>
          </w:p>
        </w:tc>
        <w:tc>
          <w:tcPr>
            <w:tcW w:w="493"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416"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Purchase price</w:t>
            </w:r>
          </w:p>
        </w:tc>
        <w:tc>
          <w:tcPr>
            <w:tcW w:w="146" w:type="dxa"/>
            <w:tcBorders/>
            <w:vAlign w:val="center"/>
          </w:tcPr>
          <w:p>
            <w:pPr>
              <w:pStyle w:val="TableContents"/>
              <w:bidi w:val="0"/>
              <w:spacing w:before="0" w:after="0"/>
              <w:ind w:left="800" w:right="0" w:hanging="0"/>
              <w:jc w:val="left"/>
              <w:rPr/>
            </w:pPr>
            <w:r>
              <w:rPr/>
              <w:t> </w:t>
            </w:r>
          </w:p>
        </w:tc>
        <w:tc>
          <w:tcPr>
            <w:tcW w:w="5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99,443</w:t>
            </w:r>
          </w:p>
        </w:tc>
        <w:tc>
          <w:tcPr>
            <w:tcW w:w="4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As a result of the AW acquisition, the Company recorded goodwill, customer relationships, developed software, and tradename of $61.5</w:t>
      </w:r>
      <w:r>
        <w:rPr>
          <w:rFonts w:ascii="Times New Roman" w:hAnsi="Times New Roman"/>
          <w:sz w:val="20"/>
        </w:rPr>
        <w:t xml:space="preserve"> </w:t>
      </w:r>
      <w:r>
        <w:rPr>
          <w:rFonts w:ascii="Times New Roman;serif" w:hAnsi="Times New Roman;serif"/>
          <w:b w:val="false"/>
          <w:sz w:val="20"/>
        </w:rPr>
        <w:t>million, $39.4</w:t>
      </w:r>
      <w:r>
        <w:rPr>
          <w:rFonts w:ascii="Times New Roman" w:hAnsi="Times New Roman"/>
          <w:sz w:val="20"/>
        </w:rPr>
        <w:t xml:space="preserve"> </w:t>
      </w:r>
      <w:r>
        <w:rPr>
          <w:rFonts w:ascii="Times New Roman;serif" w:hAnsi="Times New Roman;serif"/>
          <w:b w:val="false"/>
          <w:sz w:val="20"/>
        </w:rPr>
        <w:t>million, $6.1</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w:t>
      </w:r>
      <w:r>
        <w:rPr>
          <w:rFonts w:ascii="Times New Roman" w:hAnsi="Times New Roman"/>
          <w:sz w:val="20"/>
        </w:rPr>
        <w:t xml:space="preserve"> </w:t>
      </w:r>
      <w:r>
        <w:rPr>
          <w:rFonts w:ascii="Times New Roman;serif" w:hAnsi="Times New Roman;serif"/>
          <w:b w:val="false"/>
          <w:sz w:val="20"/>
        </w:rPr>
        <w:t>million and is amortized using the annual pattern of cash flows (economic value method) over the estimated 20-year</w:t>
      </w:r>
      <w:r>
        <w:rPr>
          <w:rFonts w:ascii="Times New Roman" w:hAnsi="Times New Roman"/>
          <w:sz w:val="20"/>
        </w:rPr>
        <w:t xml:space="preserve"> </w:t>
      </w:r>
      <w:r>
        <w:rPr>
          <w:rFonts w:ascii="Times New Roman;serif" w:hAnsi="Times New Roman;serif"/>
          <w:b w:val="false"/>
          <w:sz w:val="20"/>
        </w:rPr>
        <w:t>life of this asset.</w:t>
      </w:r>
    </w:p>
    <w:p>
      <w:pPr>
        <w:pStyle w:val="TextBody"/>
        <w:bidi w:val="0"/>
        <w:spacing w:before="120" w:after="0"/>
        <w:jc w:val="left"/>
        <w:rPr>
          <w:rFonts w:ascii="Times New Roman" w:hAnsi="Times New Roman"/>
          <w:sz w:val="20"/>
        </w:rPr>
      </w:pPr>
      <w:r>
        <w:rPr>
          <w:rFonts w:ascii="Times New Roman;serif" w:hAnsi="Times New Roman;serif"/>
          <w:b w:val="false"/>
          <w:sz w:val="20"/>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6 years.</w:t>
      </w:r>
    </w:p>
    <w:p>
      <w:pPr>
        <w:pStyle w:val="TextBody"/>
        <w:bidi w:val="0"/>
        <w:spacing w:before="120" w:after="0"/>
        <w:jc w:val="left"/>
        <w:rPr>
          <w:rFonts w:ascii="Times New Roman" w:hAnsi="Times New Roman"/>
          <w:sz w:val="20"/>
        </w:rPr>
      </w:pPr>
      <w:r>
        <w:rPr>
          <w:rFonts w:ascii="Times New Roman;serif" w:hAnsi="Times New Roman;serif"/>
          <w:b w:val="false"/>
          <w:sz w:val="20"/>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5 years.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amortization periods for the customer relationships, developed software, and tradenames are 20 years, 6 years, and 5 years, respectively. See Note 7 for the estimated total intangible amortization expense during the next five years.</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acquisition, the Company recognized acquisition related costs of $1.3</w:t>
      </w:r>
      <w:r>
        <w:rPr>
          <w:rFonts w:ascii="Times New Roman" w:hAnsi="Times New Roman"/>
          <w:sz w:val="20"/>
        </w:rPr>
        <w:t xml:space="preserve"> </w:t>
      </w:r>
      <w:r>
        <w:rPr>
          <w:rFonts w:ascii="Times New Roman;serif" w:hAnsi="Times New Roman;serif"/>
          <w:b w:val="false"/>
          <w:sz w:val="20"/>
        </w:rPr>
        <w:t>million which were recorded within transaction expenses in the accompanying condensed consolidated statements of operations for the year ended December 31,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AW’s post-acquisition revenue and net loss on a standalone basis were not material.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Unaudited Pro Forma Supplementary Data:</w:t>
      </w:r>
    </w:p>
    <w:p>
      <w:pPr>
        <w:pStyle w:val="TextBody"/>
        <w:bidi w:val="0"/>
        <w:spacing w:before="0" w:after="0"/>
        <w:jc w:val="left"/>
        <w:rPr/>
      </w:pPr>
      <w:r>
        <w:rPr/>
        <w:t> </w:t>
      </w:r>
    </w:p>
    <w:tbl>
      <w:tblPr>
        <w:tblW w:w="3958" w:type="dxa"/>
        <w:jc w:val="left"/>
        <w:tblInd w:w="0" w:type="dxa"/>
        <w:tblLayout w:type="fixed"/>
        <w:tblCellMar>
          <w:top w:w="28" w:type="dxa"/>
          <w:left w:w="28" w:type="dxa"/>
          <w:bottom w:w="28" w:type="dxa"/>
          <w:right w:w="28" w:type="dxa"/>
        </w:tblCellMar>
      </w:tblPr>
      <w:tblGrid>
        <w:gridCol w:w="1126"/>
        <w:gridCol w:w="146"/>
        <w:gridCol w:w="526"/>
        <w:gridCol w:w="1949"/>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75"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24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1" w:type="dxa"/>
            <w:tcBorders/>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106,149</w:t>
            </w:r>
          </w:p>
        </w:tc>
        <w:tc>
          <w:tcPr>
            <w:tcW w:w="21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9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unaudited pro forma supplementary data presented in the table above shows the effect of the AW acquisitions as if the transaction had occurred on January 1, 2022.</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3.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disaggregates revenue from its arrangements with customers by type of service as it believes these categories best depict how the nature, amount, timing, and uncertainty of revenue and cash flows are affected by economic factors.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represents a disaggregation of revenue from arrangements with customers for the three and six months ended June 30, 2023 and 2022, respectively:</w:t>
      </w:r>
      <w:r>
        <w:rPr>
          <w:rFonts w:ascii="Times New Roman" w:hAnsi="Times New Roman"/>
          <w:sz w:val="20"/>
        </w:rPr>
        <w:t xml:space="preserve"> </w:t>
      </w:r>
    </w:p>
    <w:tbl>
      <w:tblPr>
        <w:tblW w:w="7314" w:type="dxa"/>
        <w:jc w:val="left"/>
        <w:tblInd w:w="0" w:type="dxa"/>
        <w:tblLayout w:type="fixed"/>
        <w:tblCellMar>
          <w:top w:w="28" w:type="dxa"/>
          <w:left w:w="28" w:type="dxa"/>
          <w:bottom w:w="28" w:type="dxa"/>
          <w:right w:w="28" w:type="dxa"/>
        </w:tblCellMar>
      </w:tblPr>
      <w:tblGrid>
        <w:gridCol w:w="1946"/>
        <w:gridCol w:w="146"/>
        <w:gridCol w:w="220"/>
        <w:gridCol w:w="707"/>
        <w:gridCol w:w="257"/>
        <w:gridCol w:w="152"/>
        <w:gridCol w:w="220"/>
        <w:gridCol w:w="707"/>
        <w:gridCol w:w="246"/>
        <w:gridCol w:w="146"/>
        <w:gridCol w:w="211"/>
        <w:gridCol w:w="781"/>
        <w:gridCol w:w="246"/>
        <w:gridCol w:w="146"/>
        <w:gridCol w:w="211"/>
        <w:gridCol w:w="781"/>
        <w:gridCol w:w="19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4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Subscription services</w:t>
            </w:r>
          </w:p>
        </w:tc>
        <w:tc>
          <w:tcPr>
            <w:tcW w:w="146" w:type="dxa"/>
            <w:tcBorders/>
            <w:vAlign w:val="center"/>
          </w:tcPr>
          <w:p>
            <w:pPr>
              <w:pStyle w:val="TableContents"/>
              <w:bidi w:val="0"/>
              <w:spacing w:before="0" w:after="0"/>
              <w:ind w:left="10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59,274</w:t>
            </w:r>
          </w:p>
        </w:tc>
        <w:tc>
          <w:tcPr>
            <w:tcW w:w="257" w:type="dxa"/>
            <w:tcBorders/>
            <w:vAlign w:val="center"/>
          </w:tcPr>
          <w:p>
            <w:pPr>
              <w:pStyle w:val="TableContents"/>
              <w:bidi w:val="0"/>
              <w:spacing w:before="0" w:after="0"/>
              <w:ind w:left="0" w:right="0" w:firstLine="100"/>
              <w:jc w:val="left"/>
              <w:rPr/>
            </w:pPr>
            <w:r>
              <w:rPr/>
              <w:t> </w:t>
            </w:r>
          </w:p>
        </w:tc>
        <w:tc>
          <w:tcPr>
            <w:tcW w:w="152" w:type="dxa"/>
            <w:tcBorders/>
            <w:vAlign w:val="center"/>
          </w:tcPr>
          <w:p>
            <w:pPr>
              <w:pStyle w:val="TableContents"/>
              <w:bidi w:val="0"/>
              <w:spacing w:before="0" w:after="0"/>
              <w:ind w:left="10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53,211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117,791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102,980</w:t>
            </w:r>
          </w:p>
        </w:tc>
        <w:tc>
          <w:tcPr>
            <w:tcW w:w="191" w:type="dxa"/>
            <w:tcBorders/>
            <w:vAlign w:val="center"/>
          </w:tcPr>
          <w:p>
            <w:pPr>
              <w:pStyle w:val="TableContents"/>
              <w:bidi w:val="0"/>
              <w:spacing w:before="0" w:after="0"/>
              <w:ind w:left="0" w:right="0" w:hanging="0"/>
              <w:jc w:val="left"/>
              <w:rPr/>
            </w:pPr>
            <w:r>
              <w:rPr/>
              <w:t> </w:t>
            </w:r>
          </w:p>
        </w:tc>
      </w:tr>
      <w:tr>
        <w:trPr/>
        <w:tc>
          <w:tcPr>
            <w:tcW w:w="19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vAlign w:val="center"/>
          </w:tcPr>
          <w:p>
            <w:pPr>
              <w:pStyle w:val="TableContents"/>
              <w:bidi w:val="0"/>
              <w:spacing w:before="0" w:after="0"/>
              <w:ind w:left="10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52" w:type="dxa"/>
            <w:tcBorders/>
            <w:vAlign w:val="center"/>
          </w:tcPr>
          <w:p>
            <w:pPr>
              <w:pStyle w:val="TableContents"/>
              <w:bidi w:val="0"/>
              <w:spacing w:before="0" w:after="0"/>
              <w:ind w:left="10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1,337</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2,367</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10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60,957</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52" w:type="dxa"/>
            <w:tcBorders/>
            <w:vAlign w:val="center"/>
          </w:tcPr>
          <w:p>
            <w:pPr>
              <w:pStyle w:val="TableContents"/>
              <w:bidi w:val="0"/>
              <w:spacing w:before="0" w:after="0"/>
              <w:ind w:left="10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120,158</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104,672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left"/>
        <w:rPr>
          <w:rFonts w:ascii="Times New Roman" w:hAnsi="Times New Roman"/>
          <w:sz w:val="20"/>
        </w:rPr>
      </w:pPr>
      <w:r>
        <w:rPr>
          <w:rFonts w:ascii="Times New Roman;serif" w:hAnsi="Times New Roman;serif"/>
          <w:b w:val="false"/>
          <w:sz w:val="20"/>
        </w:rPr>
        <w:t>The opening and closing balances of the Company’s receivables, deferred contract costs and contract liabilities from contracts with customers are as follows:</w:t>
      </w:r>
      <w:r>
        <w:rPr>
          <w:rFonts w:ascii="Times New Roman" w:hAnsi="Times New Roman"/>
          <w:sz w:val="20"/>
        </w:rPr>
        <w:t xml:space="preserve"> </w:t>
      </w:r>
    </w:p>
    <w:tbl>
      <w:tblPr>
        <w:tblW w:w="6082" w:type="dxa"/>
        <w:jc w:val="left"/>
        <w:tblInd w:w="0" w:type="dxa"/>
        <w:tblLayout w:type="fixed"/>
        <w:tblCellMar>
          <w:top w:w="28" w:type="dxa"/>
          <w:left w:w="28" w:type="dxa"/>
          <w:bottom w:w="28" w:type="dxa"/>
          <w:right w:w="28" w:type="dxa"/>
        </w:tblCellMar>
      </w:tblPr>
      <w:tblGrid>
        <w:gridCol w:w="3371"/>
        <w:gridCol w:w="146"/>
        <w:gridCol w:w="211"/>
        <w:gridCol w:w="676"/>
        <w:gridCol w:w="246"/>
        <w:gridCol w:w="146"/>
        <w:gridCol w:w="260"/>
        <w:gridCol w:w="835"/>
        <w:gridCol w:w="19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191" w:type="dxa"/>
            <w:tcBorders/>
            <w:vAlign w:val="center"/>
          </w:tcPr>
          <w:p>
            <w:pPr>
              <w:pStyle w:val="TableContents"/>
              <w:bidi w:val="0"/>
              <w:spacing w:before="0" w:after="0"/>
              <w:ind w:left="0" w:right="0" w:hanging="0"/>
              <w:jc w:val="left"/>
              <w:rPr/>
            </w:pPr>
            <w:r>
              <w:rPr/>
              <w:t> </w:t>
            </w:r>
          </w:p>
        </w:tc>
      </w:tr>
      <w:tr>
        <w:trPr/>
        <w:tc>
          <w:tcPr>
            <w:tcW w:w="3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contract costs, current portion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191" w:type="dxa"/>
            <w:tcBorders/>
            <w:vAlign w:val="center"/>
          </w:tcPr>
          <w:p>
            <w:pPr>
              <w:pStyle w:val="TableContents"/>
              <w:bidi w:val="0"/>
              <w:spacing w:before="0" w:after="0"/>
              <w:ind w:left="0" w:right="0" w:hanging="0"/>
              <w:jc w:val="left"/>
              <w:rPr/>
            </w:pPr>
            <w:r>
              <w:rPr/>
              <w:t> </w:t>
            </w:r>
          </w:p>
        </w:tc>
      </w:tr>
      <w:tr>
        <w:trPr/>
        <w:tc>
          <w:tcPr>
            <w:tcW w:w="3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contract costs, long-term</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191" w:type="dxa"/>
            <w:tcBorders/>
            <w:vAlign w:val="center"/>
          </w:tcPr>
          <w:p>
            <w:pPr>
              <w:pStyle w:val="TableContents"/>
              <w:bidi w:val="0"/>
              <w:spacing w:before="0" w:after="0"/>
              <w:ind w:left="0" w:right="0" w:hanging="0"/>
              <w:jc w:val="left"/>
              <w:rPr/>
            </w:pPr>
            <w:r>
              <w:rPr/>
              <w:t> </w:t>
            </w:r>
          </w:p>
        </w:tc>
      </w:tr>
      <w:tr>
        <w:trPr/>
        <w:tc>
          <w:tcPr>
            <w:tcW w:w="3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revenues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97,645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99,928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i/>
          <w:sz w:val="20"/>
        </w:rPr>
        <w:t>Deferred Contract Costs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A summary of the activity impacting the deferred contract costs for the six months ended June 30, 2023 and the year ended December 31, 2022 is presented below:</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4006"/>
        <w:gridCol w:w="146"/>
        <w:gridCol w:w="530"/>
        <w:gridCol w:w="1703"/>
        <w:gridCol w:w="266"/>
        <w:gridCol w:w="146"/>
        <w:gridCol w:w="664"/>
        <w:gridCol w:w="2130"/>
        <w:gridCol w:w="614"/>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22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Twelve Months Ended December 31, 2022</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vAlign w:val="center"/>
          </w:tcPr>
          <w:p>
            <w:pPr>
              <w:pStyle w:val="TableContents"/>
              <w:bidi w:val="0"/>
              <w:spacing w:before="0" w:after="0"/>
              <w:ind w:left="100" w:right="0" w:hanging="0"/>
              <w:jc w:val="left"/>
              <w:rPr/>
            </w:pPr>
            <w:r>
              <w:rPr/>
              <w:t> </w:t>
            </w:r>
          </w:p>
        </w:tc>
        <w:tc>
          <w:tcPr>
            <w:tcW w:w="5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18,547</w:t>
            </w:r>
          </w:p>
        </w:tc>
        <w:tc>
          <w:tcPr>
            <w:tcW w:w="614" w:type="dxa"/>
            <w:tcBorders/>
            <w:vAlign w:val="center"/>
          </w:tcPr>
          <w:p>
            <w:pPr>
              <w:pStyle w:val="TableContents"/>
              <w:bidi w:val="0"/>
              <w:spacing w:before="0" w:after="0"/>
              <w:ind w:left="0" w:right="0" w:firstLine="400"/>
              <w:jc w:val="left"/>
              <w:rPr/>
            </w:pPr>
            <w:r>
              <w:rPr/>
              <w:t> </w:t>
            </w:r>
          </w:p>
        </w:tc>
      </w:tr>
      <w:tr>
        <w:trPr/>
        <w:tc>
          <w:tcPr>
            <w:tcW w:w="400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Costs amortized</w:t>
            </w:r>
          </w:p>
        </w:tc>
        <w:tc>
          <w:tcPr>
            <w:tcW w:w="146" w:type="dxa"/>
            <w:tcBorders/>
            <w:vAlign w:val="center"/>
          </w:tcPr>
          <w:p>
            <w:pPr>
              <w:pStyle w:val="TableContents"/>
              <w:bidi w:val="0"/>
              <w:spacing w:before="0" w:after="0"/>
              <w:ind w:left="50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c>
          <w:tcPr>
            <w:tcW w:w="21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(8,816</w:t>
            </w:r>
          </w:p>
        </w:tc>
        <w:tc>
          <w:tcPr>
            <w:tcW w:w="61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Additional amounts deferred</w:t>
            </w:r>
          </w:p>
        </w:tc>
        <w:tc>
          <w:tcPr>
            <w:tcW w:w="146" w:type="dxa"/>
            <w:tcBorders/>
            <w:vAlign w:val="center"/>
          </w:tcPr>
          <w:p>
            <w:pPr>
              <w:pStyle w:val="TableContents"/>
              <w:bidi w:val="0"/>
              <w:spacing w:before="0" w:after="0"/>
              <w:ind w:left="500" w:right="0" w:hanging="0"/>
              <w:jc w:val="left"/>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15,252</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vAlign w:val="center"/>
          </w:tcPr>
          <w:p>
            <w:pPr>
              <w:pStyle w:val="TableContents"/>
              <w:bidi w:val="0"/>
              <w:spacing w:before="0" w:after="0"/>
              <w:ind w:left="100" w:right="0" w:hanging="0"/>
              <w:jc w:val="left"/>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28,060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Classified as:</w:t>
            </w:r>
          </w:p>
        </w:tc>
        <w:tc>
          <w:tcPr>
            <w:tcW w:w="146" w:type="dxa"/>
            <w:tcBorders/>
            <w:vAlign w:val="center"/>
          </w:tcPr>
          <w:p>
            <w:pPr>
              <w:pStyle w:val="TableContents"/>
              <w:bidi w:val="0"/>
              <w:spacing w:before="0" w:after="0"/>
              <w:ind w:left="100" w:right="0" w:hanging="0"/>
              <w:jc w:val="left"/>
              <w:rPr/>
            </w:pPr>
            <w:r>
              <w:rPr/>
              <w:t> </w:t>
            </w:r>
          </w:p>
        </w:tc>
        <w:tc>
          <w:tcPr>
            <w:tcW w:w="2233"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2794" w:type="dxa"/>
            <w:gridSpan w:val="2"/>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firstLine="400"/>
              <w:jc w:val="right"/>
              <w:rPr/>
            </w:pPr>
            <w:r>
              <w:rPr/>
              <w:t> </w:t>
            </w:r>
          </w:p>
        </w:tc>
      </w:tr>
      <w:tr>
        <w:trPr/>
        <w:tc>
          <w:tcPr>
            <w:tcW w:w="400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50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11,889</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c>
          <w:tcPr>
            <w:tcW w:w="21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614" w:type="dxa"/>
            <w:tcBorders/>
            <w:vAlign w:val="center"/>
          </w:tcPr>
          <w:p>
            <w:pPr>
              <w:pStyle w:val="TableContents"/>
              <w:bidi w:val="0"/>
              <w:spacing w:before="0" w:after="0"/>
              <w:ind w:left="0" w:right="0" w:firstLine="400"/>
              <w:jc w:val="left"/>
              <w:rPr/>
            </w:pPr>
            <w:r>
              <w:rPr/>
              <w:t> </w:t>
            </w:r>
          </w:p>
        </w:tc>
      </w:tr>
      <w:tr>
        <w:trPr/>
        <w:tc>
          <w:tcPr>
            <w:tcW w:w="400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500" w:right="0" w:hanging="0"/>
              <w:jc w:val="left"/>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deferred contract costs (deferred commissions)</w:t>
            </w:r>
          </w:p>
        </w:tc>
        <w:tc>
          <w:tcPr>
            <w:tcW w:w="146" w:type="dxa"/>
            <w:tcBorders/>
            <w:vAlign w:val="center"/>
          </w:tcPr>
          <w:p>
            <w:pPr>
              <w:pStyle w:val="TableContents"/>
              <w:bidi w:val="0"/>
              <w:spacing w:before="0" w:after="0"/>
              <w:ind w:left="100" w:right="0" w:hanging="0"/>
              <w:jc w:val="left"/>
              <w:rPr/>
            </w:pPr>
            <w:r>
              <w:rPr/>
              <w:t> </w:t>
            </w:r>
          </w:p>
        </w:tc>
        <w:tc>
          <w:tcPr>
            <w:tcW w:w="5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28,060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6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i/>
          <w:sz w:val="20"/>
        </w:rPr>
        <w:t>Contract Liabilities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A summary of the activity impacting deferred revenue balances during the six months ended June 30, 2023 and for the year ended December 31, 2022 is presented below:</w:t>
      </w:r>
      <w:r>
        <w:rPr>
          <w:rFonts w:ascii="Times New Roman" w:hAnsi="Times New Roman"/>
          <w:sz w:val="20"/>
        </w:rPr>
        <w:t xml:space="preserve"> </w:t>
      </w:r>
    </w:p>
    <w:tbl>
      <w:tblPr>
        <w:tblW w:w="9120" w:type="dxa"/>
        <w:jc w:val="left"/>
        <w:tblInd w:w="0" w:type="dxa"/>
        <w:tblLayout w:type="fixed"/>
        <w:tblCellMar>
          <w:top w:w="28" w:type="dxa"/>
          <w:left w:w="28" w:type="dxa"/>
          <w:bottom w:w="28" w:type="dxa"/>
          <w:right w:w="28" w:type="dxa"/>
        </w:tblCellMar>
      </w:tblPr>
      <w:tblGrid>
        <w:gridCol w:w="2741"/>
        <w:gridCol w:w="146"/>
        <w:gridCol w:w="496"/>
        <w:gridCol w:w="1979"/>
        <w:gridCol w:w="266"/>
        <w:gridCol w:w="146"/>
        <w:gridCol w:w="628"/>
        <w:gridCol w:w="2507"/>
        <w:gridCol w:w="211"/>
      </w:tblGrid>
      <w:tr>
        <w:trPr/>
        <w:tc>
          <w:tcPr>
            <w:tcW w:w="2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24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Twelve Months Ended 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4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vAlign w:val="center"/>
          </w:tcPr>
          <w:p>
            <w:pPr>
              <w:pStyle w:val="TableContents"/>
              <w:bidi w:val="0"/>
              <w:spacing w:before="0" w:after="0"/>
              <w:ind w:left="100" w:right="0" w:hanging="0"/>
              <w:jc w:val="left"/>
              <w:rPr/>
            </w:pPr>
            <w:r>
              <w:rPr/>
              <w:t> </w:t>
            </w:r>
          </w:p>
        </w:tc>
        <w:tc>
          <w:tcPr>
            <w:tcW w:w="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99,928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84,023</w:t>
            </w:r>
          </w:p>
        </w:tc>
        <w:tc>
          <w:tcPr>
            <w:tcW w:w="211" w:type="dxa"/>
            <w:tcBorders/>
            <w:vAlign w:val="center"/>
          </w:tcPr>
          <w:p>
            <w:pPr>
              <w:pStyle w:val="TableContents"/>
              <w:bidi w:val="0"/>
              <w:spacing w:before="0" w:after="0"/>
              <w:ind w:left="0" w:right="0" w:hanging="0"/>
              <w:jc w:val="left"/>
              <w:rPr/>
            </w:pPr>
            <w:r>
              <w:rPr/>
              <w:t> </w:t>
            </w:r>
          </w:p>
        </w:tc>
      </w:tr>
      <w:tr>
        <w:trPr/>
        <w:tc>
          <w:tcPr>
            <w:tcW w:w="274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vAlign w:val="center"/>
          </w:tcPr>
          <w:p>
            <w:pPr>
              <w:pStyle w:val="TableContents"/>
              <w:bidi w:val="0"/>
              <w:spacing w:before="0" w:after="0"/>
              <w:ind w:left="10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(120,158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628" w:type="dxa"/>
            <w:tcBorders/>
            <w:vAlign w:val="center"/>
          </w:tcPr>
          <w:p>
            <w:pPr>
              <w:pStyle w:val="TableContents"/>
              <w:bidi w:val="0"/>
              <w:spacing w:before="0" w:after="0"/>
              <w:ind w:left="0" w:right="0" w:hanging="0"/>
              <w:jc w:val="left"/>
              <w:rPr/>
            </w:pPr>
            <w:r>
              <w:rPr/>
              <w:t> </w:t>
            </w:r>
          </w:p>
        </w:tc>
        <w:tc>
          <w:tcPr>
            <w:tcW w:w="2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(222,653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4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amounts deferred</w:t>
            </w:r>
          </w:p>
        </w:tc>
        <w:tc>
          <w:tcPr>
            <w:tcW w:w="146" w:type="dxa"/>
            <w:tcBorders/>
            <w:vAlign w:val="center"/>
          </w:tcPr>
          <w:p>
            <w:pPr>
              <w:pStyle w:val="TableContents"/>
              <w:bidi w:val="0"/>
              <w:spacing w:before="0" w:after="0"/>
              <w:ind w:left="10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117,875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238,558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4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vAlign w:val="center"/>
          </w:tcPr>
          <w:p>
            <w:pPr>
              <w:pStyle w:val="TableContents"/>
              <w:bidi w:val="0"/>
              <w:spacing w:before="0" w:after="0"/>
              <w:ind w:left="10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97,645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99,928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Remaining Performance Obligations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pStyle w:val="TextBody"/>
        <w:bidi w:val="0"/>
        <w:spacing w:before="120" w:after="120"/>
        <w:jc w:val="left"/>
        <w:rPr>
          <w:rFonts w:ascii="Times New Roman" w:hAnsi="Times New Roman"/>
          <w:sz w:val="20"/>
        </w:rPr>
      </w:pPr>
      <w:r>
        <w:rPr>
          <w:rFonts w:ascii="Times New Roman;serif" w:hAnsi="Times New Roman;serif"/>
          <w:b w:val="false"/>
          <w:sz w:val="20"/>
        </w:rPr>
        <w:t>The remaining performance obligations consisted of the following:</w:t>
      </w:r>
      <w:r>
        <w:rPr>
          <w:rFonts w:ascii="Times New Roman" w:hAnsi="Times New Roman"/>
          <w:sz w:val="20"/>
        </w:rPr>
        <w:t xml:space="preserve"> </w:t>
      </w:r>
    </w:p>
    <w:tbl>
      <w:tblPr>
        <w:tblW w:w="4442" w:type="dxa"/>
        <w:jc w:val="left"/>
        <w:tblInd w:w="0" w:type="dxa"/>
        <w:tblLayout w:type="fixed"/>
        <w:tblCellMar>
          <w:top w:w="28" w:type="dxa"/>
          <w:left w:w="28" w:type="dxa"/>
          <w:bottom w:w="28" w:type="dxa"/>
          <w:right w:w="28" w:type="dxa"/>
        </w:tblCellMar>
      </w:tblPr>
      <w:tblGrid>
        <w:gridCol w:w="1226"/>
        <w:gridCol w:w="146"/>
        <w:gridCol w:w="211"/>
        <w:gridCol w:w="781"/>
        <w:gridCol w:w="246"/>
        <w:gridCol w:w="1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176,521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183,527</w:t>
            </w:r>
          </w:p>
        </w:tc>
        <w:tc>
          <w:tcPr>
            <w:tcW w:w="5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87,405</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22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263,926</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276,991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4. Short-term Investments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Short-term investments classified as available-for-sale consisted of the following:</w:t>
      </w:r>
      <w:r>
        <w:rPr>
          <w:rFonts w:ascii="Times New Roman" w:hAnsi="Times New Roman"/>
          <w:sz w:val="20"/>
        </w:rPr>
        <w:t xml:space="preserve"> </w:t>
      </w:r>
    </w:p>
    <w:tbl>
      <w:tblPr>
        <w:tblW w:w="10176" w:type="dxa"/>
        <w:jc w:val="left"/>
        <w:tblInd w:w="0" w:type="dxa"/>
        <w:tblLayout w:type="fixed"/>
        <w:tblCellMar>
          <w:top w:w="28" w:type="dxa"/>
          <w:left w:w="28" w:type="dxa"/>
          <w:bottom w:w="28" w:type="dxa"/>
          <w:right w:w="28" w:type="dxa"/>
        </w:tblCellMar>
      </w:tblPr>
      <w:tblGrid>
        <w:gridCol w:w="2546"/>
        <w:gridCol w:w="146"/>
        <w:gridCol w:w="265"/>
        <w:gridCol w:w="980"/>
        <w:gridCol w:w="246"/>
        <w:gridCol w:w="146"/>
        <w:gridCol w:w="686"/>
        <w:gridCol w:w="1129"/>
        <w:gridCol w:w="246"/>
        <w:gridCol w:w="146"/>
        <w:gridCol w:w="562"/>
        <w:gridCol w:w="1283"/>
        <w:gridCol w:w="266"/>
        <w:gridCol w:w="146"/>
        <w:gridCol w:w="211"/>
        <w:gridCol w:w="781"/>
        <w:gridCol w:w="39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709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10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815"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845"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102,241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101,900</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6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3,298</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79,400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79,296</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vAlign w:val="center"/>
          </w:tcPr>
          <w:p>
            <w:pPr>
              <w:pStyle w:val="TableContents"/>
              <w:bidi w:val="0"/>
              <w:spacing w:before="0" w:after="0"/>
              <w:ind w:left="50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34,059</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34,021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short-term investments</w:t>
            </w:r>
          </w:p>
        </w:tc>
        <w:tc>
          <w:tcPr>
            <w:tcW w:w="146" w:type="dxa"/>
            <w:tcBorders/>
            <w:vAlign w:val="center"/>
          </w:tcPr>
          <w:p>
            <w:pPr>
              <w:pStyle w:val="TableContents"/>
              <w:bidi w:val="0"/>
              <w:spacing w:before="0" w:after="0"/>
              <w:ind w:left="10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219,003</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218,515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
              <w:jc w:val="left"/>
              <w:rPr/>
            </w:pPr>
            <w:r>
              <w:rPr/>
              <w:t> </w:t>
            </w:r>
          </w:p>
        </w:tc>
      </w:tr>
      <w:tr>
        <w:trPr/>
        <w:tc>
          <w:tcPr>
            <w:tcW w:w="2546" w:type="dxa"/>
            <w:tcBorders/>
            <w:vAlign w:val="center"/>
          </w:tcPr>
          <w:p>
            <w:pPr>
              <w:pStyle w:val="TableContents"/>
              <w:bidi w:val="0"/>
              <w:spacing w:before="0" w:after="0"/>
              <w:ind w:left="0" w:right="0" w:firstLine="20"/>
              <w:jc w:val="left"/>
              <w:rPr/>
            </w:pPr>
            <w:r>
              <w:rPr/>
              <w:t> </w:t>
            </w:r>
          </w:p>
        </w:tc>
        <w:tc>
          <w:tcPr>
            <w:tcW w:w="146" w:type="dxa"/>
            <w:tcBorders/>
            <w:vAlign w:val="center"/>
          </w:tcPr>
          <w:p>
            <w:pPr>
              <w:pStyle w:val="TableContents"/>
              <w:bidi w:val="0"/>
              <w:spacing w:before="0" w:after="0"/>
              <w:ind w:left="2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5"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845"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709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10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815"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845"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59,849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95,831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vAlign w:val="center"/>
          </w:tcPr>
          <w:p>
            <w:pPr>
              <w:pStyle w:val="TableContents"/>
              <w:bidi w:val="0"/>
              <w:spacing w:before="0" w:after="0"/>
              <w:ind w:left="50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23,034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short-term investments</w:t>
            </w:r>
          </w:p>
        </w:tc>
        <w:tc>
          <w:tcPr>
            <w:tcW w:w="146" w:type="dxa"/>
            <w:tcBorders/>
            <w:vAlign w:val="center"/>
          </w:tcPr>
          <w:p>
            <w:pPr>
              <w:pStyle w:val="TableContents"/>
              <w:bidi w:val="0"/>
              <w:spacing w:before="0" w:after="0"/>
              <w:ind w:left="10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185,164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6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184,939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short-term investments had stated maturity dates of less than one year.</w:t>
      </w:r>
    </w:p>
    <w:p>
      <w:pPr>
        <w:pStyle w:val="TextBody"/>
        <w:bidi w:val="0"/>
        <w:spacing w:before="120" w:after="0"/>
        <w:jc w:val="left"/>
        <w:rPr>
          <w:rFonts w:ascii="Times New Roman" w:hAnsi="Times New Roman"/>
          <w:sz w:val="20"/>
        </w:rPr>
      </w:pPr>
      <w:r>
        <w:rPr>
          <w:rFonts w:ascii="Times New Roman;serif" w:hAnsi="Times New Roman;serif"/>
          <w:b/>
          <w:sz w:val="20"/>
        </w:rPr>
        <w:t>5. Accounts Receivable</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Accounts receivable consisted of the following:</w:t>
      </w:r>
    </w:p>
    <w:tbl>
      <w:tblPr>
        <w:tblW w:w="6827" w:type="dxa"/>
        <w:jc w:val="left"/>
        <w:tblInd w:w="0" w:type="dxa"/>
        <w:tblLayout w:type="fixed"/>
        <w:tblCellMar>
          <w:top w:w="28" w:type="dxa"/>
          <w:left w:w="28" w:type="dxa"/>
          <w:bottom w:w="28" w:type="dxa"/>
          <w:right w:w="28" w:type="dxa"/>
        </w:tblCellMar>
      </w:tblPr>
      <w:tblGrid>
        <w:gridCol w:w="3696"/>
        <w:gridCol w:w="146"/>
        <w:gridCol w:w="211"/>
        <w:gridCol w:w="676"/>
        <w:gridCol w:w="266"/>
        <w:gridCol w:w="146"/>
        <w:gridCol w:w="260"/>
        <w:gridCol w:w="835"/>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45,526</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59,780</w:t>
            </w:r>
          </w:p>
        </w:tc>
        <w:tc>
          <w:tcPr>
            <w:tcW w:w="591" w:type="dxa"/>
            <w:tcBorders/>
            <w:vAlign w:val="center"/>
          </w:tcPr>
          <w:p>
            <w:pPr>
              <w:pStyle w:val="TableContents"/>
              <w:bidi w:val="0"/>
              <w:spacing w:before="0" w:after="0"/>
              <w:ind w:left="0" w:right="0" w:hanging="0"/>
              <w:jc w:val="left"/>
              <w:rPr/>
            </w:pPr>
            <w:r>
              <w:rPr/>
              <w:t> </w:t>
            </w:r>
          </w:p>
        </w:tc>
      </w:tr>
      <w:tr>
        <w:trPr/>
        <w:tc>
          <w:tcPr>
            <w:tcW w:w="36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Unbilled receivable</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96"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46,053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60,661</w:t>
            </w:r>
          </w:p>
        </w:tc>
        <w:tc>
          <w:tcPr>
            <w:tcW w:w="591" w:type="dxa"/>
            <w:tcBorders/>
            <w:vAlign w:val="center"/>
          </w:tcPr>
          <w:p>
            <w:pPr>
              <w:pStyle w:val="TableContents"/>
              <w:bidi w:val="0"/>
              <w:spacing w:before="0" w:after="0"/>
              <w:ind w:left="0" w:right="0" w:firstLine="400"/>
              <w:jc w:val="left"/>
              <w:rPr/>
            </w:pPr>
            <w:r>
              <w:rPr/>
              <w:t> </w:t>
            </w:r>
          </w:p>
        </w:tc>
      </w:tr>
      <w:tr>
        <w:trPr/>
        <w:tc>
          <w:tcPr>
            <w:tcW w:w="369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Less: allowance for doubtful accounts</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6. Property and Equipment</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Property and equipment consisted of the following:</w:t>
      </w:r>
      <w:r>
        <w:rPr>
          <w:rFonts w:ascii="Times New Roman" w:hAnsi="Times New Roman"/>
          <w:sz w:val="20"/>
        </w:rPr>
        <w:t xml:space="preserve"> </w:t>
      </w:r>
    </w:p>
    <w:tbl>
      <w:tblPr>
        <w:tblW w:w="7742" w:type="dxa"/>
        <w:jc w:val="left"/>
        <w:tblInd w:w="0" w:type="dxa"/>
        <w:tblLayout w:type="fixed"/>
        <w:tblCellMar>
          <w:top w:w="28" w:type="dxa"/>
          <w:left w:w="28" w:type="dxa"/>
          <w:bottom w:w="28" w:type="dxa"/>
          <w:right w:w="28" w:type="dxa"/>
        </w:tblCellMar>
      </w:tblPr>
      <w:tblGrid>
        <w:gridCol w:w="4611"/>
        <w:gridCol w:w="146"/>
        <w:gridCol w:w="211"/>
        <w:gridCol w:w="676"/>
        <w:gridCol w:w="266"/>
        <w:gridCol w:w="146"/>
        <w:gridCol w:w="274"/>
        <w:gridCol w:w="821"/>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Computers and software</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5,924</w:t>
            </w:r>
          </w:p>
        </w:tc>
        <w:tc>
          <w:tcPr>
            <w:tcW w:w="591" w:type="dxa"/>
            <w:tcBorders/>
            <w:vAlign w:val="center"/>
          </w:tcPr>
          <w:p>
            <w:pPr>
              <w:pStyle w:val="TableContents"/>
              <w:bidi w:val="0"/>
              <w:spacing w:before="0" w:after="0"/>
              <w:ind w:left="0" w:right="0" w:hanging="0"/>
              <w:jc w:val="left"/>
              <w:rPr/>
            </w:pPr>
            <w:r>
              <w:rPr/>
              <w:t> </w:t>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Furniture and equipment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591" w:type="dxa"/>
            <w:tcBorders/>
            <w:vAlign w:val="center"/>
          </w:tcPr>
          <w:p>
            <w:pPr>
              <w:pStyle w:val="TableContents"/>
              <w:bidi w:val="0"/>
              <w:spacing w:before="0" w:after="0"/>
              <w:ind w:left="0" w:right="0" w:hanging="0"/>
              <w:jc w:val="left"/>
              <w:rPr/>
            </w:pPr>
            <w:r>
              <w:rPr/>
              <w:t> </w:t>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2,134</w:t>
            </w:r>
          </w:p>
        </w:tc>
        <w:tc>
          <w:tcPr>
            <w:tcW w:w="591" w:type="dxa"/>
            <w:tcBorders/>
            <w:vAlign w:val="center"/>
          </w:tcPr>
          <w:p>
            <w:pPr>
              <w:pStyle w:val="TableContents"/>
              <w:bidi w:val="0"/>
              <w:spacing w:before="0" w:after="0"/>
              <w:ind w:left="0" w:right="0" w:hanging="0"/>
              <w:jc w:val="left"/>
              <w:rPr/>
            </w:pPr>
            <w:r>
              <w:rPr/>
              <w:t> </w:t>
            </w:r>
          </w:p>
        </w:tc>
      </w:tr>
      <w:tr>
        <w:trPr/>
        <w:tc>
          <w:tcPr>
            <w:tcW w:w="4611"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10,137</w:t>
            </w:r>
          </w:p>
        </w:tc>
        <w:tc>
          <w:tcPr>
            <w:tcW w:w="266" w:type="dxa"/>
            <w:tcBorders>
              <w:top w:val="single" w:sz="4" w:space="0" w:color="000000"/>
            </w:tcBorders>
            <w:tcMar>
              <w:left w:w="0" w:type="dxa"/>
              <w:bottom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2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9,262</w:t>
            </w:r>
          </w:p>
        </w:tc>
        <w:tc>
          <w:tcPr>
            <w:tcW w:w="591" w:type="dxa"/>
            <w:tcBorders>
              <w:top w:val="single" w:sz="4" w:space="0" w:color="000000"/>
            </w:tcBorders>
            <w:tcMar>
              <w:left w:w="0" w:type="dxa"/>
              <w:bottom w:w="0" w:type="dxa"/>
              <w:right w:w="0" w:type="dxa"/>
            </w:tcMar>
            <w:vAlign w:val="center"/>
          </w:tcPr>
          <w:p>
            <w:pPr>
              <w:pStyle w:val="TableContents"/>
              <w:bidi w:val="0"/>
              <w:spacing w:before="0" w:after="0"/>
              <w:ind w:left="0" w:right="0" w:firstLine="400"/>
              <w:jc w:val="left"/>
              <w:rPr/>
            </w:pPr>
            <w:r>
              <w:rPr/>
              <w:t> </w:t>
            </w:r>
          </w:p>
        </w:tc>
      </w:tr>
      <w:tr>
        <w:trPr/>
        <w:tc>
          <w:tcPr>
            <w:tcW w:w="461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Depreciation and amortization expense associated with property and equipment was $0.4</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$1.0</w:t>
      </w:r>
      <w:r>
        <w:rPr>
          <w:rFonts w:ascii="Times New Roman" w:hAnsi="Times New Roman"/>
          <w:sz w:val="20"/>
        </w:rPr>
        <w:t xml:space="preserve"> </w:t>
      </w:r>
      <w:r>
        <w:rPr>
          <w:rFonts w:ascii="Times New Roman;serif" w:hAnsi="Times New Roman;serif"/>
          <w:b w:val="false"/>
          <w:sz w:val="20"/>
        </w:rPr>
        <w:t>million and $1.3</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7. Goodwill and Intangible Assets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carrying amounts of goodwill and intangible assets, as of June 30, 2023 and December 31, 2022, consisted of the following:</w:t>
      </w:r>
      <w:r>
        <w:rPr>
          <w:rFonts w:ascii="Times New Roman" w:hAnsi="Times New Roman"/>
          <w:sz w:val="20"/>
        </w:rPr>
        <w:t xml:space="preserve"> </w:t>
      </w:r>
    </w:p>
    <w:tbl>
      <w:tblPr>
        <w:tblW w:w="8082" w:type="dxa"/>
        <w:jc w:val="left"/>
        <w:tblInd w:w="0" w:type="dxa"/>
        <w:tblLayout w:type="fixed"/>
        <w:tblCellMar>
          <w:top w:w="28" w:type="dxa"/>
          <w:left w:w="28" w:type="dxa"/>
          <w:bottom w:w="28" w:type="dxa"/>
          <w:right w:w="28" w:type="dxa"/>
        </w:tblCellMar>
      </w:tblPr>
      <w:tblGrid>
        <w:gridCol w:w="3176"/>
        <w:gridCol w:w="146"/>
        <w:gridCol w:w="211"/>
        <w:gridCol w:w="931"/>
        <w:gridCol w:w="246"/>
        <w:gridCol w:w="146"/>
        <w:gridCol w:w="216"/>
        <w:gridCol w:w="865"/>
        <w:gridCol w:w="266"/>
        <w:gridCol w:w="146"/>
        <w:gridCol w:w="211"/>
        <w:gridCol w:w="9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416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Carrying</w:t>
              <w:br/>
              <w:t>Amount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Finite-lived intangible assets:</w:t>
            </w:r>
          </w:p>
        </w:tc>
        <w:tc>
          <w:tcPr>
            <w:tcW w:w="146" w:type="dxa"/>
            <w:tcBorders/>
            <w:vAlign w:val="center"/>
          </w:tcPr>
          <w:p>
            <w:pPr>
              <w:pStyle w:val="TableContents"/>
              <w:bidi w:val="0"/>
              <w:spacing w:before="0" w:after="0"/>
              <w:ind w:left="10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409,430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(145,993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263,437</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Developed technologies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56,908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(29,580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27,328</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Tradenames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35,893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27,685</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Database</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50,205</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(42,861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finite-lived intangible assets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552,436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(226,642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325,794</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goodwill and intangible assets</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1,877,169</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(226,642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1,650,527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382" w:type="dxa"/>
        <w:jc w:val="left"/>
        <w:tblInd w:w="0" w:type="dxa"/>
        <w:tblLayout w:type="fixed"/>
        <w:tblCellMar>
          <w:top w:w="28" w:type="dxa"/>
          <w:left w:w="28" w:type="dxa"/>
          <w:bottom w:w="28" w:type="dxa"/>
          <w:right w:w="28" w:type="dxa"/>
        </w:tblCellMar>
      </w:tblPr>
      <w:tblGrid>
        <w:gridCol w:w="3176"/>
        <w:gridCol w:w="246"/>
        <w:gridCol w:w="211"/>
        <w:gridCol w:w="931"/>
        <w:gridCol w:w="246"/>
        <w:gridCol w:w="246"/>
        <w:gridCol w:w="216"/>
        <w:gridCol w:w="865"/>
        <w:gridCol w:w="266"/>
        <w:gridCol w:w="246"/>
        <w:gridCol w:w="211"/>
        <w:gridCol w:w="9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436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Carrying</w:t>
              <w:br/>
              <w:t>Amount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100" w:right="0" w:hanging="0"/>
              <w:jc w:val="left"/>
              <w:rPr/>
            </w:pPr>
            <w:r>
              <w:rPr/>
              <w:t> </w:t>
            </w:r>
          </w:p>
        </w:tc>
        <w:tc>
          <w:tcPr>
            <w:tcW w:w="436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Finite-lived intangible assets:</w:t>
            </w:r>
          </w:p>
        </w:tc>
        <w:tc>
          <w:tcPr>
            <w:tcW w:w="246" w:type="dxa"/>
            <w:tcBorders/>
            <w:vAlign w:val="center"/>
          </w:tcPr>
          <w:p>
            <w:pPr>
              <w:pStyle w:val="TableContents"/>
              <w:bidi w:val="0"/>
              <w:spacing w:before="0" w:after="0"/>
              <w:ind w:left="0" w:right="0" w:firstLine="100"/>
              <w:jc w:val="left"/>
              <w:rPr/>
            </w:pPr>
            <w:r>
              <w:rPr/>
              <w:t> </w:t>
            </w:r>
          </w:p>
        </w:tc>
        <w:tc>
          <w:tcPr>
            <w:tcW w:w="1142" w:type="dxa"/>
            <w:gridSpan w:val="2"/>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081"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42" w:type="dxa"/>
            <w:gridSpan w:val="2"/>
            <w:tcBorders/>
            <w:vAlign w:val="center"/>
          </w:tcPr>
          <w:p>
            <w:pPr>
              <w:pStyle w:val="TableContents"/>
              <w:bidi w:val="0"/>
              <w:spacing w:before="0" w:after="0"/>
              <w:ind w:left="10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Customer relationships</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409,430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(128,745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280,685</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Developed technologies</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56,965</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31,451</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Tradenames</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35,914</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28,764</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Database</w:t>
            </w:r>
          </w:p>
        </w:tc>
        <w:tc>
          <w:tcPr>
            <w:tcW w:w="2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50,215</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(40,393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finite-lived intangible assets</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552,524</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(201,802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goodwill and intangible assets</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1,877,257</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(201,802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1,675,455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Amortization expense associated with finite-lived intangible assets was $12.3</w:t>
      </w:r>
      <w:r>
        <w:rPr>
          <w:rFonts w:ascii="Times New Roman" w:hAnsi="Times New Roman"/>
          <w:sz w:val="20"/>
        </w:rPr>
        <w:t xml:space="preserve"> </w:t>
      </w:r>
      <w:r>
        <w:rPr>
          <w:rFonts w:ascii="Times New Roman;serif" w:hAnsi="Times New Roman;serif"/>
          <w:b w:val="false"/>
          <w:sz w:val="20"/>
        </w:rPr>
        <w:t>million and $15.1</w:t>
      </w:r>
      <w:r>
        <w:rPr>
          <w:rFonts w:ascii="Times New Roman" w:hAnsi="Times New Roman"/>
          <w:sz w:val="20"/>
        </w:rPr>
        <w:t xml:space="preserve"> </w:t>
      </w:r>
      <w:r>
        <w:rPr>
          <w:rFonts w:ascii="Times New Roman;serif" w:hAnsi="Times New Roman;serif"/>
          <w:b w:val="false"/>
          <w:sz w:val="20"/>
        </w:rPr>
        <w:t>million for the three months ended June 30, 2023 and 2022, respectively, of which $3.1</w:t>
      </w:r>
      <w:r>
        <w:rPr>
          <w:rFonts w:ascii="Times New Roman" w:hAnsi="Times New Roman"/>
          <w:sz w:val="20"/>
        </w:rPr>
        <w:t xml:space="preserve"> </w:t>
      </w:r>
      <w:r>
        <w:rPr>
          <w:rFonts w:ascii="Times New Roman;serif" w:hAnsi="Times New Roman;serif"/>
          <w:b w:val="false"/>
          <w:sz w:val="20"/>
        </w:rPr>
        <w:t>million and $5.6</w:t>
      </w:r>
      <w:r>
        <w:rPr>
          <w:rFonts w:ascii="Times New Roman" w:hAnsi="Times New Roman"/>
          <w:sz w:val="20"/>
        </w:rPr>
        <w:t xml:space="preserve"> </w:t>
      </w:r>
      <w:r>
        <w:rPr>
          <w:rFonts w:ascii="Times New Roman;serif" w:hAnsi="Times New Roman;serif"/>
          <w:b w:val="false"/>
          <w:sz w:val="20"/>
        </w:rPr>
        <w:t>million was included in cost of revenue for the respective periods. Amortization expense associated with finite-lived intangible assets was $24.8</w:t>
      </w:r>
      <w:r>
        <w:rPr>
          <w:rFonts w:ascii="Times New Roman" w:hAnsi="Times New Roman"/>
          <w:sz w:val="20"/>
        </w:rPr>
        <w:t xml:space="preserve"> </w:t>
      </w:r>
      <w:r>
        <w:rPr>
          <w:rFonts w:ascii="Times New Roman;serif" w:hAnsi="Times New Roman;serif"/>
          <w:b w:val="false"/>
          <w:sz w:val="20"/>
        </w:rPr>
        <w:t>million and $29.8</w:t>
      </w:r>
      <w:r>
        <w:rPr>
          <w:rFonts w:ascii="Times New Roman" w:hAnsi="Times New Roman"/>
          <w:sz w:val="20"/>
        </w:rPr>
        <w:t xml:space="preserve"> </w:t>
      </w:r>
      <w:r>
        <w:rPr>
          <w:rFonts w:ascii="Times New Roman;serif" w:hAnsi="Times New Roman;serif"/>
          <w:b w:val="false"/>
          <w:sz w:val="20"/>
        </w:rPr>
        <w:t>million for the six months ended June 30, 2023 and 2022, respectively, of which $6.4</w:t>
      </w:r>
      <w:r>
        <w:rPr>
          <w:rFonts w:ascii="Times New Roman" w:hAnsi="Times New Roman"/>
          <w:sz w:val="20"/>
        </w:rPr>
        <w:t xml:space="preserve"> </w:t>
      </w:r>
      <w:r>
        <w:rPr>
          <w:rFonts w:ascii="Times New Roman;serif" w:hAnsi="Times New Roman;serif"/>
          <w:b w:val="false"/>
          <w:sz w:val="20"/>
        </w:rPr>
        <w:t>million and $11.0</w:t>
      </w:r>
      <w:r>
        <w:rPr>
          <w:rFonts w:ascii="Times New Roman" w:hAnsi="Times New Roman"/>
          <w:sz w:val="20"/>
        </w:rPr>
        <w:t xml:space="preserve"> </w:t>
      </w:r>
      <w:r>
        <w:rPr>
          <w:rFonts w:ascii="Times New Roman;serif" w:hAnsi="Times New Roman;serif"/>
          <w:b w:val="false"/>
          <w:sz w:val="20"/>
        </w:rPr>
        <w:t>million was included in cost of revenue for the respective periods.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Estimated total intangible amortization expense during the next five years and thereafter is as follows:</w:t>
      </w:r>
    </w:p>
    <w:tbl>
      <w:tblPr>
        <w:tblW w:w="5740" w:type="dxa"/>
        <w:jc w:val="left"/>
        <w:tblInd w:w="0" w:type="dxa"/>
        <w:tblLayout w:type="fixed"/>
        <w:tblCellMar>
          <w:top w:w="28" w:type="dxa"/>
          <w:left w:w="28" w:type="dxa"/>
          <w:bottom w:w="28" w:type="dxa"/>
          <w:right w:w="28" w:type="dxa"/>
        </w:tblCellMar>
      </w:tblPr>
      <w:tblGrid>
        <w:gridCol w:w="4411"/>
        <w:gridCol w:w="146"/>
        <w:gridCol w:w="211"/>
        <w:gridCol w:w="78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excluding the six months ended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25,016</w:t>
            </w:r>
          </w:p>
        </w:tc>
        <w:tc>
          <w:tcPr>
            <w:tcW w:w="1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46,938</w:t>
            </w:r>
          </w:p>
        </w:tc>
        <w:tc>
          <w:tcPr>
            <w:tcW w:w="1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42,372</w:t>
            </w:r>
          </w:p>
        </w:tc>
        <w:tc>
          <w:tcPr>
            <w:tcW w:w="1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34,874</w:t>
            </w:r>
          </w:p>
        </w:tc>
        <w:tc>
          <w:tcPr>
            <w:tcW w:w="1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28,559</w:t>
            </w:r>
          </w:p>
        </w:tc>
        <w:tc>
          <w:tcPr>
            <w:tcW w:w="1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148,035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325,794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Company determined it had one</w:t>
      </w:r>
      <w:r>
        <w:rPr>
          <w:rFonts w:ascii="Times New Roman" w:hAnsi="Times New Roman"/>
          <w:sz w:val="20"/>
        </w:rPr>
        <w:t xml:space="preserve"> </w:t>
      </w:r>
      <w:r>
        <w:rPr>
          <w:rFonts w:ascii="Times New Roman;serif" w:hAnsi="Times New Roman;serif"/>
          <w:b w:val="false"/>
          <w:sz w:val="20"/>
        </w:rPr>
        <w:t>reporting unit. There was no</w:t>
      </w:r>
      <w:r>
        <w:rPr>
          <w:rFonts w:ascii="Times New Roman" w:hAnsi="Times New Roman"/>
          <w:sz w:val="20"/>
        </w:rPr>
        <w:t xml:space="preserve"> </w:t>
      </w:r>
      <w:r>
        <w:rPr>
          <w:rFonts w:ascii="Times New Roman;serif" w:hAnsi="Times New Roman;serif"/>
          <w:b w:val="false"/>
          <w:sz w:val="20"/>
        </w:rPr>
        <w:t>impairment of goodwill in the six months ended June 30, 2023 or 2022.</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8. Accrued Expenses and Other Current Liabilities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Accrued expenses and other current liabilities consisted of the following:</w:t>
      </w:r>
      <w:r>
        <w:rPr>
          <w:rFonts w:ascii="Times New Roman" w:hAnsi="Times New Roman"/>
          <w:sz w:val="20"/>
        </w:rPr>
        <w:t xml:space="preserve"> </w:t>
      </w:r>
    </w:p>
    <w:tbl>
      <w:tblPr>
        <w:tblW w:w="6637" w:type="dxa"/>
        <w:jc w:val="left"/>
        <w:tblInd w:w="0" w:type="dxa"/>
        <w:tblLayout w:type="fixed"/>
        <w:tblCellMar>
          <w:top w:w="28" w:type="dxa"/>
          <w:left w:w="28" w:type="dxa"/>
          <w:bottom w:w="28" w:type="dxa"/>
          <w:right w:w="28" w:type="dxa"/>
        </w:tblCellMar>
      </w:tblPr>
      <w:tblGrid>
        <w:gridCol w:w="3926"/>
        <w:gridCol w:w="146"/>
        <w:gridCol w:w="211"/>
        <w:gridCol w:w="676"/>
        <w:gridCol w:w="246"/>
        <w:gridCol w:w="146"/>
        <w:gridCol w:w="260"/>
        <w:gridCol w:w="835"/>
        <w:gridCol w:w="191"/>
      </w:tblGrid>
      <w:tr>
        <w:trPr/>
        <w:tc>
          <w:tcPr>
            <w:tcW w:w="3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91" w:type="dxa"/>
            <w:tcBorders/>
            <w:vAlign w:val="center"/>
          </w:tcPr>
          <w:p>
            <w:pPr>
              <w:pStyle w:val="TableContents"/>
              <w:bidi w:val="0"/>
              <w:spacing w:before="0" w:after="0"/>
              <w:ind w:left="0" w:right="0" w:hanging="0"/>
              <w:jc w:val="center"/>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Payroll and payroll-related</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11,961</w:t>
            </w:r>
          </w:p>
        </w:tc>
        <w:tc>
          <w:tcPr>
            <w:tcW w:w="191"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 current portion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 current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franchise, and other taxes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11,738</w:t>
            </w:r>
          </w:p>
        </w:tc>
        <w:tc>
          <w:tcPr>
            <w:tcW w:w="191"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5,045</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33,238</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On January 12, 2023, the Company announced a restructuring plan intended to reduce operating costs, improve operating margins, and continue advancing the Company’s ongoing commitment to profitable growth. During the three and six months ended June 30, 2023, the Company incurred restructuring and related charges of $0.3</w:t>
      </w:r>
      <w:r>
        <w:rPr>
          <w:rFonts w:ascii="Times New Roman" w:hAnsi="Times New Roman"/>
          <w:sz w:val="20"/>
        </w:rPr>
        <w:t xml:space="preserve"> </w:t>
      </w:r>
      <w:r>
        <w:rPr>
          <w:rFonts w:ascii="Times New Roman;serif" w:hAnsi="Times New Roman;serif"/>
          <w:b w:val="false"/>
          <w:sz w:val="20"/>
        </w:rPr>
        <w:t>million and $2.5</w:t>
      </w:r>
      <w:r>
        <w:rPr>
          <w:rFonts w:ascii="Times New Roman" w:hAnsi="Times New Roman"/>
          <w:sz w:val="20"/>
        </w:rPr>
        <w:t xml:space="preserve"> </w:t>
      </w:r>
      <w:r>
        <w:rPr>
          <w:rFonts w:ascii="Times New Roman;serif" w:hAnsi="Times New Roman;serif"/>
          <w:b w:val="false"/>
          <w:sz w:val="20"/>
        </w:rPr>
        <w:t>million, respectively, consisting primarily of severance payments, employee benefits, and related cash expenses. These charges were recognized within Transaction, integration, and restructuring expenses in the Company’s condensed consolidated statements of operations. As of June 30, 2023, $2.1</w:t>
      </w:r>
      <w:r>
        <w:rPr>
          <w:rFonts w:ascii="Times New Roman" w:hAnsi="Times New Roman"/>
          <w:sz w:val="20"/>
        </w:rPr>
        <w:t xml:space="preserve"> </w:t>
      </w:r>
      <w:r>
        <w:rPr>
          <w:rFonts w:ascii="Times New Roman;serif" w:hAnsi="Times New Roman;serif"/>
          <w:b w:val="false"/>
          <w:sz w:val="20"/>
        </w:rPr>
        <w:t>million has been paid and the remaining $0.4</w:t>
      </w:r>
      <w:r>
        <w:rPr>
          <w:rFonts w:ascii="Times New Roman" w:hAnsi="Times New Roman"/>
          <w:sz w:val="20"/>
        </w:rPr>
        <w:t xml:space="preserve"> </w:t>
      </w:r>
      <w:r>
        <w:rPr>
          <w:rFonts w:ascii="Times New Roman;serif" w:hAnsi="Times New Roman;serif"/>
          <w:b w:val="false"/>
          <w:sz w:val="20"/>
        </w:rPr>
        <w:t>million is included in Accrued expenses and other current liabilities in the condensed consolidated balance sheets. The Company expects these remaining payments to be made over the next three months. In addition, the Company expects to incur an additional $0.2</w:t>
      </w:r>
      <w:r>
        <w:rPr>
          <w:rFonts w:ascii="Times New Roman" w:hAnsi="Times New Roman"/>
          <w:sz w:val="20"/>
        </w:rPr>
        <w:t xml:space="preserve"> </w:t>
      </w:r>
      <w:r>
        <w:rPr>
          <w:rFonts w:ascii="Times New Roman;serif" w:hAnsi="Times New Roman;serif"/>
          <w:b w:val="false"/>
          <w:sz w:val="20"/>
        </w:rPr>
        <w:t>million in expense through the third quarter of 2023 associated with the restructuring plan.</w:t>
      </w:r>
    </w:p>
    <w:p>
      <w:pPr>
        <w:pStyle w:val="TextBody"/>
        <w:bidi w:val="0"/>
        <w:spacing w:before="120" w:after="0"/>
        <w:jc w:val="left"/>
        <w:rPr>
          <w:rFonts w:ascii="Times New Roman" w:hAnsi="Times New Roman"/>
          <w:sz w:val="20"/>
        </w:rPr>
      </w:pPr>
      <w:r>
        <w:rPr>
          <w:rFonts w:ascii="Times New Roman;serif" w:hAnsi="Times New Roman;serif"/>
          <w:b w:val="false"/>
          <w:sz w:val="20"/>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As of June 30, 2023 and December 31, 2022, the Company has accrued a sales tax accrual, which includes assumed maximum penalties and interest, of $8.8</w:t>
      </w:r>
      <w:r>
        <w:rPr>
          <w:rFonts w:ascii="Times New Roman" w:hAnsi="Times New Roman"/>
          <w:sz w:val="20"/>
        </w:rPr>
        <w:t xml:space="preserve"> </w:t>
      </w:r>
      <w:r>
        <w:rPr>
          <w:rFonts w:ascii="Times New Roman;serif" w:hAnsi="Times New Roman;serif"/>
          <w:b w:val="false"/>
          <w:sz w:val="20"/>
        </w:rPr>
        <w:t>million and $8.1</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9. Long-Term Debt</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Long-term debt consisted of the following as of June 30, 2023 and December 31, 2022, respectively:</w:t>
      </w:r>
      <w:r>
        <w:rPr>
          <w:rFonts w:ascii="Times New Roman" w:hAnsi="Times New Roman"/>
          <w:sz w:val="20"/>
        </w:rPr>
        <w:t xml:space="preserve"> </w:t>
      </w:r>
    </w:p>
    <w:tbl>
      <w:tblPr>
        <w:tblW w:w="80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1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429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Unamortized debt</w:t>
              <w:br/>
              <w:t>issuance costs /</w:t>
              <w:br/>
              <w:t>financing costs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debt,</w:t>
              <w:br/>
              <w:t>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2021 Term Loan</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262,969</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3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261,197</w:t>
            </w:r>
          </w:p>
        </w:tc>
        <w:tc>
          <w:tcPr>
            <w:tcW w:w="191" w:type="dxa"/>
            <w:tcBorders/>
            <w:vAlign w:val="center"/>
          </w:tcPr>
          <w:p>
            <w:pPr>
              <w:pStyle w:val="TableContents"/>
              <w:bidi w:val="0"/>
              <w:spacing w:before="0" w:after="0"/>
              <w:ind w:left="0" w:right="0" w:hanging="0"/>
              <w:jc w:val="left"/>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1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Long-term debt</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1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249,166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591" w:type="dxa"/>
        <w:jc w:val="left"/>
        <w:tblInd w:w="0" w:type="dxa"/>
        <w:tblLayout w:type="fixed"/>
        <w:tblCellMar>
          <w:top w:w="28" w:type="dxa"/>
          <w:left w:w="28" w:type="dxa"/>
          <w:bottom w:w="28" w:type="dxa"/>
          <w:right w:w="28" w:type="dxa"/>
        </w:tblCellMar>
      </w:tblPr>
      <w:tblGrid>
        <w:gridCol w:w="3256"/>
        <w:gridCol w:w="146"/>
        <w:gridCol w:w="211"/>
        <w:gridCol w:w="781"/>
        <w:gridCol w:w="146"/>
        <w:gridCol w:w="146"/>
        <w:gridCol w:w="353"/>
        <w:gridCol w:w="1057"/>
        <w:gridCol w:w="166"/>
        <w:gridCol w:w="146"/>
        <w:gridCol w:w="211"/>
        <w:gridCol w:w="78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9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Unamortized debt</w:t>
              <w:br/>
              <w:t>issuance costs /</w:t>
              <w:br/>
              <w:t>financing costs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debt,</w:t>
              <w:br/>
              <w:t>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2021 Term Loan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264,359</w:t>
            </w:r>
          </w:p>
        </w:tc>
        <w:tc>
          <w:tcPr>
            <w:tcW w:w="191"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255,765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the Company repaid $3.4</w:t>
      </w:r>
      <w:r>
        <w:rPr>
          <w:rFonts w:ascii="Times New Roman" w:hAnsi="Times New Roman"/>
          <w:sz w:val="20"/>
        </w:rPr>
        <w:t xml:space="preserve"> </w:t>
      </w:r>
      <w:r>
        <w:rPr>
          <w:rFonts w:ascii="Times New Roman;serif" w:hAnsi="Times New Roman;serif"/>
          <w:b w:val="false"/>
          <w:sz w:val="20"/>
        </w:rPr>
        <w:t>million in outstanding principal of the 2021 Term Loan (as defined below).</w:t>
      </w:r>
    </w:p>
    <w:p>
      <w:pPr>
        <w:pStyle w:val="TextBody"/>
        <w:bidi w:val="0"/>
        <w:spacing w:before="120" w:after="0"/>
        <w:jc w:val="left"/>
        <w:rPr>
          <w:rFonts w:ascii="Times New Roman;serif" w:hAnsi="Times New Roman;serif"/>
          <w:b w:val="false"/>
          <w:sz w:val="20"/>
          <w:u w:val="single"/>
        </w:rPr>
      </w:pPr>
      <w:r>
        <w:rPr>
          <w:rFonts w:ascii="Times New Roman;serif" w:hAnsi="Times New Roman;serif"/>
          <w:b w:val="false"/>
          <w:sz w:val="20"/>
          <w:u w:val="single"/>
        </w:rPr>
        <w:t>2021 Credit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2021, DH Holdings entered into a credit agreement (the “2021 Credit Agreement”) with Bank of America, N.A., as administrative agent, the other lenders party thereto and the other parties specified therein. The 2021 Credit Agreement provides for (i) a $275.0</w:t>
      </w:r>
      <w:r>
        <w:rPr>
          <w:rFonts w:ascii="Times New Roman" w:hAnsi="Times New Roman"/>
          <w:sz w:val="20"/>
        </w:rPr>
        <w:t xml:space="preserve"> </w:t>
      </w:r>
      <w:r>
        <w:rPr>
          <w:rFonts w:ascii="Times New Roman;serif" w:hAnsi="Times New Roman;serif"/>
          <w:b w:val="false"/>
          <w:sz w:val="20"/>
        </w:rPr>
        <w:t xml:space="preserve">million term loan A facility (the </w:t>
      </w:r>
      <w:r>
        <w:rPr>
          <w:rFonts w:ascii="Times New Roman" w:hAnsi="Times New Roman"/>
          <w:sz w:val="20"/>
        </w:rPr>
        <w:t>“</w:t>
      </w:r>
      <w:r>
        <w:rPr>
          <w:rFonts w:ascii="Times New Roman;serif" w:hAnsi="Times New Roman;serif"/>
          <w:b w:val="false"/>
          <w:sz w:val="20"/>
        </w:rPr>
        <w:t>2021 Term Loan”) and (ii) a $75.0</w:t>
      </w:r>
      <w:r>
        <w:rPr>
          <w:rFonts w:ascii="Times New Roman" w:hAnsi="Times New Roman"/>
          <w:sz w:val="20"/>
        </w:rPr>
        <w:t xml:space="preserve"> </w:t>
      </w:r>
      <w:r>
        <w:rPr>
          <w:rFonts w:ascii="Times New Roman;serif" w:hAnsi="Times New Roman;serif"/>
          <w:b w:val="false"/>
          <w:sz w:val="20"/>
        </w:rPr>
        <w:t xml:space="preserve">million revolving credit facility (the </w:t>
      </w:r>
      <w:r>
        <w:rPr>
          <w:rFonts w:ascii="Times New Roman" w:hAnsi="Times New Roman"/>
          <w:sz w:val="20"/>
        </w:rPr>
        <w:t>“</w:t>
      </w:r>
      <w:r>
        <w:rPr>
          <w:rFonts w:ascii="Times New Roman;serif" w:hAnsi="Times New Roman;serif"/>
          <w:b w:val="false"/>
          <w:sz w:val="20"/>
        </w:rPr>
        <w:t>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2021 Term Loan is subject to annual amortization of principal, payable in equal quarterly installments on the last day of each fiscal quarter, commencing on December 31, 2021 (the </w:t>
      </w:r>
      <w:r>
        <w:rPr>
          <w:rFonts w:ascii="Times New Roman;serif" w:hAnsi="Times New Roman;serif"/>
          <w:sz w:val="20"/>
        </w:rPr>
        <w:t>“</w:t>
      </w:r>
      <w:r>
        <w:rPr>
          <w:rFonts w:ascii="Times New Roman;serif" w:hAnsi="Times New Roman;serif"/>
          <w:b w:val="false"/>
          <w:sz w:val="20"/>
        </w:rPr>
        <w:t>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w:t>
      </w:r>
      <w:r>
        <w:rPr>
          <w:rFonts w:ascii="Times New Roman" w:hAnsi="Times New Roman"/>
          <w:sz w:val="20"/>
        </w:rPr>
        <w:t xml:space="preserve"> </w:t>
      </w:r>
      <w:r>
        <w:rPr>
          <w:rFonts w:ascii="Times New Roman;serif" w:hAnsi="Times New Roman;serif"/>
          <w:b w:val="false"/>
          <w:sz w:val="20"/>
        </w:rPr>
        <w:t>million will be due at the maturity of the 2021 Term Loan. There was $263.0</w:t>
      </w:r>
      <w:r>
        <w:rPr>
          <w:rFonts w:ascii="Times New Roman" w:hAnsi="Times New Roman"/>
          <w:sz w:val="20"/>
        </w:rPr>
        <w:t xml:space="preserve"> </w:t>
      </w:r>
      <w:r>
        <w:rPr>
          <w:rFonts w:ascii="Times New Roman;serif" w:hAnsi="Times New Roman;serif"/>
          <w:b w:val="false"/>
          <w:sz w:val="20"/>
        </w:rPr>
        <w:t>million outstanding on the 2021 Term Loan at June 30,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June 30,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both the 2021 Term Loan and 2021 Revolving Line of Credit, DH Holdings may elect from several interest rate options based on the LIBO Rate or the Base Rate plus an applicable margin. The applicable margin is based on the total leverage ratio beginning in the fiscal year ended December 31, 2022. As of June 30, 2023, the effective interest rate was 6.95%.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31, 2022, the Company amended the 2021 Credit Agreement to replace the LIBO rate with Term SOFR plus an applicable rate.</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2021 Credit Agreement, the Company capitalized financing costs totaling $3.5</w:t>
      </w:r>
      <w:r>
        <w:rPr>
          <w:rFonts w:ascii="Times New Roman" w:hAnsi="Times New Roman"/>
          <w:sz w:val="20"/>
        </w:rPr>
        <w:t xml:space="preserve"> </w:t>
      </w:r>
      <w:r>
        <w:rPr>
          <w:rFonts w:ascii="Times New Roman;serif" w:hAnsi="Times New Roman;serif"/>
          <w:b w:val="false"/>
          <w:sz w:val="20"/>
        </w:rPr>
        <w:t>million, $2.8</w:t>
      </w:r>
      <w:r>
        <w:rPr>
          <w:rFonts w:ascii="Times New Roman" w:hAnsi="Times New Roman"/>
          <w:sz w:val="20"/>
        </w:rPr>
        <w:t xml:space="preserve"> </w:t>
      </w:r>
      <w:r>
        <w:rPr>
          <w:rFonts w:ascii="Times New Roman;serif" w:hAnsi="Times New Roman;serif"/>
          <w:b w:val="false"/>
          <w:sz w:val="20"/>
        </w:rPr>
        <w:t>million for the 2021 Term Loan facility and $0.8</w:t>
      </w:r>
      <w:r>
        <w:rPr>
          <w:rFonts w:ascii="Times New Roman" w:hAnsi="Times New Roman"/>
          <w:sz w:val="20"/>
        </w:rPr>
        <w:t xml:space="preserve"> </w:t>
      </w:r>
      <w:r>
        <w:rPr>
          <w:rFonts w:ascii="Times New Roman;serif" w:hAnsi="Times New Roman;serif"/>
          <w:b w:val="false"/>
          <w:sz w:val="20"/>
        </w:rPr>
        <w:t>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 At June 30, 2023, the unamortized financing costs were $0.5</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10. Derivative Instruments and Hedging Activities</w:t>
      </w:r>
    </w:p>
    <w:p>
      <w:pPr>
        <w:pStyle w:val="TextBody"/>
        <w:bidi w:val="0"/>
        <w:spacing w:before="240" w:after="0"/>
        <w:jc w:val="both"/>
        <w:rPr>
          <w:rFonts w:ascii="Times New Roman" w:hAnsi="Times New Roman"/>
          <w:sz w:val="20"/>
        </w:rPr>
      </w:pPr>
      <w:r>
        <w:rPr>
          <w:rFonts w:ascii="Times New Roman;serif" w:hAnsi="Times New Roman;serif"/>
          <w:b/>
          <w:i/>
          <w:sz w:val="20"/>
        </w:rPr>
        <w:t>Risk Management Objective of Using Derivatives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Company is exposed to risks from changes in interest rates related to the 2021 Term Loan (See Note 9. </w:t>
      </w:r>
      <w:r>
        <w:rPr>
          <w:rFonts w:ascii="Times New Roman;serif" w:hAnsi="Times New Roman;serif"/>
          <w:b w:val="false"/>
          <w:i/>
          <w:sz w:val="20"/>
        </w:rPr>
        <w:t>Long-Term Debt</w:t>
      </w:r>
      <w:r>
        <w:rPr>
          <w:rFonts w:ascii="Times New Roman;serif" w:hAnsi="Times New Roman;serif"/>
          <w:b w:val="false"/>
          <w:sz w:val="20"/>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Cash Flow Hedges of Interest Rate Risk</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entered into two</w:t>
      </w:r>
      <w:r>
        <w:rPr>
          <w:rFonts w:ascii="Times New Roman" w:hAnsi="Times New Roman"/>
          <w:sz w:val="20"/>
        </w:rPr>
        <w:t xml:space="preserve"> </w:t>
      </w:r>
      <w:r>
        <w:rPr>
          <w:rFonts w:ascii="Times New Roman;serif" w:hAnsi="Times New Roman;serif"/>
          <w:b w:val="false"/>
          <w:sz w:val="20"/>
        </w:rPr>
        <w:t xml:space="preserve">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9. </w:t>
      </w:r>
      <w:r>
        <w:rPr>
          <w:rFonts w:ascii="Times New Roman;serif" w:hAnsi="Times New Roman;serif"/>
          <w:b w:val="false"/>
          <w:i/>
          <w:sz w:val="20"/>
        </w:rPr>
        <w:t>Long-Term Debt</w:t>
      </w:r>
      <w:r>
        <w:rPr>
          <w:rFonts w:ascii="Times New Roman;serif" w:hAnsi="Times New Roman;serif"/>
          <w:b w:val="false"/>
          <w:sz w:val="20"/>
        </w:rPr>
        <w:t>), the Company amended the two interest rate swap agreements to replace the LIBO rate with Term SOFR. As a result, subsequent to October 31, 2022, the counterparties paid and will continue to pay interest at a floating rate based on Term SOFR.</w:t>
      </w:r>
    </w:p>
    <w:p>
      <w:pPr>
        <w:pStyle w:val="TextBody"/>
        <w:bidi w:val="0"/>
        <w:spacing w:before="120" w:after="0"/>
        <w:jc w:val="both"/>
        <w:rPr>
          <w:rFonts w:ascii="Times New Roman" w:hAnsi="Times New Roman"/>
          <w:sz w:val="20"/>
        </w:rPr>
      </w:pPr>
      <w:r>
        <w:rPr>
          <w:rFonts w:ascii="Times New Roman;serif" w:hAnsi="Times New Roman;serif"/>
          <w:b w:val="false"/>
          <w:sz w:val="20"/>
        </w:rPr>
        <w:t>As of June 30, 2023, the two</w:t>
      </w:r>
      <w:r>
        <w:rPr>
          <w:rFonts w:ascii="Times New Roman" w:hAnsi="Times New Roman"/>
          <w:sz w:val="20"/>
        </w:rPr>
        <w:t xml:space="preserve"> </w:t>
      </w:r>
      <w:r>
        <w:rPr>
          <w:rFonts w:ascii="Times New Roman;serif" w:hAnsi="Times New Roman;serif"/>
          <w:b w:val="false"/>
          <w:sz w:val="20"/>
        </w:rPr>
        <w:t>outstanding interest rate swap agreements each had a notional value of $65.7</w:t>
      </w:r>
      <w:r>
        <w:rPr>
          <w:rFonts w:ascii="Times New Roman" w:hAnsi="Times New Roman"/>
          <w:sz w:val="20"/>
        </w:rPr>
        <w:t xml:space="preserve"> </w:t>
      </w:r>
      <w:r>
        <w:rPr>
          <w:rFonts w:ascii="Times New Roman;serif" w:hAnsi="Times New Roman;serif"/>
          <w:b w:val="false"/>
          <w:sz w:val="20"/>
        </w:rPr>
        <w:t>million with fixed interest rates of 1.909% and 1.9065%. Interest payments under the swaps are made monthly on a net settlement basis. The Company has not recorded any amounts due to ineffectiveness for the period ended June 30, 2023. The notional value of each interest rate swap agreement is expected to match the corresponding principal amount of a portion of our borrowings under the 2021 Term Loan. The swap agreements mature on March 31, 2025.</w:t>
      </w:r>
    </w:p>
    <w:p>
      <w:pPr>
        <w:pStyle w:val="TextBody"/>
        <w:bidi w:val="0"/>
        <w:spacing w:before="120" w:after="0"/>
        <w:jc w:val="both"/>
        <w:rPr>
          <w:rFonts w:ascii="Times New Roman" w:hAnsi="Times New Roman"/>
          <w:sz w:val="20"/>
        </w:rPr>
      </w:pPr>
      <w:r>
        <w:rPr>
          <w:rFonts w:ascii="Times New Roman;serif" w:hAnsi="Times New Roman;serif"/>
          <w:b w:val="false"/>
          <w:sz w:val="20"/>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$4.2</w:t>
      </w:r>
      <w:r>
        <w:rPr>
          <w:rFonts w:ascii="Times New Roman" w:hAnsi="Times New Roman"/>
          <w:sz w:val="20"/>
        </w:rPr>
        <w:t xml:space="preserve"> </w:t>
      </w:r>
      <w:r>
        <w:rPr>
          <w:rFonts w:ascii="Times New Roman;serif" w:hAnsi="Times New Roman;serif"/>
          <w:b w:val="false"/>
          <w:sz w:val="20"/>
        </w:rPr>
        <w:t>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fair values of the interest rate swaps and their respective locations in our condensed consolidated balance sheets at June 30, 2023 and December 31, 2022 were as follows:</w:t>
      </w:r>
    </w:p>
    <w:tbl>
      <w:tblPr>
        <w:tblW w:w="9417" w:type="dxa"/>
        <w:jc w:val="left"/>
        <w:tblInd w:w="0" w:type="dxa"/>
        <w:tblLayout w:type="fixed"/>
        <w:tblCellMar>
          <w:top w:w="28" w:type="dxa"/>
          <w:left w:w="28" w:type="dxa"/>
          <w:bottom w:w="28" w:type="dxa"/>
          <w:right w:w="28" w:type="dxa"/>
        </w:tblCellMar>
      </w:tblPr>
      <w:tblGrid>
        <w:gridCol w:w="2381"/>
        <w:gridCol w:w="146"/>
        <w:gridCol w:w="3536"/>
        <w:gridCol w:w="146"/>
        <w:gridCol w:w="303"/>
        <w:gridCol w:w="822"/>
        <w:gridCol w:w="246"/>
        <w:gridCol w:w="146"/>
        <w:gridCol w:w="403"/>
        <w:gridCol w:w="1097"/>
        <w:gridCol w:w="191"/>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35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Short-term</w:t>
            </w:r>
            <w:r>
              <w:rPr>
                <w:rFonts w:ascii="Times New Roman" w:hAnsi="Times New Roman"/>
                <w:sz w:val="20"/>
              </w:rPr>
              <w:t> </w:t>
            </w:r>
            <w:r>
              <w:rPr>
                <w:rFonts w:ascii="Times New Roman;serif" w:hAnsi="Times New Roman;serif"/>
                <w:b w:val="false"/>
                <w:sz w:val="20"/>
              </w:rPr>
              <w:t>derivative asset</w:t>
            </w:r>
          </w:p>
        </w:tc>
        <w:tc>
          <w:tcPr>
            <w:tcW w:w="146" w:type="dxa"/>
            <w:tcBorders/>
            <w:vAlign w:val="center"/>
          </w:tcPr>
          <w:p>
            <w:pPr>
              <w:pStyle w:val="TableContents"/>
              <w:bidi w:val="0"/>
              <w:spacing w:before="0" w:after="0"/>
              <w:ind w:left="100" w:right="0" w:hanging="0"/>
              <w:jc w:val="left"/>
              <w:rPr/>
            </w:pPr>
            <w:r>
              <w:rPr/>
              <w:t> </w:t>
            </w:r>
          </w:p>
        </w:tc>
        <w:tc>
          <w:tcPr>
            <w:tcW w:w="35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191" w:type="dxa"/>
            <w:tcBorders/>
            <w:vAlign w:val="center"/>
          </w:tcPr>
          <w:p>
            <w:pPr>
              <w:pStyle w:val="TableContents"/>
              <w:bidi w:val="0"/>
              <w:spacing w:before="0" w:after="0"/>
              <w:ind w:left="0" w:right="0" w:hanging="0"/>
              <w:jc w:val="left"/>
              <w:rPr/>
            </w:pPr>
            <w:r>
              <w:rPr/>
              <w:t> </w:t>
            </w:r>
          </w:p>
        </w:tc>
      </w:tr>
      <w:tr>
        <w:trPr/>
        <w:tc>
          <w:tcPr>
            <w:tcW w:w="238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Long-term</w:t>
            </w:r>
            <w:r>
              <w:rPr>
                <w:rFonts w:ascii="Times New Roman" w:hAnsi="Times New Roman"/>
                <w:sz w:val="20"/>
              </w:rPr>
              <w:t> </w:t>
            </w:r>
            <w:r>
              <w:rPr>
                <w:rFonts w:ascii="Times New Roman;serif" w:hAnsi="Times New Roman;serif"/>
                <w:b w:val="false"/>
                <w:sz w:val="20"/>
              </w:rPr>
              <w:t>derivative asset</w:t>
            </w:r>
          </w:p>
        </w:tc>
        <w:tc>
          <w:tcPr>
            <w:tcW w:w="146" w:type="dxa"/>
            <w:tcBorders/>
            <w:vAlign w:val="center"/>
          </w:tcPr>
          <w:p>
            <w:pPr>
              <w:pStyle w:val="TableContents"/>
              <w:bidi w:val="0"/>
              <w:spacing w:before="0" w:after="0"/>
              <w:ind w:left="100" w:right="0" w:hanging="0"/>
              <w:jc w:val="left"/>
              <w:rPr/>
            </w:pPr>
            <w:r>
              <w:rPr/>
              <w:t> </w:t>
            </w:r>
          </w:p>
        </w:tc>
        <w:tc>
          <w:tcPr>
            <w:tcW w:w="35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10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11. Fair Value Measurements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ASC 820, </w:t>
      </w:r>
      <w:r>
        <w:rPr>
          <w:rFonts w:ascii="Times New Roman;serif" w:hAnsi="Times New Roman;serif"/>
          <w:b w:val="false"/>
          <w:i/>
          <w:sz w:val="20"/>
        </w:rPr>
        <w:t>Fair Value Measurements and Disclosures</w:t>
      </w:r>
      <w:r>
        <w:rPr>
          <w:rFonts w:ascii="Times New Roman" w:hAnsi="Times New Roman"/>
          <w:sz w:val="20"/>
        </w:rPr>
        <w:t xml:space="preserve"> </w:t>
      </w:r>
      <w:r>
        <w:rPr>
          <w:rFonts w:ascii="Times New Roman;serif" w:hAnsi="Times New Roman;serif"/>
          <w:b w:val="false"/>
          <w:sz w:val="20"/>
        </w:rPr>
        <w:t>(“ASC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Level 1 - Observable inputs that reflect unadjusted quoted prices in active markets for identical assets or liabilities.</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Level 2 - Other inputs that are directly or indirectly observable in the marketplace.</w:t>
      </w:r>
    </w:p>
    <w:p>
      <w:pPr>
        <w:pStyle w:val="TextBody"/>
        <w:bidi w:val="0"/>
        <w:spacing w:before="0" w:after="0"/>
        <w:jc w:val="left"/>
        <w:rPr>
          <w:rFonts w:ascii="Times New Roman" w:hAnsi="Times New Roman"/>
          <w:sz w:val="20"/>
        </w:rPr>
      </w:pPr>
      <w:r>
        <w:rPr>
          <w:rFonts w:ascii="Times New Roman;serif" w:hAnsi="Times New Roman;serif"/>
          <w:b w:val="false"/>
          <w:sz w:val="20"/>
        </w:rPr>
        <w:t>Level 3 - Unobservable inputs that are supported by little or no market activity, including the Company’s own assumptions in determining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Debt</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short- and long-term debt are recorded at their carrying values in the condensed consolidated balance sheets, which may differ from their respective fair values. The carrying values and estimated fair values of the Company’s short- and long-term debt approximate their carrying values as of June 30, 2023 and December 31, 2022, based on interest rates currently available to the Company for similar borrowings.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Money market funds (included in cash and cash equivalents)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Money market funds are recorded at fair value using quoted market prices in active markets and are classified as Level 1 in the fair value hierarchy.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Short-term investments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Derivative financial instruments</w:t>
      </w:r>
    </w:p>
    <w:p>
      <w:pPr>
        <w:pStyle w:val="TextBody"/>
        <w:bidi w:val="0"/>
        <w:spacing w:before="120" w:after="0"/>
        <w:jc w:val="left"/>
        <w:rPr>
          <w:rFonts w:ascii="Times New Roman" w:hAnsi="Times New Roman"/>
          <w:sz w:val="20"/>
        </w:rPr>
      </w:pPr>
      <w:r>
        <w:rPr>
          <w:rFonts w:ascii="Times New Roman;serif" w:hAnsi="Times New Roman;serif"/>
          <w:b w:val="false"/>
          <w:sz w:val="20"/>
        </w:rPr>
        <w:t>Currently, the Company uses interest rate swaps to manage interest rate</w:t>
      </w:r>
      <w:r>
        <w:rPr>
          <w:rFonts w:ascii="Times New Roman" w:hAnsi="Times New Roman"/>
          <w:sz w:val="20"/>
        </w:rPr>
        <w:t xml:space="preserve"> </w:t>
      </w:r>
      <w:r>
        <w:rPr>
          <w:rFonts w:ascii="Times New Roman;serif" w:hAnsi="Times New Roman;serif"/>
          <w:b w:val="false"/>
          <w:sz w:val="20"/>
        </w:rPr>
        <w:t>risk.</w:t>
      </w:r>
      <w:r>
        <w:rPr>
          <w:rFonts w:ascii="Times New Roman" w:hAnsi="Times New Roman"/>
          <w:sz w:val="20"/>
        </w:rPr>
        <w:t xml:space="preserve"> </w:t>
      </w:r>
      <w:r>
        <w:rPr>
          <w:rFonts w:ascii="Times New Roman;serif" w:hAnsi="Times New Roman;serif"/>
          <w:b w:val="false"/>
          <w:sz w:val="20"/>
        </w:rPr>
        <w:t>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comply with the provisions of ASC 820, the Company incorporates credit valuation adjustments to appropriately reflect both its own nonperformance risk and the respective counterparty’s nonperformance risk in the fair value measurements.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June 30, 2023 and December 31, 2022 were classified as Level 2 in the fair value hierarchy.</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Contingent consideration</w:t>
      </w:r>
    </w:p>
    <w:p>
      <w:pPr>
        <w:pStyle w:val="TextBody"/>
        <w:bidi w:val="0"/>
        <w:spacing w:before="120" w:after="0"/>
        <w:jc w:val="left"/>
        <w:rPr>
          <w:rFonts w:ascii="Times New Roman" w:hAnsi="Times New Roman"/>
          <w:sz w:val="20"/>
        </w:rPr>
      </w:pPr>
      <w:r>
        <w:rPr>
          <w:rFonts w:ascii="Times New Roman;serif" w:hAnsi="Times New Roman;serif"/>
          <w:b w:val="false"/>
          <w:sz w:val="20"/>
        </w:rPr>
        <w:t>The deferred consideration that resulted from the acquisition of Analytical Wizards in the first quarter of 2022, which is subject to the meeting of certain expense control metrics during the two-year period following the acquisition, is measured at fair value on a recurring basis. The fair value was estimated based on the present value of the amount expected to be paid at the end of the measurement period. At June 30, 2023, the fair value of the contingent consideration was estimated to be $2.3</w:t>
      </w:r>
      <w:r>
        <w:rPr>
          <w:rFonts w:ascii="Times New Roman" w:hAnsi="Times New Roman"/>
          <w:sz w:val="20"/>
        </w:rPr>
        <w:t xml:space="preserve"> </w:t>
      </w:r>
      <w:r>
        <w:rPr>
          <w:rFonts w:ascii="Times New Roman;serif" w:hAnsi="Times New Roman;serif"/>
          <w:b w:val="false"/>
          <w:sz w:val="20"/>
        </w:rPr>
        <w:t>million and is included in Accrued expenses and other current liabilities on the condensed consolidated balance sheet.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7192" w:type="dxa"/>
        <w:jc w:val="left"/>
        <w:tblInd w:w="0" w:type="dxa"/>
        <w:tblLayout w:type="fixed"/>
        <w:tblCellMar>
          <w:top w:w="28" w:type="dxa"/>
          <w:left w:w="28" w:type="dxa"/>
          <w:bottom w:w="28" w:type="dxa"/>
          <w:right w:w="28" w:type="dxa"/>
        </w:tblCellMar>
      </w:tblPr>
      <w:tblGrid>
        <w:gridCol w:w="4386"/>
        <w:gridCol w:w="146"/>
        <w:gridCol w:w="211"/>
        <w:gridCol w:w="571"/>
        <w:gridCol w:w="246"/>
        <w:gridCol w:w="146"/>
        <w:gridCol w:w="274"/>
        <w:gridCol w:w="821"/>
        <w:gridCol w:w="391"/>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391" w:type="dxa"/>
            <w:tcBorders/>
            <w:vAlign w:val="center"/>
          </w:tcPr>
          <w:p>
            <w:pPr>
              <w:pStyle w:val="TableContents"/>
              <w:bidi w:val="0"/>
              <w:spacing w:before="0" w:after="0"/>
              <w:ind w:left="0" w:right="0" w:firstLine="200"/>
              <w:jc w:val="left"/>
              <w:rPr/>
            </w:pPr>
            <w:r>
              <w:rPr/>
              <w:t> </w:t>
            </w:r>
          </w:p>
        </w:tc>
      </w:tr>
      <w:tr>
        <w:trPr/>
        <w:tc>
          <w:tcPr>
            <w:tcW w:w="438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vAlign w:val="center"/>
          </w:tcPr>
          <w:p>
            <w:pPr>
              <w:pStyle w:val="TableContents"/>
              <w:bidi w:val="0"/>
              <w:spacing w:before="0" w:after="0"/>
              <w:ind w:left="0" w:right="0" w:firstLine="200"/>
              <w:jc w:val="left"/>
              <w:rPr/>
            </w:pPr>
            <w:r>
              <w:rPr/>
              <w:t> </w:t>
            </w:r>
          </w:p>
        </w:tc>
      </w:tr>
      <w:tr>
        <w:trPr/>
        <w:tc>
          <w:tcPr>
            <w:tcW w:w="438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Net change in fair value and other adjustments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391" w:type="dxa"/>
            <w:tcBorders/>
            <w:vAlign w:val="center"/>
          </w:tcPr>
          <w:p>
            <w:pPr>
              <w:pStyle w:val="TableContents"/>
              <w:bidi w:val="0"/>
              <w:spacing w:before="0" w:after="0"/>
              <w:ind w:left="0" w:right="0" w:firstLine="200"/>
              <w:jc w:val="left"/>
              <w:rPr/>
            </w:pPr>
            <w:r>
              <w:rPr/>
              <w:t> </w:t>
            </w:r>
          </w:p>
        </w:tc>
      </w:tr>
      <w:tr>
        <w:trPr/>
        <w:tc>
          <w:tcPr>
            <w:tcW w:w="438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Non-recurring fair value measurements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of the notes to the consolidated financial statements in the Company’s 2022 Form 10-K/A.</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At June 30, 2023 and December 31, 2022, assets and liabilities measured at fair value on a recurring basis were as follows:</w:t>
      </w:r>
    </w:p>
    <w:tbl>
      <w:tblPr>
        <w:tblW w:w="9872" w:type="dxa"/>
        <w:jc w:val="left"/>
        <w:tblInd w:w="0" w:type="dxa"/>
        <w:tblLayout w:type="fixed"/>
        <w:tblCellMar>
          <w:top w:w="28" w:type="dxa"/>
          <w:left w:w="28" w:type="dxa"/>
          <w:bottom w:w="28" w:type="dxa"/>
          <w:right w:w="28" w:type="dxa"/>
        </w:tblCellMar>
      </w:tblPr>
      <w:tblGrid>
        <w:gridCol w:w="4406"/>
        <w:gridCol w:w="146"/>
        <w:gridCol w:w="211"/>
        <w:gridCol w:w="781"/>
        <w:gridCol w:w="246"/>
        <w:gridCol w:w="146"/>
        <w:gridCol w:w="211"/>
        <w:gridCol w:w="676"/>
        <w:gridCol w:w="246"/>
        <w:gridCol w:w="146"/>
        <w:gridCol w:w="211"/>
        <w:gridCol w:w="781"/>
        <w:gridCol w:w="146"/>
        <w:gridCol w:w="146"/>
        <w:gridCol w:w="211"/>
        <w:gridCol w:w="571"/>
        <w:gridCol w:w="591"/>
      </w:tblGrid>
      <w:tr>
        <w:trPr/>
        <w:tc>
          <w:tcPr>
            <w:tcW w:w="4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0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22,160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22,160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 (maturities less than 90 days)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101,900</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79,296</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34,021</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2,098</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591" w:type="dxa"/>
            <w:tcBorders/>
            <w:vAlign w:val="center"/>
          </w:tcPr>
          <w:p>
            <w:pPr>
              <w:pStyle w:val="TableContents"/>
              <w:bidi w:val="0"/>
              <w:spacing w:before="0" w:after="0"/>
              <w:ind w:left="0" w:right="0" w:hanging="0"/>
              <w:jc w:val="left"/>
              <w:rPr/>
            </w:pPr>
            <w:r>
              <w:rPr/>
              <w:t> </w:t>
            </w:r>
          </w:p>
        </w:tc>
      </w:tr>
      <w:tr>
        <w:trPr/>
        <w:tc>
          <w:tcPr>
            <w:tcW w:w="4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0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39,523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39,523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 (maturities less than 90 days)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Certificates of deposit (maturities less than 90 days)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Agency bonds (maturities less than 90 days)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At June 30, 2023 and December 31, 2022, except for the contingent consideration noted above, the estimated fair values of all of the Company’s financial assets and liabilities subject to the three-level fair value hierarchy approximated their carrying values due to their short-term maturities (less than 12 months).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12. 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condensed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Condensed Consolidated Balance Sheets.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7,489,599</w:t>
      </w:r>
      <w:r>
        <w:rPr>
          <w:rFonts w:ascii="Times New Roman" w:hAnsi="Times New Roman"/>
          <w:sz w:val="20"/>
        </w:rPr>
        <w:t xml:space="preserve"> </w:t>
      </w:r>
      <w:r>
        <w:rPr>
          <w:rFonts w:ascii="Times New Roman;serif" w:hAnsi="Times New Roman;serif"/>
          <w:b w:val="false"/>
          <w:sz w:val="20"/>
        </w:rPr>
        <w:t>LLC Units held by Continuing Pre-IPO LLC Members were exchanged for shares of Class A Common Stock of Definitive Healthcare Corp. pursuant to the terms of the Amended LLC Agreement. In addition, 690,370</w:t>
      </w:r>
      <w:r>
        <w:rPr>
          <w:rFonts w:ascii="Times New Roman" w:hAnsi="Times New Roman"/>
          <w:sz w:val="20"/>
        </w:rPr>
        <w:t xml:space="preserve"> </w:t>
      </w:r>
      <w:r>
        <w:rPr>
          <w:rFonts w:ascii="Times New Roman;serif" w:hAnsi="Times New Roman;serif"/>
          <w:b w:val="false"/>
          <w:sz w:val="20"/>
        </w:rPr>
        <w:t>restricted stock units vested and 233,078</w:t>
      </w:r>
      <w:r>
        <w:rPr>
          <w:rFonts w:ascii="Times New Roman" w:hAnsi="Times New Roman"/>
          <w:sz w:val="20"/>
        </w:rPr>
        <w:t xml:space="preserve"> </w:t>
      </w:r>
      <w:r>
        <w:rPr>
          <w:rFonts w:ascii="Times New Roman;serif" w:hAnsi="Times New Roman;serif"/>
          <w:b w:val="false"/>
          <w:sz w:val="20"/>
        </w:rPr>
        <w:t>shares were withheld to cover withholding tax obligations, resulting in the net issuance of 457,292</w:t>
      </w:r>
      <w:r>
        <w:rPr>
          <w:rFonts w:ascii="Times New Roman" w:hAnsi="Times New Roman"/>
          <w:sz w:val="20"/>
        </w:rPr>
        <w:t xml:space="preserve"> </w:t>
      </w:r>
      <w:r>
        <w:rPr>
          <w:rFonts w:ascii="Times New Roman;serif" w:hAnsi="Times New Roman;serif"/>
          <w:b w:val="false"/>
          <w:sz w:val="20"/>
        </w:rPr>
        <w:t>shares of Class A Common Stock of Definitive Healthcare Corp., for which LLC Units were issued on a one-for-one basis pursuant to the Definitive OpCo second amended and restated limited liability company agreement entered into in connection with the IPO.</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Definitive Healthcare Corp. held ownership interests in Definitive OpCo of 73.1% and 68.2%, respectively, and noncontrolling interests of 26.9% and 31.8%, respectively</w:t>
      </w:r>
      <w:r>
        <w:rPr>
          <w:rFonts w:ascii="Times New Roman;serif" w:hAnsi="Times New Roman;serif"/>
          <w:b w:val="false"/>
          <w:sz w:val="24"/>
        </w:rPr>
        <w:t>.</w:t>
      </w:r>
    </w:p>
    <w:p>
      <w:pPr>
        <w:pStyle w:val="TextBody"/>
        <w:bidi w:val="0"/>
        <w:spacing w:before="360" w:after="0"/>
        <w:jc w:val="left"/>
        <w:rPr>
          <w:rFonts w:ascii="Times New Roman;serif" w:hAnsi="Times New Roman;serif"/>
          <w:b/>
          <w:sz w:val="20"/>
        </w:rPr>
      </w:pPr>
      <w:r>
        <w:rPr>
          <w:rFonts w:ascii="Times New Roman;serif" w:hAnsi="Times New Roman;serif"/>
          <w:b/>
          <w:sz w:val="20"/>
        </w:rPr>
        <w:t>13. Accumulated Other Comprehensive Income</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 the changes in accumulated balances of other comprehensive income for the three and six months ended June 30, 2023 and 2022, respectively.</w:t>
      </w:r>
      <w:r>
        <w:rPr>
          <w:rFonts w:ascii="Times New Roman" w:hAnsi="Times New Roman"/>
          <w:sz w:val="20"/>
        </w:rPr>
        <w:t xml:space="preserve"> </w:t>
      </w:r>
    </w:p>
    <w:tbl>
      <w:tblPr>
        <w:tblW w:w="10275" w:type="dxa"/>
        <w:jc w:val="left"/>
        <w:tblInd w:w="0" w:type="dxa"/>
        <w:tblLayout w:type="fixed"/>
        <w:tblCellMar>
          <w:top w:w="28" w:type="dxa"/>
          <w:left w:w="28" w:type="dxa"/>
          <w:bottom w:w="28" w:type="dxa"/>
          <w:right w:w="28" w:type="dxa"/>
        </w:tblCellMar>
      </w:tblPr>
      <w:tblGrid>
        <w:gridCol w:w="1426"/>
        <w:gridCol w:w="239"/>
        <w:gridCol w:w="647"/>
        <w:gridCol w:w="166"/>
        <w:gridCol w:w="293"/>
        <w:gridCol w:w="668"/>
        <w:gridCol w:w="166"/>
        <w:gridCol w:w="306"/>
        <w:gridCol w:w="700"/>
        <w:gridCol w:w="166"/>
        <w:gridCol w:w="211"/>
        <w:gridCol w:w="571"/>
        <w:gridCol w:w="166"/>
        <w:gridCol w:w="146"/>
        <w:gridCol w:w="222"/>
        <w:gridCol w:w="664"/>
        <w:gridCol w:w="166"/>
        <w:gridCol w:w="293"/>
        <w:gridCol w:w="668"/>
        <w:gridCol w:w="166"/>
        <w:gridCol w:w="306"/>
        <w:gridCol w:w="700"/>
        <w:gridCol w:w="166"/>
        <w:gridCol w:w="211"/>
        <w:gridCol w:w="631"/>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0"/>
              <w:ind w:left="0" w:right="0" w:hanging="0"/>
              <w:jc w:val="left"/>
              <w:rPr/>
            </w:pPr>
            <w:r>
              <w:rPr/>
              <w:t> </w:t>
            </w:r>
          </w:p>
        </w:tc>
        <w:tc>
          <w:tcPr>
            <w:tcW w:w="4133"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93"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 (Loss) on Cash Flow Hedges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 on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Foreign Currency Translation Adjustments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 (Loss) on Cash Flow Hedges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 on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Foreign Currency Translation Adjustments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3,356</w:t>
            </w:r>
          </w:p>
        </w:tc>
        <w:tc>
          <w:tcPr>
            <w:tcW w:w="16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4,307</w:t>
            </w:r>
          </w:p>
        </w:tc>
        <w:tc>
          <w:tcPr>
            <w:tcW w:w="16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21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before reclassifications</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16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w:t>
            </w:r>
          </w:p>
        </w:tc>
        <w:tc>
          <w:tcPr>
            <w:tcW w:w="16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w:t>
            </w:r>
          </w:p>
        </w:tc>
        <w:tc>
          <w:tcPr>
            <w:tcW w:w="21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reclassified from AOCI</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442"/>
        <w:gridCol w:w="241"/>
        <w:gridCol w:w="653"/>
        <w:gridCol w:w="146"/>
        <w:gridCol w:w="295"/>
        <w:gridCol w:w="672"/>
        <w:gridCol w:w="166"/>
        <w:gridCol w:w="309"/>
        <w:gridCol w:w="707"/>
        <w:gridCol w:w="166"/>
        <w:gridCol w:w="211"/>
        <w:gridCol w:w="571"/>
        <w:gridCol w:w="146"/>
        <w:gridCol w:w="146"/>
        <w:gridCol w:w="241"/>
        <w:gridCol w:w="653"/>
        <w:gridCol w:w="146"/>
        <w:gridCol w:w="295"/>
        <w:gridCol w:w="672"/>
        <w:gridCol w:w="166"/>
        <w:gridCol w:w="309"/>
        <w:gridCol w:w="707"/>
        <w:gridCol w:w="166"/>
        <w:gridCol w:w="211"/>
        <w:gridCol w:w="571"/>
        <w:gridCol w:w="197"/>
      </w:tblGrid>
      <w:tr>
        <w:trPr/>
        <w:tc>
          <w:tcPr>
            <w:tcW w:w="14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42" w:type="dxa"/>
            <w:tcBorders/>
            <w:vAlign w:val="center"/>
          </w:tcPr>
          <w:p>
            <w:pPr>
              <w:pStyle w:val="TableContents"/>
              <w:bidi w:val="0"/>
              <w:spacing w:before="0" w:after="0"/>
              <w:ind w:left="0" w:right="0" w:hanging="0"/>
              <w:jc w:val="left"/>
              <w:rPr/>
            </w:pPr>
            <w:r>
              <w:rPr/>
              <w:t> </w:t>
            </w:r>
          </w:p>
        </w:tc>
        <w:tc>
          <w:tcPr>
            <w:tcW w:w="4137"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 as restated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37"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 as restated</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42"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8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 on Cash Flow Hedges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 on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Foreign Currency Translation Adjustments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 on Cash Flow Hedges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 on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Foreign Currency Translation Adjustments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97" w:type="dxa"/>
            <w:tcBorders/>
            <w:vAlign w:val="center"/>
          </w:tcPr>
          <w:p>
            <w:pPr>
              <w:pStyle w:val="TableContents"/>
              <w:bidi w:val="0"/>
              <w:spacing w:before="0" w:after="0"/>
              <w:ind w:left="0" w:right="0" w:hanging="0"/>
              <w:jc w:val="left"/>
              <w:rPr/>
            </w:pPr>
            <w:r>
              <w:rPr/>
              <w:t> </w:t>
            </w:r>
          </w:p>
        </w:tc>
      </w:tr>
      <w:tr>
        <w:trPr/>
        <w:tc>
          <w:tcPr>
            <w:tcW w:w="14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before reclassifications</w:t>
            </w:r>
          </w:p>
        </w:tc>
        <w:tc>
          <w:tcPr>
            <w:tcW w:w="241"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9"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1,874</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w:t>
            </w:r>
          </w:p>
        </w:tc>
        <w:tc>
          <w:tcPr>
            <w:tcW w:w="197" w:type="dxa"/>
            <w:tcBorders/>
            <w:vAlign w:val="center"/>
          </w:tcPr>
          <w:p>
            <w:pPr>
              <w:pStyle w:val="TableContents"/>
              <w:bidi w:val="0"/>
              <w:spacing w:before="0" w:after="0"/>
              <w:ind w:left="0" w:right="0" w:hanging="0"/>
              <w:jc w:val="left"/>
              <w:rPr/>
            </w:pPr>
            <w:r>
              <w:rPr/>
              <w:t> </w:t>
            </w:r>
          </w:p>
        </w:tc>
      </w:tr>
      <w:tr>
        <w:trPr/>
        <w:tc>
          <w:tcPr>
            <w:tcW w:w="14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reclassified from AOCI</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14. Equity-Based Compensation</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Company recognizes equity-based compensation expense associated with awards granted under equity incentive plans. Equity-based compensation expense is allocated to all departments based on the recipients of the compensation. A summary of the expense by line item in the condensed consolidated statements of operations for the three and six months ended June 30, 2023 and 2022, respectively, is provided in the following table.</w:t>
      </w:r>
    </w:p>
    <w:tbl>
      <w:tblPr>
        <w:tblW w:w="7405" w:type="dxa"/>
        <w:jc w:val="left"/>
        <w:tblInd w:w="0" w:type="dxa"/>
        <w:tblLayout w:type="fixed"/>
        <w:tblCellMar>
          <w:top w:w="28" w:type="dxa"/>
          <w:left w:w="28" w:type="dxa"/>
          <w:bottom w:w="28" w:type="dxa"/>
          <w:right w:w="28" w:type="dxa"/>
        </w:tblCellMar>
      </w:tblPr>
      <w:tblGrid>
        <w:gridCol w:w="2446"/>
        <w:gridCol w:w="146"/>
        <w:gridCol w:w="243"/>
        <w:gridCol w:w="781"/>
        <w:gridCol w:w="168"/>
        <w:gridCol w:w="168"/>
        <w:gridCol w:w="243"/>
        <w:gridCol w:w="659"/>
        <w:gridCol w:w="146"/>
        <w:gridCol w:w="146"/>
        <w:gridCol w:w="211"/>
        <w:gridCol w:w="677"/>
        <w:gridCol w:w="146"/>
        <w:gridCol w:w="146"/>
        <w:gridCol w:w="211"/>
        <w:gridCol w:w="677"/>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19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8,802</w:t>
            </w:r>
          </w:p>
        </w:tc>
        <w:tc>
          <w:tcPr>
            <w:tcW w:w="19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3,319</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3,130</w:t>
            </w:r>
          </w:p>
        </w:tc>
        <w:tc>
          <w:tcPr>
            <w:tcW w:w="19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5,828</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compensation expense</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12,363</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15. Income Taxes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has recorded net deferred tax liabilities of $78.6</w:t>
      </w:r>
      <w:r>
        <w:rPr>
          <w:rFonts w:ascii="Times New Roman" w:hAnsi="Times New Roman"/>
          <w:sz w:val="20"/>
        </w:rPr>
        <w:t xml:space="preserve"> </w:t>
      </w:r>
      <w:r>
        <w:rPr>
          <w:rFonts w:ascii="Times New Roman;serif" w:hAnsi="Times New Roman;serif"/>
          <w:b w:val="false"/>
          <w:sz w:val="20"/>
        </w:rPr>
        <w:t>million and $75.6</w:t>
      </w:r>
      <w:r>
        <w:rPr>
          <w:rFonts w:ascii="Times New Roman" w:hAnsi="Times New Roman"/>
          <w:sz w:val="20"/>
        </w:rPr>
        <w:t xml:space="preserve"> </w:t>
      </w:r>
      <w:r>
        <w:rPr>
          <w:rFonts w:ascii="Times New Roman;serif" w:hAnsi="Times New Roman;serif"/>
          <w:b w:val="false"/>
          <w:sz w:val="20"/>
        </w:rPr>
        <w:t>million, respectively. The net deferred tax liability reflects a valuation allowance against deferred tax assets that are more likely than not to not be realized as well as reversing taxable temporary differences that will not provide a source of taxable income due to attribute limitation rules.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uncertain income tax positions when it is more-likely-than-not the position will be sustained upon examination. As of June 30, 2023 and December 31, 2022, the Company has not identified any uncertain tax positions and has not recognized any related reserves.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effective tax rate was 11.3%</w:t>
      </w:r>
      <w:r>
        <w:rPr>
          <w:rFonts w:ascii="Times New Roman" w:hAnsi="Times New Roman"/>
          <w:sz w:val="20"/>
        </w:rPr>
        <w:t xml:space="preserve"> </w:t>
      </w:r>
      <w:r>
        <w:rPr>
          <w:rFonts w:ascii="Times New Roman;serif" w:hAnsi="Times New Roman;serif"/>
          <w:b w:val="false"/>
          <w:sz w:val="20"/>
        </w:rPr>
        <w:t>and 2.1%, as restated, for the three months ended June 30, 2023 and 2022, respectively, and 7.4%</w:t>
      </w:r>
      <w:r>
        <w:rPr>
          <w:rFonts w:ascii="Times New Roman" w:hAnsi="Times New Roman"/>
          <w:sz w:val="20"/>
        </w:rPr>
        <w:t xml:space="preserve"> </w:t>
      </w:r>
      <w:r>
        <w:rPr>
          <w:rFonts w:ascii="Times New Roman;serif" w:hAnsi="Times New Roman;serif"/>
          <w:b w:val="false"/>
          <w:sz w:val="20"/>
        </w:rPr>
        <w:t>and 2.7%, as restated, for the six months ended June 30, 2023 and 2022, respectively. The Company’s effective tax rate differs from the statutory tax rate of 21% due to the valuation allowance recorded, foreign tax rates that differ from the U.S. statutory tax rate, and partnership income that is not taxed.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described above, the Company has a valuation allowance as it has not yet attained a sustained level of profitability and the objectively verifiable negative evidence outweighed the positive evidence. 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Tax Receivable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the Company’s election under Section 754 of the Internal Revenue Code (the “Code”), the Company expects to obtain an increase in its share of the tax basis in the net assets of Definitive OpCo when LLC Interests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IPO, the Company entered into a Tax Receivable Agreement (“TRA”) among Definitive Healthcare Corp., Definitive OpCo, and the TRA Parties and has recorded a liability under the TRA of $170.7</w:t>
      </w:r>
      <w:r>
        <w:rPr>
          <w:rFonts w:ascii="Times New Roman" w:hAnsi="Times New Roman"/>
          <w:sz w:val="20"/>
        </w:rPr>
        <w:t xml:space="preserve"> </w:t>
      </w:r>
      <w:r>
        <w:rPr>
          <w:rFonts w:ascii="Times New Roman;serif" w:hAnsi="Times New Roman;serif"/>
          <w:b w:val="false"/>
          <w:sz w:val="20"/>
        </w:rPr>
        <w:t>million and $155.1</w:t>
      </w:r>
      <w:r>
        <w:rPr>
          <w:rFonts w:ascii="Times New Roman" w:hAnsi="Times New Roman"/>
          <w:sz w:val="20"/>
        </w:rPr>
        <w:t xml:space="preserve"> </w:t>
      </w:r>
      <w:r>
        <w:rPr>
          <w:rFonts w:ascii="Times New Roman;serif" w:hAnsi="Times New Roman;serif"/>
          <w:b w:val="false"/>
          <w:sz w:val="20"/>
        </w:rPr>
        <w:t>million, as restated, as of June 30, 2023 and December 31, 2022, respectively. During the three and six months ended June 30, 2023, the Company recognized a TRA remeasurement loss of $1.1</w:t>
      </w:r>
      <w:r>
        <w:rPr>
          <w:rFonts w:ascii="Times New Roman" w:hAnsi="Times New Roman"/>
          <w:sz w:val="20"/>
        </w:rPr>
        <w:t xml:space="preserve"> </w:t>
      </w:r>
      <w:r>
        <w:rPr>
          <w:rFonts w:ascii="Times New Roman;serif" w:hAnsi="Times New Roman;serif"/>
          <w:b w:val="false"/>
          <w:sz w:val="20"/>
        </w:rPr>
        <w:t>million and $4.7</w:t>
      </w:r>
      <w:r>
        <w:rPr>
          <w:rFonts w:ascii="Times New Roman" w:hAnsi="Times New Roman"/>
          <w:sz w:val="20"/>
        </w:rPr>
        <w:t xml:space="preserve"> </w:t>
      </w:r>
      <w:r>
        <w:rPr>
          <w:rFonts w:ascii="Times New Roman;serif" w:hAnsi="Times New Roman;serif"/>
          <w:b w:val="false"/>
          <w:sz w:val="20"/>
        </w:rPr>
        <w:t>million, respectively. During the three and six months ended June 30, 2022, the Company recognized a TRA remeasurement gain of $3.5</w:t>
      </w:r>
      <w:r>
        <w:rPr>
          <w:rFonts w:ascii="Times New Roman" w:hAnsi="Times New Roman"/>
          <w:sz w:val="20"/>
        </w:rPr>
        <w:t xml:space="preserve"> </w:t>
      </w:r>
      <w:r>
        <w:rPr>
          <w:rFonts w:ascii="Times New Roman;serif" w:hAnsi="Times New Roman;serif"/>
          <w:b w:val="false"/>
          <w:sz w:val="20"/>
        </w:rPr>
        <w:t>million, as restated, and $3.3</w:t>
      </w:r>
      <w:r>
        <w:rPr>
          <w:rFonts w:ascii="Times New Roman" w:hAnsi="Times New Roman"/>
          <w:sz w:val="20"/>
        </w:rPr>
        <w:t xml:space="preserve"> </w:t>
      </w:r>
      <w:r>
        <w:rPr>
          <w:rFonts w:ascii="Times New Roman;serif" w:hAnsi="Times New Roman;serif"/>
          <w:b w:val="false"/>
          <w:sz w:val="20"/>
        </w:rPr>
        <w:t>million, as restated, respectively. Losses and gains in both periods were recognized within Other (expense) income, net in the Company’s condensed consolidated statements of operations.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w:t>
      </w:r>
      <w:r>
        <w:rPr>
          <w:rFonts w:ascii="Times New Roman" w:hAnsi="Times New Roman"/>
          <w:sz w:val="20"/>
        </w:rPr>
        <w:t xml:space="preserve"> </w:t>
      </w:r>
      <w:r>
        <w:rPr>
          <w:rFonts w:ascii="Times New Roman;serif" w:hAnsi="Times New Roman;serif"/>
          <w:b w:val="false"/>
          <w:sz w:val="20"/>
        </w:rPr>
        <w:t>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16. Loss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sets forth reconciliations of the numerators and denominators used to compute basic and diluted net loss per share of Class A Common Stock for the three and six months ended June 30, 2023 and 2022.</w:t>
      </w:r>
      <w:r>
        <w:rPr>
          <w:rFonts w:ascii="Times New Roman" w:hAnsi="Times New Roman"/>
          <w:sz w:val="20"/>
        </w:rPr>
        <w:t xml:space="preserve"> </w:t>
      </w:r>
    </w:p>
    <w:tbl>
      <w:tblPr>
        <w:tblW w:w="10187" w:type="dxa"/>
        <w:jc w:val="left"/>
        <w:tblInd w:w="0" w:type="dxa"/>
        <w:tblLayout w:type="fixed"/>
        <w:tblCellMar>
          <w:top w:w="28" w:type="dxa"/>
          <w:left w:w="28" w:type="dxa"/>
          <w:bottom w:w="28" w:type="dxa"/>
          <w:right w:w="28" w:type="dxa"/>
        </w:tblCellMar>
      </w:tblPr>
      <w:tblGrid>
        <w:gridCol w:w="4426"/>
        <w:gridCol w:w="211"/>
        <w:gridCol w:w="736"/>
        <w:gridCol w:w="246"/>
        <w:gridCol w:w="246"/>
        <w:gridCol w:w="240"/>
        <w:gridCol w:w="840"/>
        <w:gridCol w:w="266"/>
        <w:gridCol w:w="246"/>
        <w:gridCol w:w="211"/>
        <w:gridCol w:w="736"/>
        <w:gridCol w:w="246"/>
        <w:gridCol w:w="246"/>
        <w:gridCol w:w="240"/>
        <w:gridCol w:w="840"/>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 </w:t>
            </w:r>
          </w:p>
        </w:tc>
        <w:tc>
          <w:tcPr>
            <w:tcW w:w="251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51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947"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1" w:type="dxa"/>
            <w:tcBorders/>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Numerator:</w:t>
            </w:r>
          </w:p>
        </w:tc>
        <w:tc>
          <w:tcPr>
            <w:tcW w:w="947"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8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80" w:type="dxa"/>
            <w:gridSpan w:val="2"/>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(27,577</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(3,039</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(6,948</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(8,566</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(20,629</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net loss per share of Class A Common Stock for the three and six months ended June 30, 2023 and 2022 (per share amounts unaudited).</w:t>
      </w:r>
    </w:p>
    <w:tbl>
      <w:tblPr>
        <w:tblW w:w="10205" w:type="dxa"/>
        <w:jc w:val="left"/>
        <w:tblInd w:w="0" w:type="dxa"/>
        <w:tblLayout w:type="fixed"/>
        <w:tblCellMar>
          <w:top w:w="28" w:type="dxa"/>
          <w:left w:w="28" w:type="dxa"/>
          <w:bottom w:w="28" w:type="dxa"/>
          <w:right w:w="28" w:type="dxa"/>
        </w:tblCellMar>
      </w:tblPr>
      <w:tblGrid>
        <w:gridCol w:w="3680"/>
        <w:gridCol w:w="211"/>
        <w:gridCol w:w="1141"/>
        <w:gridCol w:w="166"/>
        <w:gridCol w:w="146"/>
        <w:gridCol w:w="211"/>
        <w:gridCol w:w="1036"/>
        <w:gridCol w:w="166"/>
        <w:gridCol w:w="146"/>
        <w:gridCol w:w="211"/>
        <w:gridCol w:w="1141"/>
        <w:gridCol w:w="166"/>
        <w:gridCol w:w="146"/>
        <w:gridCol w:w="211"/>
        <w:gridCol w:w="1036"/>
        <w:gridCol w:w="391"/>
      </w:tblGrid>
      <w:tr>
        <w:trPr/>
        <w:tc>
          <w:tcPr>
            <w:tcW w:w="3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0"/>
              <w:ind w:left="0" w:right="0" w:hanging="0"/>
              <w:jc w:val="left"/>
              <w:rPr/>
            </w:pPr>
            <w:r>
              <w:rPr/>
              <w:t> </w:t>
            </w:r>
          </w:p>
        </w:tc>
        <w:tc>
          <w:tcPr>
            <w:tcW w:w="29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80"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80"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number of shares and per share amounts)</w:t>
            </w:r>
          </w:p>
        </w:tc>
        <w:tc>
          <w:tcPr>
            <w:tcW w:w="13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391" w:type="dxa"/>
            <w:tcBorders/>
            <w:vAlign w:val="center"/>
          </w:tcPr>
          <w:p>
            <w:pPr>
              <w:pStyle w:val="TableContents"/>
              <w:bidi w:val="0"/>
              <w:spacing w:before="0" w:after="0"/>
              <w:ind w:left="0" w:right="0" w:hanging="0"/>
              <w:jc w:val="center"/>
              <w:rPr/>
            </w:pPr>
            <w:r>
              <w:rPr/>
              <w:t> </w:t>
            </w:r>
          </w:p>
        </w:tc>
      </w:tr>
      <w:tr>
        <w:trPr/>
        <w:tc>
          <w:tcPr>
            <w:tcW w:w="36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loss per share attributable to common stockholders</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6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6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Allocation of net loss attributable to Definitive Healthcare Corp.</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(14,067</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6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shares of Class A Common Stock outstanding</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111,768,782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99,203,697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110,011,177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98,186,909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potentially dilutive securities excluded from the computation of diluted net loss per share for the period presented because their effect would have been anti-dilutive:</w:t>
      </w:r>
    </w:p>
    <w:tbl>
      <w:tblPr>
        <w:tblW w:w="7033" w:type="dxa"/>
        <w:jc w:val="left"/>
        <w:tblInd w:w="0" w:type="dxa"/>
        <w:tblLayout w:type="fixed"/>
        <w:tblCellMar>
          <w:top w:w="28" w:type="dxa"/>
          <w:left w:w="28" w:type="dxa"/>
          <w:bottom w:w="28" w:type="dxa"/>
          <w:right w:w="28" w:type="dxa"/>
        </w:tblCellMar>
      </w:tblPr>
      <w:tblGrid>
        <w:gridCol w:w="4186"/>
        <w:gridCol w:w="146"/>
        <w:gridCol w:w="1036"/>
        <w:gridCol w:w="146"/>
        <w:gridCol w:w="146"/>
        <w:gridCol w:w="146"/>
        <w:gridCol w:w="103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OpCo LLC Units (vested and unvested)</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42,861,612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54,745,380</w:t>
            </w:r>
          </w:p>
        </w:tc>
        <w:tc>
          <w:tcPr>
            <w:tcW w:w="19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6,049,898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3,762,621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17. Related Parties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Company has engaged in revenue transactions within the ordinary course of business with entities affiliated with its private equity sponsors and with members of the Company’s board of directors. During each of the three months ended June 30, 2023 and 2022 the Company recorded revenue from related parties of $0.3</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During each of the six months ended June 30, 2023 and 2022, the Company recorded revenue from related parties of $0.7</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There were no receivables for related party revenue transactions at June 30, 2023. Receivables for related party revenue transactions amounted to $0.8</w:t>
      </w:r>
      <w:r>
        <w:rPr>
          <w:rFonts w:ascii="Times New Roman" w:hAnsi="Times New Roman"/>
          <w:sz w:val="20"/>
        </w:rPr>
        <w:t xml:space="preserve"> </w:t>
      </w:r>
      <w:r>
        <w:rPr>
          <w:rFonts w:ascii="Times New Roman;serif" w:hAnsi="Times New Roman;serif"/>
          <w:b w:val="false"/>
          <w:sz w:val="20"/>
        </w:rPr>
        <w:t>million at December 31, 2022.</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18. Subsequent Events</w:t>
      </w:r>
    </w:p>
    <w:p>
      <w:pPr>
        <w:pStyle w:val="TextBody"/>
        <w:bidi w:val="0"/>
        <w:spacing w:before="120" w:after="120"/>
        <w:jc w:val="left"/>
        <w:rPr>
          <w:rFonts w:ascii="Times New Roman" w:hAnsi="Times New Roman"/>
          <w:sz w:val="20"/>
        </w:rPr>
      </w:pPr>
      <w:r>
        <w:rPr>
          <w:rFonts w:ascii="Times New Roman;serif" w:hAnsi="Times New Roman;serif"/>
          <w:b w:val="false"/>
          <w:sz w:val="20"/>
        </w:rPr>
        <w:t>On July 17, 2023, the Company signed a definitive agreement to acquire Populi, Inc. (“Populi”), a privately-held company incorporated in Delaware. Populi is a small healthcare analytics company that uses artificial intelligence-driven software to deliver accessible analytics-as-a-service through integrations and API’s to the data science platforms that providers use every day. Consideration for Populi consists of $52.0</w:t>
      </w:r>
      <w:r>
        <w:rPr>
          <w:rFonts w:ascii="Times New Roman" w:hAnsi="Times New Roman"/>
          <w:sz w:val="20"/>
        </w:rPr>
        <w:t xml:space="preserve"> </w:t>
      </w:r>
      <w:r>
        <w:rPr>
          <w:rFonts w:ascii="Times New Roman;serif" w:hAnsi="Times New Roman;serif"/>
          <w:b w:val="false"/>
          <w:sz w:val="20"/>
        </w:rPr>
        <w:t>million in cash, subject to working capital adjustments, with the potential for additional consideration contingent upon achievement of certain performance-based milestones in 2024 and 2025.</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On July 21, 2023, the Company completed the purchase of Populi. The initial accounting for the business combination is incomplete as a result of the timing of the acquisition.</w:t>
      </w:r>
    </w:p>
    <w:p>
      <w:pPr>
        <w:pStyle w:val="TextBody"/>
        <w:bidi w:val="0"/>
        <w:spacing w:before="120" w:after="120"/>
        <w:jc w:val="left"/>
        <w:rPr>
          <w:rFonts w:ascii="Times New Roman" w:hAnsi="Times New Roman"/>
          <w:sz w:val="20"/>
        </w:rPr>
      </w:pPr>
      <w:r>
        <w:rPr>
          <w:rFonts w:ascii="Times New Roman;serif" w:hAnsi="Times New Roman;serif"/>
          <w:b w:val="false"/>
          <w:sz w:val="20"/>
        </w:rPr>
        <w:t>On July 27, 2023, the Company committed to a restructuring plan intended to reduce operating costs, improve operating margins, and continue advancing the Company’s ongoing commitment to profitable growth. The Company estimates that in the third quarter of 2023 it will incur pre-tax cash restructuring and related charges of approximately $1.8</w:t>
      </w:r>
      <w:r>
        <w:rPr>
          <w:rFonts w:ascii="Times New Roman" w:hAnsi="Times New Roman"/>
          <w:sz w:val="20"/>
        </w:rPr>
        <w:t xml:space="preserve"> </w:t>
      </w:r>
      <w:r>
        <w:rPr>
          <w:rFonts w:ascii="Times New Roman;serif" w:hAnsi="Times New Roman;serif"/>
          <w:b w:val="false"/>
          <w:sz w:val="20"/>
        </w:rPr>
        <w:t>million to $2.0</w:t>
      </w:r>
      <w:r>
        <w:rPr>
          <w:rFonts w:ascii="Times New Roman" w:hAnsi="Times New Roman"/>
          <w:sz w:val="20"/>
        </w:rPr>
        <w:t xml:space="preserve"> </w:t>
      </w:r>
      <w:r>
        <w:rPr>
          <w:rFonts w:ascii="Times New Roman;serif" w:hAnsi="Times New Roman;serif"/>
          <w:b w:val="false"/>
          <w:sz w:val="20"/>
        </w:rPr>
        <w:t>million, consisting primarily of severance payments, employee benefits, and related cash expenses, as well as an immaterial non-cash stock-based compensation charge related to the vesting of share-based awards for employees who are terminated. The Company expects these actions will be substantially complete by the end of the third quarter of 2023.</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1" w:name="item_2_managements_discussion"/>
      <w:bookmarkEnd w:id="11"/>
      <w:r>
        <w:rPr>
          <w:rFonts w:ascii="Times New Roman;serif" w:hAnsi="Times New Roman;serif"/>
          <w:b/>
          <w:sz w:val="20"/>
        </w:rPr>
        <w:t>ITEM 2 - 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unaudited interim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2022 Form 10-K/A.</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2022 Form 10-K/A.</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3,000 customers as of June 30, 2023. We generally define a customer as a company that maintains one or more active paid subscriptions to our platform.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pStyle w:val="TextBody"/>
        <w:bidi w:val="0"/>
        <w:spacing w:before="240" w:after="0"/>
        <w:jc w:val="left"/>
        <w:rPr>
          <w:rFonts w:ascii="Times New Roman;serif" w:hAnsi="Times New Roman;serif"/>
          <w:b/>
          <w:sz w:val="20"/>
        </w:rPr>
      </w:pPr>
      <w:r>
        <w:rPr>
          <w:rFonts w:ascii="Times New Roman;serif" w:hAnsi="Times New Roman;serif"/>
          <w:b/>
          <w:sz w:val="20"/>
        </w:rPr>
        <w:t>Restatement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described in the Note 1 of “Notes to the Consolidated Financial Statements,” we have restated our consolidated financial statements and Item 2. Management’s Discussion of Financial Condition and Results of Operations for the three and six months ended June 30, 2022.</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Recent Developments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Acquisitions</w:t>
      </w:r>
    </w:p>
    <w:p>
      <w:pPr>
        <w:pStyle w:val="TextBody"/>
        <w:bidi w:val="0"/>
        <w:spacing w:before="120" w:after="120"/>
        <w:jc w:val="left"/>
        <w:rPr>
          <w:rFonts w:ascii="Times New Roman" w:hAnsi="Times New Roman"/>
          <w:sz w:val="20"/>
        </w:rPr>
      </w:pPr>
      <w:r>
        <w:rPr>
          <w:rFonts w:ascii="Times New Roman;serif" w:hAnsi="Times New Roman;serif"/>
          <w:b w:val="false"/>
          <w:sz w:val="20"/>
        </w:rPr>
        <w:t>On July 17, 2023, we signed a definitive agreement to acquire Populi, Inc. (“Populi”), a privately-held company incorporated in Delaware. Populi is a small healthcare analytics company that uses artificial intelligence-driven software to deliver accessible analytics-as-a-service through integrations and API’s to the data science platforms that providers use every day. Consideration for Populi consists of $52.0 million in cash, subject to working capital adjustments, with the potential for additional consideration contingent upon achievement of certain performance-based milestones in 2024 and 2025.</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On July 21, 2023, we completed the purchase of Populi. The initial accounting for the business combination is incomplete as a result of the timing of the acquisition.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Restructuring charges</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12, 2023, we announced a restructuring plan intended to reduce operating costs, improve operating margins, and continue advancing our ongoing commitment to profitable growth. During the three and six months ended June 30, 2023, we incurred restructuring and related charges of $0.3 million and $2.5 million, respectively, consisting primarily of severance payments, employee benefits, and related cash expenses. These charges were recognized within Transaction, integration, and restructuring expenses in our condensed consolidated statements of operations. We expect to incur an additional $0.2 million of expense through the third quarter of 2023 associated with the restructuring plan.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27, 2023, we committed to a subsequent restructuring plan intended to reduce operating costs, improve operating margins, and continue advancing our ongoing commitment to profitable growth. We estimate that in the third quarter of 2023 we will incur pre-tax cash restructuring and related charges of approximately $1.8 million to $2.0 million, consisting primarily of severance payments, employee benefits, and related cash expenses, as well as an immaterial non-cash stock-based compensation charge related to the vesting of share-based awards for employees who are terminated. We expect these actions will be substantially complete by the end of the third quarter of 2023.</w:t>
      </w:r>
    </w:p>
    <w:p>
      <w:pPr>
        <w:pStyle w:val="TextBody"/>
        <w:bidi w:val="0"/>
        <w:spacing w:before="360" w:after="0"/>
        <w:jc w:val="left"/>
        <w:rPr>
          <w:rFonts w:ascii="Times New Roman;serif" w:hAnsi="Times New Roman;serif"/>
          <w:b/>
          <w:sz w:val="20"/>
        </w:rPr>
      </w:pPr>
      <w:r>
        <w:rPr>
          <w:rFonts w:ascii="Times New Roman;serif" w:hAnsi="Times New Roman;serif"/>
          <w:b/>
          <w:sz w:val="20"/>
        </w:rPr>
        <w:t>Macroeconomic Conditions</w:t>
      </w:r>
    </w:p>
    <w:p>
      <w:pPr>
        <w:pStyle w:val="TextBody"/>
        <w:bidi w:val="0"/>
        <w:spacing w:before="120" w:after="0"/>
        <w:jc w:val="left"/>
        <w:rPr>
          <w:rFonts w:ascii="Times New Roman" w:hAnsi="Times New Roman"/>
          <w:sz w:val="20"/>
        </w:rPr>
      </w:pPr>
      <w:r>
        <w:rPr>
          <w:rFonts w:ascii="Times New Roman;serif" w:hAnsi="Times New Roman;serif"/>
          <w:b w:val="false"/>
          <w:sz w:val="20"/>
        </w:rPr>
        <w:t>As a corporation with a global footprint, we are subject to risks and exposures caused by significant events and their macroeconomic impacts, including, but not limited to, the Russia-Ukraine war, global geopolitical tension, and more recently, rising inflation and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current and prospective customers and their business spendings are impacted by worsening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in the life science and provider markets. We expect this will impact our growth unless macroeconomic conditions improve. We are continuing to evaluate these and other past and potential future direct and indirect impacts on our business and results of operations.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Key Factors Affecting Our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the growth and future success of our business depend on many factors, including the following: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Acquiring New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Enterprise Customers represent the majority of our ARR and are a key focus of our go-to-market programs. As of June 30, 2023 and December 31, 2022, we had approximately 3,000 customers. Our total customer and Enterprise Customer counts decreased slightly over the course of the quarter, reflecting the impact of macroeconomic conditions on our prospective customers.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Expanding Relationships with Existing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there is a significant opportunity to generate additional revenue from our existing customer base of approximately 3,000 customers as of June 30,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in expanding usage of our platform with our existing customers is demonstrated by our NDR, which is further described 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Continuing to Innovate and Expand Our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Non-GAAP Financial Measures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and the most directly comparable GAAP financial measure to Adjusted EBITDA and Adjusted EBITDA Margin is GAAP net loss.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360" w:after="0"/>
        <w:jc w:val="left"/>
        <w:rPr>
          <w:rFonts w:ascii="Times New Roman" w:hAnsi="Times New Roman"/>
          <w:sz w:val="20"/>
        </w:rPr>
      </w:pPr>
      <w:r>
        <w:rPr>
          <w:rFonts w:ascii="Times New Roman;serif" w:hAnsi="Times New Roman;serif"/>
          <w:b/>
          <w:i/>
          <w:sz w:val="20"/>
        </w:rPr>
        <w:t>Adjusted Gross Profit and Adjusted Gross Margin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Adjusted Gross Profit as revenue less cost of revenue, excluding acquisition-related depreciation and amortization, and stock-based compensation costs. Adjusted Gross Profit differs from Gross Profit, in that Gross Profit includes the impact of acquisition-related depreciation and amortization expense and stock-based compensation. We exclude acquisition-related depreciation and amortization expense as they have no direct correlation to the cost of operating our business on an ongoing basis. Gross Margin is defined as Gross Profit as a percentage of revenue and Adjusted Gross Margin is defined as Adjusted Gross Profit as a percentage of revenue. These are key metrics used by management and our board of directors to assess our operations.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a reconciliation of Gross Profit and Gross Margin to Adjusted Gross Profit and Adjusted Gross Margin for the periods presented:</w:t>
      </w:r>
      <w:r>
        <w:rPr>
          <w:rFonts w:ascii="Times New Roman" w:hAnsi="Times New Roman"/>
          <w:sz w:val="20"/>
        </w:rPr>
        <w:t xml:space="preserve"> </w:t>
      </w:r>
    </w:p>
    <w:tbl>
      <w:tblPr>
        <w:tblW w:w="10679" w:type="dxa"/>
        <w:jc w:val="left"/>
        <w:tblInd w:w="0" w:type="dxa"/>
        <w:tblLayout w:type="fixed"/>
        <w:tblCellMar>
          <w:top w:w="28" w:type="dxa"/>
          <w:left w:w="28" w:type="dxa"/>
          <w:bottom w:w="28" w:type="dxa"/>
          <w:right w:w="28" w:type="dxa"/>
        </w:tblCellMar>
      </w:tblPr>
      <w:tblGrid>
        <w:gridCol w:w="1261"/>
        <w:gridCol w:w="146"/>
        <w:gridCol w:w="211"/>
        <w:gridCol w:w="676"/>
        <w:gridCol w:w="146"/>
        <w:gridCol w:w="146"/>
        <w:gridCol w:w="213"/>
        <w:gridCol w:w="508"/>
        <w:gridCol w:w="271"/>
        <w:gridCol w:w="146"/>
        <w:gridCol w:w="211"/>
        <w:gridCol w:w="676"/>
        <w:gridCol w:w="146"/>
        <w:gridCol w:w="146"/>
        <w:gridCol w:w="213"/>
        <w:gridCol w:w="508"/>
        <w:gridCol w:w="271"/>
        <w:gridCol w:w="146"/>
        <w:gridCol w:w="211"/>
        <w:gridCol w:w="781"/>
        <w:gridCol w:w="146"/>
        <w:gridCol w:w="146"/>
        <w:gridCol w:w="213"/>
        <w:gridCol w:w="508"/>
        <w:gridCol w:w="271"/>
        <w:gridCol w:w="146"/>
        <w:gridCol w:w="211"/>
        <w:gridCol w:w="676"/>
        <w:gridCol w:w="146"/>
        <w:gridCol w:w="146"/>
        <w:gridCol w:w="213"/>
        <w:gridCol w:w="508"/>
        <w:gridCol w:w="316"/>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Reported gross profit</w:t>
            </w:r>
            <w:r>
              <w:rPr>
                <w:rFonts w:ascii="Times New Roman" w:hAnsi="Times New Roman"/>
                <w:sz w:val="20"/>
              </w:rPr>
              <w:t xml:space="preserve"> </w:t>
            </w:r>
            <w:r>
              <w:rPr>
                <w:rFonts w:ascii="Times New Roman;serif" w:hAnsi="Times New Roman;serif"/>
                <w:b/>
                <w:sz w:val="20"/>
              </w:rPr>
              <w:t>and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Amortization of intangible </w:t>
              <w:br/>
              <w:t xml:space="preserve">   assets acquired through </w:t>
              <w:br/>
              <w:t>   business combinations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gross profit and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Adjusted EBITDA and Adjusted EBITDA Margin</w:t>
      </w:r>
    </w:p>
    <w:p>
      <w:pPr>
        <w:pStyle w:val="TextBody"/>
        <w:bidi w:val="0"/>
        <w:spacing w:before="120" w:after="0"/>
        <w:jc w:val="left"/>
        <w:rPr>
          <w:rFonts w:ascii="Times New Roman" w:hAnsi="Times New Roman"/>
          <w:sz w:val="20"/>
        </w:rPr>
      </w:pPr>
      <w:r>
        <w:rPr>
          <w:rFonts w:ascii="Times New Roman;serif" w:hAnsi="Times New Roman;serif"/>
          <w:b w:val="false"/>
          <w:sz w:val="20"/>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 integration, and restructuring expenses, and (iv) other non-recurring and one-time expenses.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a reconciliation of Net loss to Adjusted EBITDA for the periods presented:</w:t>
      </w:r>
      <w:r>
        <w:rPr>
          <w:rFonts w:ascii="Times New Roman" w:hAnsi="Times New Roman"/>
          <w:sz w:val="20"/>
        </w:rPr>
        <w:t xml:space="preserve"> </w:t>
      </w:r>
    </w:p>
    <w:tbl>
      <w:tblPr>
        <w:tblW w:w="11784" w:type="dxa"/>
        <w:jc w:val="left"/>
        <w:tblInd w:w="0" w:type="dxa"/>
        <w:tblLayout w:type="fixed"/>
        <w:tblCellMar>
          <w:top w:w="28" w:type="dxa"/>
          <w:left w:w="28" w:type="dxa"/>
          <w:bottom w:w="28" w:type="dxa"/>
          <w:right w:w="28" w:type="dxa"/>
        </w:tblCellMar>
      </w:tblPr>
      <w:tblGrid>
        <w:gridCol w:w="1451"/>
        <w:gridCol w:w="146"/>
        <w:gridCol w:w="211"/>
        <w:gridCol w:w="736"/>
        <w:gridCol w:w="266"/>
        <w:gridCol w:w="146"/>
        <w:gridCol w:w="201"/>
        <w:gridCol w:w="520"/>
        <w:gridCol w:w="371"/>
        <w:gridCol w:w="146"/>
        <w:gridCol w:w="211"/>
        <w:gridCol w:w="736"/>
        <w:gridCol w:w="266"/>
        <w:gridCol w:w="146"/>
        <w:gridCol w:w="201"/>
        <w:gridCol w:w="520"/>
        <w:gridCol w:w="371"/>
        <w:gridCol w:w="146"/>
        <w:gridCol w:w="211"/>
        <w:gridCol w:w="736"/>
        <w:gridCol w:w="266"/>
        <w:gridCol w:w="146"/>
        <w:gridCol w:w="201"/>
        <w:gridCol w:w="520"/>
        <w:gridCol w:w="371"/>
        <w:gridCol w:w="146"/>
        <w:gridCol w:w="211"/>
        <w:gridCol w:w="736"/>
        <w:gridCol w:w="266"/>
        <w:gridCol w:w="146"/>
        <w:gridCol w:w="201"/>
        <w:gridCol w:w="520"/>
        <w:gridCol w:w="316"/>
      </w:tblGrid>
      <w:tr>
        <w:trPr/>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sz w:val="20"/>
              </w:rPr>
              <w:t>Net loss</w:t>
            </w:r>
            <w:r>
              <w:rPr>
                <w:rFonts w:ascii="Times New Roman" w:hAnsi="Times New Roman"/>
                <w:sz w:val="20"/>
              </w:rPr>
              <w:t xml:space="preserve"> </w:t>
            </w:r>
            <w:r>
              <w:rPr>
                <w:rFonts w:ascii="Times New Roman;serif" w:hAnsi="Times New Roman;serif"/>
                <w:b/>
                <w:sz w:val="20"/>
              </w:rPr>
              <w:t>and margin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Benefit from income taxes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&amp; amortization</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12,778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15,774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31,026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sz w:val="20"/>
              </w:rPr>
              <w:t>EBITDA</w:t>
            </w:r>
            <w:r>
              <w:rPr>
                <w:rFonts w:ascii="Times New Roman" w:hAnsi="Times New Roman"/>
                <w:sz w:val="20"/>
              </w:rPr>
              <w:t xml:space="preserve"> </w:t>
            </w:r>
            <w:r>
              <w:rPr>
                <w:rFonts w:ascii="Times New Roman;serif" w:hAnsi="Times New Roman;serif"/>
                <w:b/>
                <w:sz w:val="20"/>
              </w:rPr>
              <w:t>and margin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7,999</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11,670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Other expense (income), net </w:t>
            </w:r>
            <w:r>
              <w:rPr>
                <w:rFonts w:ascii="Times New Roman;serif" w:hAnsi="Times New Roman;serif"/>
                <w:b w:val="false"/>
                <w:sz w:val="13"/>
              </w:rPr>
              <w:t>(a)</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Equity-based compensation </w:t>
            </w:r>
            <w:r>
              <w:rPr>
                <w:rFonts w:ascii="Times New Roman;serif" w:hAnsi="Times New Roman;serif"/>
                <w:b w:val="false"/>
                <w:sz w:val="13"/>
              </w:rPr>
              <w:t>(b)</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Transaction, integration, and restructuring expenses </w:t>
            </w:r>
            <w:r>
              <w:rPr>
                <w:rFonts w:ascii="Times New Roman;serif" w:hAnsi="Times New Roman;serif"/>
                <w:b w:val="false"/>
                <w:sz w:val="13"/>
              </w:rPr>
              <w:t>(c)</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Other non-recurring items </w:t>
            </w:r>
            <w:r>
              <w:rPr>
                <w:rFonts w:ascii="Times New Roman;serif" w:hAnsi="Times New Roman;serif"/>
                <w:b w:val="false"/>
                <w:sz w:val="13"/>
              </w:rPr>
              <w:t>(d)</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sz w:val="20"/>
              </w:rPr>
              <w:t>Adjusted EBITDA</w:t>
            </w:r>
            <w:r>
              <w:rPr>
                <w:rFonts w:ascii="Times New Roman" w:hAnsi="Times New Roman"/>
                <w:sz w:val="20"/>
              </w:rPr>
              <w:t xml:space="preserve"> </w:t>
            </w:r>
            <w:r>
              <w:rPr>
                <w:rFonts w:ascii="Times New Roman;serif" w:hAnsi="Times New Roman;serif"/>
                <w:b/>
                <w:sz w:val="20"/>
              </w:rPr>
              <w:t>and margin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32,908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30,312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Primarily represents foreign exchange and Tax Receivable Agreement (“TRA”) liability remeasurement gains and losses.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Transaction and integration expenses primarily represent legal, accounting, and consulting expenses and fair value adjustments for contingent consideration related to our acquisitions. Restructuring expenses relate to our restructuring plan announced in the first quarter of 2023 and impairment and restructuring charges related to office relocations.</w:t>
      </w:r>
    </w:p>
    <w:p>
      <w:pPr>
        <w:pStyle w:val="TextBody"/>
        <w:bidi w:val="0"/>
        <w:spacing w:before="0" w:after="0"/>
        <w:jc w:val="left"/>
        <w:rPr>
          <w:rFonts w:ascii="Times New Roman" w:hAnsi="Times New Roman"/>
          <w:b w:val="false"/>
          <w:sz w:val="20"/>
        </w:rPr>
      </w:pPr>
      <w:r>
        <w:rPr>
          <w:rFonts w:ascii="Times New Roman" w:hAnsi="Times New Roman"/>
          <w:b w:val="false"/>
          <w:sz w:val="20"/>
        </w:rPr>
        <w:t>(d)</w:t>
      </w:r>
    </w:p>
    <w:p>
      <w:pPr>
        <w:pStyle w:val="TextBody"/>
        <w:bidi w:val="0"/>
        <w:jc w:val="left"/>
        <w:rPr>
          <w:rFonts w:ascii="Times New Roman;serif" w:hAnsi="Times New Roman;serif"/>
          <w:b w:val="false"/>
          <w:sz w:val="20"/>
        </w:rPr>
      </w:pPr>
      <w:r>
        <w:rPr>
          <w:rFonts w:ascii="Times New Roman;serif" w:hAnsi="Times New Roman;serif"/>
          <w:b w:val="false"/>
          <w:sz w:val="20"/>
        </w:rPr>
        <w:t>Non-recurring items represent expenses driven by events that are typically by nature one-time, non-operational, and unrelated to our core operations. These expenses are comprised primarily of professional fees related to financing, capital structure changes, and other non-recurring set-up costs related to public company operations. In addition, these expenses include sales tax accrual charges recorded during the three and six months ended June 30, 2023, of $0.2 million and $0.6 million, respectively and during the three and six months ended June 30, 2022, of $0.7 million and $1.2 million, respectively, after we became aware of a state sales tax liability for sales taxes that we may have been required to collect from customers in 2023 and in certain previous years, which amounts include assumed maximum penalties and interest.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Key Metrics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monitor the following key metrics to help us evaluate our business performance, identify financial trends, formulate business plans, and make strategic operational decisions.</w:t>
      </w:r>
    </w:p>
    <w:p>
      <w:pPr>
        <w:pStyle w:val="TextBody"/>
        <w:bidi w:val="0"/>
        <w:spacing w:before="240" w:after="0"/>
        <w:jc w:val="left"/>
        <w:rPr>
          <w:rFonts w:ascii="Times New Roman" w:hAnsi="Times New Roman"/>
          <w:sz w:val="20"/>
        </w:rPr>
      </w:pPr>
      <w:r>
        <w:rPr>
          <w:rFonts w:ascii="Times New Roman;serif" w:hAnsi="Times New Roman;serif"/>
          <w:b/>
          <w:i/>
          <w:sz w:val="20"/>
        </w:rPr>
        <w:t>Net Dollar Retention Rate ("NDR")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Unfavorable macroeconomic challenges are elongating deal cycles as customers implement more stringent approval processes or delay spending decisions, which impacts revenue from our existing customers, including upsells. We have also experienced a significant number of deferred purchasing decisions and heightened customer churn, particularly in the life science and provider markets. As a result, we expect our NDR rates for 2023 to be reduced slightly relative to year end 2022 unless macroeconomic conditions improve.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Current Remaining Performance Obligations ("cRPO")</w:t>
      </w:r>
    </w:p>
    <w:p>
      <w:pPr>
        <w:pStyle w:val="TextBody"/>
        <w:bidi w:val="0"/>
        <w:spacing w:before="120" w:after="0"/>
        <w:jc w:val="left"/>
        <w:rPr>
          <w:rFonts w:ascii="Times New Roman" w:hAnsi="Times New Roman"/>
          <w:sz w:val="20"/>
        </w:rPr>
      </w:pPr>
      <w:r>
        <w:rPr>
          <w:rFonts w:ascii="Times New Roman;serif" w:hAnsi="Times New Roman;serif"/>
          <w:b w:val="false"/>
          <w:sz w:val="20"/>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cRPO will continue to be impacted by macroenvironment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and provider markets. We expect this trend to reduce our revenue growth rate for 2023 relative to 2022.</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cRPO as of June 30, 2023 and December 31, 2022:</w:t>
      </w:r>
      <w:r>
        <w:rPr>
          <w:rFonts w:ascii="Times New Roman" w:hAnsi="Times New Roman"/>
          <w:sz w:val="20"/>
        </w:rPr>
        <w:t xml:space="preserve"> </w:t>
      </w:r>
    </w:p>
    <w:tbl>
      <w:tblPr>
        <w:tblW w:w="4442" w:type="dxa"/>
        <w:jc w:val="left"/>
        <w:tblInd w:w="0" w:type="dxa"/>
        <w:tblLayout w:type="fixed"/>
        <w:tblCellMar>
          <w:top w:w="28" w:type="dxa"/>
          <w:left w:w="28" w:type="dxa"/>
          <w:bottom w:w="28" w:type="dxa"/>
          <w:right w:w="28" w:type="dxa"/>
        </w:tblCellMar>
      </w:tblPr>
      <w:tblGrid>
        <w:gridCol w:w="1226"/>
        <w:gridCol w:w="146"/>
        <w:gridCol w:w="211"/>
        <w:gridCol w:w="781"/>
        <w:gridCol w:w="246"/>
        <w:gridCol w:w="1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176,521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183,527</w:t>
            </w:r>
          </w:p>
        </w:tc>
        <w:tc>
          <w:tcPr>
            <w:tcW w:w="5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87,405</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22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263,926</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276,991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sz w:val="20"/>
        </w:rPr>
        <w:t>Impact of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seek to enhance our platform, data and business through internal development and through acquisitions of and investments in businesses that broaden and strengthen our platform. Acquisitions can result in transaction costs, amortization expenses and other adjustments as purchase accounting requires that all assets acquired and liabilities assumed be recorded at fair value on the acquisition date. Refer to Note 2. </w:t>
      </w:r>
      <w:r>
        <w:rPr>
          <w:rFonts w:ascii="Times New Roman;serif" w:hAnsi="Times New Roman;serif"/>
          <w:b w:val="false"/>
          <w:i/>
          <w:sz w:val="20"/>
        </w:rPr>
        <w:t>Acquisitions</w:t>
      </w:r>
      <w:r>
        <w:rPr>
          <w:rFonts w:ascii="Times New Roman" w:hAnsi="Times New Roman"/>
          <w:sz w:val="20"/>
        </w:rPr>
        <w:t xml:space="preserve"> </w:t>
      </w:r>
      <w:r>
        <w:rPr>
          <w:rFonts w:ascii="Times New Roman;serif" w:hAnsi="Times New Roman;serif"/>
          <w:b w:val="false"/>
          <w:sz w:val="20"/>
        </w:rPr>
        <w:t>in the notes to our condensed consolidated financial statements included elsewhere in this Form 10-Q for further details.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 months ended June 30, 2023, we derived approximately 98%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recognized at the time the services are performed.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of the macroenvironment challenges described above, we expect a reduction in our revenue growth rate for 2023 relative to 2022.</w:t>
      </w:r>
    </w:p>
    <w:p>
      <w:pPr>
        <w:pStyle w:val="TextBody"/>
        <w:bidi w:val="0"/>
        <w:spacing w:before="24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Cost of Revenue</w:t>
      </w:r>
      <w:r>
        <w:rPr>
          <w:rFonts w:ascii="Times New Roman;serif" w:hAnsi="Times New Roman;serif"/>
          <w:b w:val="false"/>
          <w:sz w:val="20"/>
        </w:rPr>
        <w:t>.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Amortization</w:t>
      </w:r>
      <w:r>
        <w:rPr>
          <w:rFonts w:ascii="Times New Roman;serif" w:hAnsi="Times New Roman;serif"/>
          <w:b w:val="false"/>
          <w:sz w:val="20"/>
        </w:rPr>
        <w:t>. Includes amortization expense for technology and data acquired in business combinations and asset purchase agreements. We anticipate that amortization will only increase if we make additional acquisitions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the beginning of 2023, additional third-party data sources were rolled out to our customers, which resulted in an increase of cost of revenue.</w:t>
      </w:r>
    </w:p>
    <w:p>
      <w:pPr>
        <w:pStyle w:val="TextBody"/>
        <w:bidi w:val="0"/>
        <w:spacing w:before="240" w:after="0"/>
        <w:jc w:val="left"/>
        <w:rPr>
          <w:rFonts w:ascii="Times New Roman" w:hAnsi="Times New Roman"/>
          <w:sz w:val="20"/>
        </w:rPr>
      </w:pPr>
      <w:r>
        <w:rPr>
          <w:rFonts w:ascii="Times New Roman;serif" w:hAnsi="Times New Roman;serif"/>
          <w:b/>
          <w:i/>
          <w:sz w:val="20"/>
        </w:rPr>
        <w:t>Gross Profit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expect our overall gross profit to increase for 2023 due to anticipated revenue growth, our gross margin is expected to modestly decrease due to the expansion of data sources as described above.</w:t>
      </w:r>
    </w:p>
    <w:p>
      <w:pPr>
        <w:pStyle w:val="TextBody"/>
        <w:bidi w:val="0"/>
        <w:spacing w:before="24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a restructuring plan in the first quarter of 2023. Rising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0"/>
        <w:jc w:val="left"/>
        <w:rPr>
          <w:rFonts w:ascii="Times New Roman" w:hAnsi="Times New Roman"/>
          <w:sz w:val="20"/>
        </w:rPr>
      </w:pPr>
      <w:r>
        <w:rPr>
          <w:rFonts w:ascii="Times New Roman;serif" w:hAnsi="Times New Roman;serif"/>
          <w:b w:val="false"/>
          <w:i/>
          <w:sz w:val="20"/>
        </w:rPr>
        <w:t>Sales and marketing</w:t>
      </w:r>
      <w:r>
        <w:rPr>
          <w:rFonts w:ascii="Times New Roman;serif" w:hAnsi="Times New Roman;serif"/>
          <w:b w:val="false"/>
          <w:sz w:val="20"/>
        </w:rPr>
        <w:t>. Sales and marketing expenses primarily consist of personnel costs such as salaries, bonuses, sales commissions, stock-based compensation, and other employee-related benefits for our sales and marketing teams, as well as non-personnel costs including overhead costs, technology, and marketing costs. While we have slowed hiring in response to macroeconomic conditions, and expect to maintain slower levels until macroeconomic conditions improve, we continue to hire additional sales and marketing personnel, enhance our digital marketing infrastructure, and invest in marketing programs targeting our major vertical markets.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Product development</w:t>
      </w:r>
      <w:r>
        <w:rPr>
          <w:rFonts w:ascii="Times New Roman;serif" w:hAnsi="Times New Roman;serif"/>
          <w:b w:val="false"/>
          <w:sz w:val="20"/>
        </w:rPr>
        <w:t>.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module improvements for our customers, enhance our software development team and invest in automation and artificial intelligence to drive higher quality data and deeper insights.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w:t>
      </w:r>
      <w:r>
        <w:rPr>
          <w:rFonts w:ascii="Times New Roman;serif" w:hAnsi="Times New Roman;serif"/>
          <w:b w:val="false"/>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w:t>
      </w:r>
    </w:p>
    <w:p>
      <w:pPr>
        <w:pStyle w:val="TextBody"/>
        <w:bidi w:val="0"/>
        <w:spacing w:before="120" w:after="0"/>
        <w:jc w:val="left"/>
        <w:rPr>
          <w:rFonts w:ascii="Times New Roman" w:hAnsi="Times New Roman"/>
          <w:sz w:val="20"/>
        </w:rPr>
      </w:pPr>
      <w:r>
        <w:rPr>
          <w:rFonts w:ascii="Times New Roman;serif" w:hAnsi="Times New Roman;serif"/>
          <w:b w:val="false"/>
          <w:i/>
          <w:sz w:val="20"/>
        </w:rPr>
        <w:t>Depreciation and Amortization</w:t>
      </w:r>
      <w:r>
        <w:rPr>
          <w:rFonts w:ascii="Times New Roman;serif" w:hAnsi="Times New Roman;serif"/>
          <w:b w:val="false"/>
          <w:sz w:val="20"/>
        </w:rPr>
        <w:t>. Depreciation and amortization expenses consist primarily of amortization of intangible assets resulting from 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Transaction, integration, and restructuring expenses</w:t>
      </w:r>
      <w:r>
        <w:rPr>
          <w:rFonts w:ascii="Times New Roman;serif" w:hAnsi="Times New Roman;serif"/>
          <w:b w:val="false"/>
          <w:sz w:val="20"/>
        </w:rPr>
        <w:t>. Transaction, integration, and restructuring expenses are costs directly associated with various acquisition and integration activities we have undertaken, primarily accounting and legal due diligence, and consulting and advisory fees, as well as expenses related to our restructuring plan announced in the first quarter of 2023 and our office relocations.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Other Expense, Net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expense, net consists primarily of interest expense, interest income, and other expense, net.</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r>
        <w:rPr>
          <w:rFonts w:ascii="Times New Roman;serif" w:hAnsi="Times New Roman;serif"/>
          <w:b w:val="false"/>
          <w:sz w:val="20"/>
        </w:rPr>
        <w:t>consists of interest expense on our debt obligations and the amortization of debt discounts and debt issuance costs. We expect, as a result of recently rising interest rates, that interest expense will increase for 2023 over prior periods for the unhedged portion of our outstanding debt while interest rate swap agreements will keep the hedged portion of outstanding debt fixed.</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r>
        <w:rPr>
          <w:rFonts w:ascii="Times New Roman;serif" w:hAnsi="Times New Roman;serif"/>
          <w:b w:val="false"/>
          <w:sz w:val="20"/>
        </w:rPr>
        <w:t>consists of earnings resulting from our short-term investments.</w:t>
      </w:r>
    </w:p>
    <w:p>
      <w:pPr>
        <w:pStyle w:val="TextBody"/>
        <w:bidi w:val="0"/>
        <w:spacing w:before="12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r>
        <w:rPr>
          <w:rFonts w:ascii="Times New Roman;serif" w:hAnsi="Times New Roman;serif"/>
          <w:b w:val="false"/>
          <w:sz w:val="20"/>
        </w:rPr>
        <w:t>consists primarily of the revaluation of tax receivable agreement liabilities and realized and unrealized 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sets forth a summary of our condensed consolidated statements of operations for the periods presented: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721"/>
        <w:gridCol w:w="246"/>
        <w:gridCol w:w="211"/>
        <w:gridCol w:w="736"/>
        <w:gridCol w:w="266"/>
        <w:gridCol w:w="246"/>
        <w:gridCol w:w="212"/>
        <w:gridCol w:w="741"/>
        <w:gridCol w:w="1266"/>
        <w:gridCol w:w="246"/>
        <w:gridCol w:w="211"/>
        <w:gridCol w:w="781"/>
        <w:gridCol w:w="266"/>
        <w:gridCol w:w="246"/>
        <w:gridCol w:w="211"/>
        <w:gridCol w:w="784"/>
        <w:gridCol w:w="815"/>
      </w:tblGrid>
      <w:tr>
        <w:trPr/>
        <w:tc>
          <w:tcPr>
            <w:tcW w:w="2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721"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41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49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2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5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2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53"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815" w:type="dxa"/>
            <w:tcBorders/>
            <w:vAlign w:val="center"/>
          </w:tcPr>
          <w:p>
            <w:pPr>
              <w:pStyle w:val="TableContents"/>
              <w:bidi w:val="0"/>
              <w:spacing w:before="0" w:after="0"/>
              <w:ind w:left="0" w:right="0" w:hanging="0"/>
              <w:jc w:val="center"/>
              <w:rPr/>
            </w:pPr>
            <w:r>
              <w:rPr/>
              <w:t> </w:t>
            </w:r>
          </w:p>
        </w:tc>
      </w:tr>
      <w:tr>
        <w:trPr/>
        <w:tc>
          <w:tcPr>
            <w:tcW w:w="2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60,957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1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120,158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104,672</w:t>
            </w:r>
          </w:p>
        </w:tc>
        <w:tc>
          <w:tcPr>
            <w:tcW w:w="815" w:type="dxa"/>
            <w:tcBorders/>
            <w:vAlign w:val="center"/>
          </w:tcPr>
          <w:p>
            <w:pPr>
              <w:pStyle w:val="TableContents"/>
              <w:bidi w:val="0"/>
              <w:spacing w:before="0" w:after="0"/>
              <w:ind w:left="0" w:right="0" w:hanging="0"/>
              <w:jc w:val="left"/>
              <w:rPr/>
            </w:pPr>
            <w:r>
              <w:rPr/>
              <w:t> </w:t>
            </w:r>
          </w:p>
        </w:tc>
      </w:tr>
      <w:tr>
        <w:trPr/>
        <w:tc>
          <w:tcPr>
            <w:tcW w:w="2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3" w:type="dxa"/>
            <w:gridSpan w:val="2"/>
            <w:tcBorders/>
            <w:vAlign w:val="center"/>
          </w:tcPr>
          <w:p>
            <w:pPr>
              <w:pStyle w:val="TableContents"/>
              <w:bidi w:val="0"/>
              <w:spacing w:before="0" w:after="0"/>
              <w:ind w:left="100" w:right="0" w:hanging="0"/>
              <w:jc w:val="right"/>
              <w:rPr/>
            </w:pPr>
            <w:r>
              <w:rPr/>
              <w:t> </w:t>
            </w:r>
          </w:p>
        </w:tc>
        <w:tc>
          <w:tcPr>
            <w:tcW w:w="12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95" w:type="dxa"/>
            <w:gridSpan w:val="2"/>
            <w:tcBorders/>
            <w:vAlign w:val="center"/>
          </w:tcPr>
          <w:p>
            <w:pPr>
              <w:pStyle w:val="TableContents"/>
              <w:bidi w:val="0"/>
              <w:spacing w:before="0" w:after="0"/>
              <w:ind w:left="100" w:right="0" w:hanging="0"/>
              <w:jc w:val="right"/>
              <w:rPr/>
            </w:pPr>
            <w:r>
              <w:rPr/>
              <w:t> </w:t>
            </w:r>
          </w:p>
        </w:tc>
        <w:tc>
          <w:tcPr>
            <w:tcW w:w="815" w:type="dxa"/>
            <w:tcBorders/>
            <w:vAlign w:val="center"/>
          </w:tcPr>
          <w:p>
            <w:pPr>
              <w:pStyle w:val="TableContents"/>
              <w:bidi w:val="0"/>
              <w:spacing w:before="0" w:after="0"/>
              <w:ind w:left="0" w:right="0" w:firstLine="200"/>
              <w:jc w:val="right"/>
              <w:rPr/>
            </w:pPr>
            <w:r>
              <w:rPr/>
              <w:t> </w:t>
            </w:r>
          </w:p>
        </w:tc>
      </w:tr>
      <w:tr>
        <w:trPr/>
        <w:tc>
          <w:tcPr>
            <w:tcW w:w="27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6,198</w:t>
            </w:r>
          </w:p>
        </w:tc>
        <w:tc>
          <w:tcPr>
            <w:tcW w:w="12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16,630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12,148</w:t>
            </w:r>
          </w:p>
        </w:tc>
        <w:tc>
          <w:tcPr>
            <w:tcW w:w="815" w:type="dxa"/>
            <w:tcBorders/>
            <w:vAlign w:val="center"/>
          </w:tcPr>
          <w:p>
            <w:pPr>
              <w:pStyle w:val="TableContents"/>
              <w:bidi w:val="0"/>
              <w:spacing w:before="0" w:after="0"/>
              <w:ind w:left="0" w:right="0" w:firstLine="200"/>
              <w:jc w:val="left"/>
              <w:rPr/>
            </w:pPr>
            <w:r>
              <w:rPr/>
              <w:t> </w:t>
            </w:r>
          </w:p>
        </w:tc>
      </w:tr>
      <w:tr>
        <w:trPr/>
        <w:tc>
          <w:tcPr>
            <w:tcW w:w="27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10,958</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cost of revenue</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11,168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11,778</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23,074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23,106</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721" w:type="dxa"/>
            <w:tcBorders/>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7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49,789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12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97,084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81,566</w:t>
            </w:r>
          </w:p>
        </w:tc>
        <w:tc>
          <w:tcPr>
            <w:tcW w:w="815" w:type="dxa"/>
            <w:tcBorders/>
            <w:vAlign w:val="center"/>
          </w:tcPr>
          <w:p>
            <w:pPr>
              <w:pStyle w:val="TableContents"/>
              <w:bidi w:val="0"/>
              <w:spacing w:before="0" w:after="0"/>
              <w:ind w:left="0" w:right="0" w:hanging="0"/>
              <w:jc w:val="left"/>
              <w:rPr/>
            </w:pPr>
            <w:r>
              <w:rPr/>
              <w:t> </w:t>
            </w:r>
          </w:p>
        </w:tc>
      </w:tr>
      <w:tr>
        <w:trPr/>
        <w:tc>
          <w:tcPr>
            <w:tcW w:w="2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3" w:type="dxa"/>
            <w:gridSpan w:val="2"/>
            <w:tcBorders/>
            <w:vAlign w:val="center"/>
          </w:tcPr>
          <w:p>
            <w:pPr>
              <w:pStyle w:val="TableContents"/>
              <w:bidi w:val="0"/>
              <w:spacing w:before="0" w:after="0"/>
              <w:ind w:left="100" w:right="0" w:hanging="0"/>
              <w:jc w:val="right"/>
              <w:rPr/>
            </w:pPr>
            <w:r>
              <w:rPr/>
              <w:t> </w:t>
            </w:r>
          </w:p>
        </w:tc>
        <w:tc>
          <w:tcPr>
            <w:tcW w:w="12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95" w:type="dxa"/>
            <w:gridSpan w:val="2"/>
            <w:tcBorders/>
            <w:vAlign w:val="center"/>
          </w:tcPr>
          <w:p>
            <w:pPr>
              <w:pStyle w:val="TableContents"/>
              <w:bidi w:val="0"/>
              <w:spacing w:before="0" w:after="0"/>
              <w:ind w:left="100" w:right="0" w:hanging="0"/>
              <w:jc w:val="right"/>
              <w:rPr/>
            </w:pPr>
            <w:r>
              <w:rPr/>
              <w:t> </w:t>
            </w:r>
          </w:p>
        </w:tc>
        <w:tc>
          <w:tcPr>
            <w:tcW w:w="815" w:type="dxa"/>
            <w:tcBorders/>
            <w:vAlign w:val="center"/>
          </w:tcPr>
          <w:p>
            <w:pPr>
              <w:pStyle w:val="TableContents"/>
              <w:bidi w:val="0"/>
              <w:spacing w:before="0" w:after="0"/>
              <w:ind w:left="0" w:right="0" w:firstLine="200"/>
              <w:jc w:val="right"/>
              <w:rPr/>
            </w:pPr>
            <w:r>
              <w:rPr/>
              <w:t> </w:t>
            </w:r>
          </w:p>
        </w:tc>
      </w:tr>
      <w:tr>
        <w:trPr/>
        <w:tc>
          <w:tcPr>
            <w:tcW w:w="27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24,702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23,585</w:t>
            </w:r>
          </w:p>
        </w:tc>
        <w:tc>
          <w:tcPr>
            <w:tcW w:w="12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48,125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44,878</w:t>
            </w:r>
          </w:p>
        </w:tc>
        <w:tc>
          <w:tcPr>
            <w:tcW w:w="815" w:type="dxa"/>
            <w:tcBorders/>
            <w:vAlign w:val="center"/>
          </w:tcPr>
          <w:p>
            <w:pPr>
              <w:pStyle w:val="TableContents"/>
              <w:bidi w:val="0"/>
              <w:spacing w:before="0" w:after="0"/>
              <w:ind w:left="0" w:right="0" w:firstLine="200"/>
              <w:jc w:val="left"/>
              <w:rPr/>
            </w:pPr>
            <w:r>
              <w:rPr/>
              <w:t> </w:t>
            </w:r>
          </w:p>
        </w:tc>
      </w:tr>
      <w:tr>
        <w:trPr/>
        <w:tc>
          <w:tcPr>
            <w:tcW w:w="27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12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20,113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15,556</w:t>
            </w:r>
          </w:p>
        </w:tc>
        <w:tc>
          <w:tcPr>
            <w:tcW w:w="815" w:type="dxa"/>
            <w:tcBorders/>
            <w:vAlign w:val="center"/>
          </w:tcPr>
          <w:p>
            <w:pPr>
              <w:pStyle w:val="TableContents"/>
              <w:bidi w:val="0"/>
              <w:spacing w:before="0" w:after="0"/>
              <w:ind w:left="0" w:right="0" w:firstLine="200"/>
              <w:jc w:val="left"/>
              <w:rPr/>
            </w:pPr>
            <w:r>
              <w:rPr/>
              <w:t> </w:t>
            </w:r>
          </w:p>
        </w:tc>
      </w:tr>
      <w:tr>
        <w:trPr/>
        <w:tc>
          <w:tcPr>
            <w:tcW w:w="27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13,670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10,056</w:t>
            </w:r>
          </w:p>
        </w:tc>
        <w:tc>
          <w:tcPr>
            <w:tcW w:w="12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21,091</w:t>
            </w:r>
          </w:p>
        </w:tc>
        <w:tc>
          <w:tcPr>
            <w:tcW w:w="815" w:type="dxa"/>
            <w:tcBorders/>
            <w:vAlign w:val="center"/>
          </w:tcPr>
          <w:p>
            <w:pPr>
              <w:pStyle w:val="TableContents"/>
              <w:bidi w:val="0"/>
              <w:spacing w:before="0" w:after="0"/>
              <w:ind w:left="0" w:right="0" w:firstLine="200"/>
              <w:jc w:val="left"/>
              <w:rPr/>
            </w:pPr>
            <w:r>
              <w:rPr/>
              <w:t> </w:t>
            </w:r>
          </w:p>
        </w:tc>
      </w:tr>
      <w:tr>
        <w:trPr/>
        <w:tc>
          <w:tcPr>
            <w:tcW w:w="27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10,194</w:t>
            </w:r>
          </w:p>
        </w:tc>
        <w:tc>
          <w:tcPr>
            <w:tcW w:w="12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20,068</w:t>
            </w:r>
          </w:p>
        </w:tc>
        <w:tc>
          <w:tcPr>
            <w:tcW w:w="815" w:type="dxa"/>
            <w:tcBorders/>
            <w:vAlign w:val="center"/>
          </w:tcPr>
          <w:p>
            <w:pPr>
              <w:pStyle w:val="TableContents"/>
              <w:bidi w:val="0"/>
              <w:spacing w:before="0" w:after="0"/>
              <w:ind w:left="0" w:right="0" w:firstLine="200"/>
              <w:jc w:val="left"/>
              <w:rPr/>
            </w:pPr>
            <w:r>
              <w:rPr/>
              <w:t> </w:t>
            </w:r>
          </w:p>
        </w:tc>
      </w:tr>
      <w:tr>
        <w:trPr/>
        <w:tc>
          <w:tcPr>
            <w:tcW w:w="27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21" w:type="dxa"/>
            <w:tcBorders/>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7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61,860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54,648</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121,426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105,010</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721" w:type="dxa"/>
            <w:tcBorders/>
            <w:vAlign w:val="center"/>
          </w:tcPr>
          <w:p>
            <w:pPr>
              <w:pStyle w:val="TableContents"/>
              <w:bidi w:val="0"/>
              <w:spacing w:before="0" w:after="0"/>
              <w:ind w:left="0" w:right="0" w:firstLine="1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(11,878</w:t>
            </w:r>
          </w:p>
        </w:tc>
        <w:tc>
          <w:tcPr>
            <w:tcW w:w="1266" w:type="dxa"/>
            <w:tcBorders/>
            <w:vAlign w:val="center"/>
          </w:tcPr>
          <w:p>
            <w:pPr>
              <w:pStyle w:val="TableContents"/>
              <w:bidi w:val="0"/>
              <w:spacing w:before="0" w:after="0"/>
              <w:ind w:left="0" w:right="0" w:firstLine="1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(24,342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(23,444</w:t>
            </w:r>
          </w:p>
        </w:tc>
        <w:tc>
          <w:tcPr>
            <w:tcW w:w="8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 income, net</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2721" w:type="dxa"/>
            <w:tcBorders/>
            <w:vAlign w:val="center"/>
          </w:tcPr>
          <w:p>
            <w:pPr>
              <w:pStyle w:val="TableContents"/>
              <w:bidi w:val="0"/>
              <w:spacing w:before="0" w:after="0"/>
              <w:ind w:left="0" w:right="0" w:firstLine="1100"/>
              <w:jc w:val="left"/>
              <w:rPr>
                <w:rFonts w:ascii="Times New Roman;serif" w:hAnsi="Times New Roman;serif"/>
                <w:b w:val="false"/>
                <w:sz w:val="20"/>
              </w:rPr>
            </w:pPr>
            <w:r>
              <w:rPr>
                <w:rFonts w:ascii="Times New Roman;serif" w:hAnsi="Times New Roman;serif"/>
                <w:b w:val="false"/>
                <w:sz w:val="20"/>
              </w:rPr>
              <w:t>Net loss before income taxes</w:t>
            </w:r>
          </w:p>
        </w:tc>
        <w:tc>
          <w:tcPr>
            <w:tcW w:w="246" w:type="dxa"/>
            <w:tcBorders/>
            <w:vAlign w:val="center"/>
          </w:tcPr>
          <w:p>
            <w:pPr>
              <w:pStyle w:val="TableContents"/>
              <w:bidi w:val="0"/>
              <w:spacing w:before="0" w:after="0"/>
              <w:ind w:left="1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(13,089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(10,355</w:t>
            </w:r>
          </w:p>
        </w:tc>
        <w:tc>
          <w:tcPr>
            <w:tcW w:w="1266" w:type="dxa"/>
            <w:tcBorders/>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7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(23,820</w:t>
            </w:r>
          </w:p>
        </w:tc>
        <w:tc>
          <w:tcPr>
            <w:tcW w:w="81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21" w:type="dxa"/>
            <w:tcBorders/>
            <w:vAlign w:val="center"/>
          </w:tcPr>
          <w:p>
            <w:pPr>
              <w:pStyle w:val="TableContents"/>
              <w:bidi w:val="0"/>
              <w:spacing w:before="0" w:after="0"/>
              <w:ind w:left="0" w:right="0" w:firstLine="1100"/>
              <w:jc w:val="left"/>
              <w:rPr>
                <w:rFonts w:ascii="Times New Roman;serif" w:hAnsi="Times New Roman;serif"/>
                <w:b w:val="false"/>
                <w:sz w:val="20"/>
              </w:rPr>
            </w:pPr>
            <w:r>
              <w:rPr>
                <w:rFonts w:ascii="Times New Roman;serif" w:hAnsi="Times New Roman;serif"/>
                <w:b w:val="false"/>
                <w:sz w:val="20"/>
              </w:rPr>
              <w:t>Benefit from income taxes</w:t>
            </w:r>
          </w:p>
        </w:tc>
        <w:tc>
          <w:tcPr>
            <w:tcW w:w="246" w:type="dxa"/>
            <w:tcBorders/>
            <w:vAlign w:val="center"/>
          </w:tcPr>
          <w:p>
            <w:pPr>
              <w:pStyle w:val="TableContents"/>
              <w:bidi w:val="0"/>
              <w:spacing w:before="0" w:after="0"/>
              <w:ind w:left="1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721" w:type="dxa"/>
            <w:tcBorders/>
            <w:vAlign w:val="center"/>
          </w:tcPr>
          <w:p>
            <w:pPr>
              <w:pStyle w:val="TableContents"/>
              <w:bidi w:val="0"/>
              <w:spacing w:before="0" w:after="0"/>
              <w:ind w:left="0" w:right="0" w:firstLine="1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7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2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(9,114</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272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1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(20,629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(14,067</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i/>
          <w:sz w:val="20"/>
        </w:rPr>
        <w:br/>
      </w:r>
      <w:r>
        <w:rPr>
          <w:rFonts w:ascii="Times New Roman" w:hAnsi="Times New Roman"/>
          <w:sz w:val="20"/>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Three Months Ended June 30, 2023 compared to Three Months Ended June 30, 2022</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increased $6.4 million, or 12%, in the three months ended June 30, 2023 compared with the same period in the prior year, driven primarily by higher subscription revenue of $6.1 million and higher professional service revenue of $0.3 million. Increases from the organic addition of new customers in the amount of $7.9 million was partially offset by a $1.4 million reduction in revenue from customers that existed as of the end of the prior year.</w:t>
      </w:r>
    </w:p>
    <w:p>
      <w:pPr>
        <w:pStyle w:val="TextBody"/>
        <w:bidi w:val="0"/>
        <w:spacing w:before="240" w:after="0"/>
        <w:jc w:val="left"/>
        <w:rPr>
          <w:rFonts w:ascii="Times New Roman;serif" w:hAnsi="Times New Roman;serif"/>
          <w:b/>
          <w:sz w:val="20"/>
        </w:rPr>
      </w:pPr>
      <w:r>
        <w:rPr>
          <w:rFonts w:ascii="Times New Roman;serif" w:hAnsi="Times New Roman;serif"/>
          <w:b/>
          <w:sz w:val="20"/>
        </w:rPr>
        <w:t>Cost of Revenue</w:t>
      </w:r>
    </w:p>
    <w:p>
      <w:pPr>
        <w:pStyle w:val="TextBody"/>
        <w:bidi w:val="0"/>
        <w:spacing w:before="120" w:after="0"/>
        <w:jc w:val="left"/>
        <w:rPr>
          <w:rFonts w:ascii="Times New Roman" w:hAnsi="Times New Roman"/>
          <w:sz w:val="20"/>
        </w:rPr>
      </w:pPr>
      <w:r>
        <w:rPr>
          <w:rFonts w:ascii="Times New Roman;serif" w:hAnsi="Times New Roman;serif"/>
          <w:b w:val="false"/>
          <w:sz w:val="20"/>
        </w:rPr>
        <w:t>Cost of revenue decreased $0.6 million, or 5%, in the three months ended June 30, 2023 compared with the same period in the prior year. This decrease was driven by a $2.5 million reduction in amortization, primarily due to a substantial acquired data asset reaching the end of its economic life in July 2022. This decrease was partially offset by a $1.8 million increase in hosting fees and data subscription costs as a result of expanded customer usage of our platform and the rollout of additional third-party data sources to our customers at the beginning of 2023.</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Operating Expenses</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expenses increased $7.2 million, or 13%, during the three months ended June 30, 2023 compared with the same period in the prior year. While inflation has generally contributed to rising vendor and labor costs, we believe the increase to operating expenses was primarily due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increase in sales and marketing expense of $1.1 million for the three months ended June 30, 2023, due primarily to increased personnel costs resulting from additional hiring, partially offset by decreases in stock-based compensation expense due to key role transitions;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product development expense of $1.5 million for the three months ended June 30, 2023, due primarily to increases in stock-based compensation expense and increased personnel costs resulting from additional hiring, partially offset by decreases in professional fees;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general and administrative expense of $3.6 million for the three months ended June 30, 2023, due primarily to increases in personnel costs, including stock-based compensation expense from new equity grants and key role transitions over the past year, along with increases in sales tax expense from increased sales of services to customers, representing amounts payable, inclusive of interest and penalties, to taxation authorities in which we did not charge the customer for sales taxes, and an increase in bad debt expense, partially offset by savings from franchise taxes, new insurance policies, and reduced professional fees;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increase in transaction, integration and restructuring expenses of $1.5 million for the three months ended June 30, 2023, due primarily to costs associated with the acquisition of Populi and our restructuring plan announced on January 12, 2023, partially offset by impairments of assets associated with the exit of certain leased office facilities in the prior period.</w:t>
      </w:r>
    </w:p>
    <w:p>
      <w:pPr>
        <w:pStyle w:val="TextBody"/>
        <w:bidi w:val="0"/>
        <w:spacing w:before="120" w:after="0"/>
        <w:jc w:val="left"/>
        <w:rPr>
          <w:rFonts w:ascii="Times New Roman;serif" w:hAnsi="Times New Roman;serif"/>
          <w:b/>
          <w:sz w:val="20"/>
        </w:rPr>
      </w:pPr>
      <w:r>
        <w:rPr>
          <w:rFonts w:ascii="Times New Roman;serif" w:hAnsi="Times New Roman;serif"/>
          <w:b/>
          <w:sz w:val="20"/>
        </w:rPr>
        <w:t>Other (Expense) Income,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other expense, net was $1.0 million for the three months ended June 30, 2023 compared to total other income, net of $1.5 million, as restated, in the same period in the prior year. The overall decrease was primarily attributed to a $4.9 million increase in other expense, net, primarily due to a TRA liability remeasurement loss driven by future realizability of tax attributes payable under the TRA, and a $1.0 million increase in interest expense due to rising interest rates from our debt obligations, partially offset by a $3.4 million increase in interest income earned from our short-term investments.</w:t>
      </w:r>
    </w:p>
    <w:p>
      <w:pPr>
        <w:pStyle w:val="TextBody"/>
        <w:bidi w:val="0"/>
        <w:spacing w:before="24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Six Months Ended June 30, 2023 compared to Six Months Ended June 30, 2022</w:t>
      </w:r>
    </w:p>
    <w:p>
      <w:pPr>
        <w:pStyle w:val="TextBody"/>
        <w:bidi w:val="0"/>
        <w:spacing w:before="240" w:after="0"/>
        <w:jc w:val="left"/>
        <w:rPr>
          <w:rFonts w:ascii="Times New Roman;serif" w:hAnsi="Times New Roman;serif"/>
          <w:b/>
          <w:sz w:val="20"/>
        </w:rPr>
      </w:pPr>
      <w:r>
        <w:rPr>
          <w:rFonts w:ascii="Times New Roman;serif" w:hAnsi="Times New Roman;serif"/>
          <w:b/>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increased $15.5 million, or 15%, in the six months ended June 30, 2023 compared with the same period in the prior year, driven primarily by higher subscription revenue of $14.8 million and higher professional service revenue of $0.7 million. Increases from the organic addition of new customers in the amount of $16.0 million and the acquisition of Analytical Wizards in February 2022 in the amount of $1.3 million were partially offset by a $1.8 million reduction in revenue from customers that existed as of the end of the prior year.</w:t>
      </w:r>
    </w:p>
    <w:p>
      <w:pPr>
        <w:pStyle w:val="TextBody"/>
        <w:bidi w:val="0"/>
        <w:spacing w:before="240" w:after="0"/>
        <w:jc w:val="left"/>
        <w:rPr>
          <w:rFonts w:ascii="Times New Roman;serif" w:hAnsi="Times New Roman;serif"/>
          <w:b/>
          <w:sz w:val="20"/>
        </w:rPr>
      </w:pPr>
      <w:r>
        <w:rPr>
          <w:rFonts w:ascii="Times New Roman;serif" w:hAnsi="Times New Roman;serif"/>
          <w:b/>
          <w:sz w:val="20"/>
        </w:rPr>
        <w:t>Cost of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revenue for the six months ended June 30, 2023 compared with the same period in the prior year remained flat. Expanded customer usage of our platform and the rollout of additional third-party data sources to our customers at the beginning of 2023 increased hosting fees and data subscription costs by $3.8 million. In addition, employee costs increased by $0.7 million due to expansion of customer support and professional service roles, primarily resulting from the acquisition of Analytical Wizards in February 2022. These increases were partially offset by a $4.5 million reduction in amortization, primarily due to a substantial acquired data asset reaching the end of its economic life in July 2022.</w:t>
      </w:r>
    </w:p>
    <w:p>
      <w:pPr>
        <w:pStyle w:val="TextBody"/>
        <w:bidi w:val="0"/>
        <w:spacing w:before="240" w:after="0"/>
        <w:jc w:val="left"/>
        <w:rPr>
          <w:rFonts w:ascii="Times New Roman;serif" w:hAnsi="Times New Roman;serif"/>
          <w:b/>
          <w:sz w:val="20"/>
        </w:rPr>
      </w:pPr>
      <w:r>
        <w:rPr>
          <w:rFonts w:ascii="Times New Roman;serif" w:hAnsi="Times New Roman;serif"/>
          <w:b/>
          <w:sz w:val="20"/>
        </w:rPr>
        <w:t>Operating Expenses</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expenses increased $16.4 million, or 16%, during the six months ended June 30, 2023 compared with the same period in the prior year. While inflation has generally contributed to rising vendor and labor costs, we believe the increase to operating expenses was primarily due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increase in sales and marketing expense of $3.2 million for the six months ended June 30, 2023, due primarily to increased personnel costs resulting from additional hiring, along with increased advertising costs, partially offset by decreases in stock-based compensation expense due to key role transitions;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product development expense of $4.6 million for the six months ended June 30, 2023, due primarily to increases in stock-based compensation expense and increased personnel costs resulting from additional hiring;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general and administrative expense of $6.7 million for the six months ended June 30, 2023, due primarily to increases in stock-based compensation expense from new equity grants and key role transitions over the past year, along with increases in sales tax expense from increased sales of services to customers, representing amounts payable, inclusive of interest and penalties, to taxation authorities in which we did not charge the customer for sales taxes, and an increase in bad debt expense, partially offset by savings from franchise taxes, new insurance policies, rent and facility costs due to prior year office closures, and reduced professional fees;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increase in transaction, integration and restructuring expenses of $2.7 million for the six months ended June 30, 2023, due primarily to costs associated with the acquisition of Populi and our restructuring plan announced on January 12, 2023, partially offset by impairments of assets associated with the exit of certain leased office facilities in the prior period.</w:t>
      </w:r>
    </w:p>
    <w:p>
      <w:pPr>
        <w:pStyle w:val="TextBody"/>
        <w:bidi w:val="0"/>
        <w:spacing w:before="120" w:after="0"/>
        <w:jc w:val="left"/>
        <w:rPr>
          <w:rFonts w:ascii="Times New Roman;serif" w:hAnsi="Times New Roman;serif"/>
          <w:b/>
          <w:sz w:val="20"/>
        </w:rPr>
      </w:pPr>
      <w:r>
        <w:rPr>
          <w:rFonts w:ascii="Times New Roman;serif" w:hAnsi="Times New Roman;serif"/>
          <w:b/>
          <w:sz w:val="20"/>
        </w:rPr>
        <w:t>Other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other expense, net was $5.4 million for the six months ended June 30, 2023 compared to total other expense, net of $0.4 million, as restated, in the same period in the prior year. The overall increase was primarily attributed to a $8.5 million increase in other expense, net, primarily due to a TRA liability remeasurement loss driven by future realizability of tax attributes payable under the TRA, and a $2.7 million increase in interest expense due to rising interest rates from our debt obligations, partially offset by a $6.2 million increase in interest income earned from our short-term investments.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$132.4 million of cash and cash equivalents, $218.5 million of short-term investments, and $75.0 million available under our revolving credit facility. Our principal sources of liquidity are cash and cash equivalents and short-term investments on hand, primarily from our IPO and follow-on offerings, as well as the cash flows we generate from operations. Our principal uses of liquidity have been primarily for investment in long-term growth of the business through capital expenditures and acquisitions, including the acquisition of Populi in July 2023, as well as debt services and distributions to members of Definitive OpCo.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All of our business is conducted through Definitive OpCo and its consolidated subsidiaries and affiliates, and the financial results are included in the condensed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our liquidity and our ability to meet our obligations and fund our capital requirements are dependent on our future financial performance, which is subject to general economic, financial, and other factors that are beyond our control. See “Risk Factors” in our 2022 Form 10-K/A and the factors described elsewhere in this “Management’s Discussion and Analysis of Financial Condition and Results of Operations.” Macroeconomic conditions, including rising inflation and a potential recession, could increase our anticipated funding requirements. In the event we need to seek additional funding, rising interest rates, stock market volatility, or other unfavorable macroeconomic conditions may also prevent us from obtaining additional financing on favorable terms or at all. Moreover, the recent closures of Silicon Valley Bank and Signature Bank have resulted in broader financial institution liquidity risk and concerns.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pStyle w:val="TextBody"/>
        <w:bidi w:val="0"/>
        <w:spacing w:before="240" w:after="0"/>
        <w:jc w:val="left"/>
        <w:rPr>
          <w:rFonts w:ascii="Times New Roman" w:hAnsi="Times New Roman"/>
          <w:sz w:val="20"/>
        </w:rPr>
      </w:pPr>
      <w:r>
        <w:rPr>
          <w:rFonts w:ascii="Times New Roman;serif" w:hAnsi="Times New Roman;serif"/>
          <w:b/>
          <w:i/>
          <w:sz w:val="20"/>
        </w:rPr>
        <w:t>Credit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pStyle w:val="TextBody"/>
        <w:bidi w:val="0"/>
        <w:spacing w:before="240" w:after="0"/>
        <w:jc w:val="left"/>
        <w:rPr>
          <w:rFonts w:ascii="Times New Roman" w:hAnsi="Times New Roman"/>
          <w:sz w:val="20"/>
        </w:rPr>
      </w:pPr>
      <w:r>
        <w:rPr>
          <w:rFonts w:ascii="Times New Roman;serif" w:hAnsi="Times New Roman;serif"/>
          <w:b/>
          <w:i/>
          <w:sz w:val="20"/>
        </w:rPr>
        <w:t>Impact of Inflation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our cash flows for the periods presented:</w:t>
      </w:r>
      <w:r>
        <w:rPr>
          <w:rFonts w:ascii="Times New Roman" w:hAnsi="Times New Roman"/>
          <w:sz w:val="20"/>
        </w:rPr>
        <w:t xml:space="preserve"> </w:t>
      </w:r>
    </w:p>
    <w:tbl>
      <w:tblPr>
        <w:tblW w:w="10044" w:type="dxa"/>
        <w:jc w:val="left"/>
        <w:tblInd w:w="0" w:type="dxa"/>
        <w:tblLayout w:type="fixed"/>
        <w:tblCellMar>
          <w:top w:w="28" w:type="dxa"/>
          <w:left w:w="28" w:type="dxa"/>
          <w:bottom w:w="28" w:type="dxa"/>
          <w:right w:w="28" w:type="dxa"/>
        </w:tblCellMar>
      </w:tblPr>
      <w:tblGrid>
        <w:gridCol w:w="6676"/>
        <w:gridCol w:w="246"/>
        <w:gridCol w:w="211"/>
        <w:gridCol w:w="736"/>
        <w:gridCol w:w="266"/>
        <w:gridCol w:w="246"/>
        <w:gridCol w:w="211"/>
        <w:gridCol w:w="841"/>
        <w:gridCol w:w="611"/>
      </w:tblGrid>
      <w:tr>
        <w:trPr/>
        <w:tc>
          <w:tcPr>
            <w:tcW w:w="6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7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5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by (used in):</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052" w:type="dxa"/>
            <w:gridSpan w:val="2"/>
            <w:tcBorders/>
            <w:vAlign w:val="center"/>
          </w:tcPr>
          <w:p>
            <w:pPr>
              <w:pStyle w:val="TableContents"/>
              <w:bidi w:val="0"/>
              <w:spacing w:before="0" w:after="0"/>
              <w:ind w:left="10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67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Operating activities</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29,114</w:t>
            </w:r>
          </w:p>
        </w:tc>
        <w:tc>
          <w:tcPr>
            <w:tcW w:w="611" w:type="dxa"/>
            <w:tcBorders/>
            <w:vAlign w:val="center"/>
          </w:tcPr>
          <w:p>
            <w:pPr>
              <w:pStyle w:val="TableContents"/>
              <w:bidi w:val="0"/>
              <w:spacing w:before="0" w:after="0"/>
              <w:ind w:left="0" w:right="0" w:firstLine="400"/>
              <w:jc w:val="left"/>
              <w:rPr/>
            </w:pPr>
            <w:r>
              <w:rPr/>
              <w:t> </w:t>
            </w:r>
          </w:p>
        </w:tc>
      </w:tr>
      <w:tr>
        <w:trPr/>
        <w:tc>
          <w:tcPr>
            <w:tcW w:w="667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Investing activities</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(32,130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(177,033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Financing activities</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cash and cash equivalents (excluding effect of exchange rate changes)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(14,292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(159,043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i/>
          <w:sz w:val="20"/>
        </w:rPr>
        <w:t>Cash Flows provided by Operating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operating activities was $27.0 million during the six months ended June 30, 2023, primarily as a result of a net loss of $27.6 million, offset by non-cash charges of $58.6 million. The non-cash charges were primarily comprised of amortization of intangible assets of $24.8 million, equity compensation costs of $23.5 million, a loss on remeasurement of the TRA of $4.7 million, and amortization of deferred contract costs of $6.0 million. The net decrease in operating assets and liabilities of $4.1 million was primarily driven by cash outflows resulting from an increase in deferred contract costs of $9.1 million, lower accounts payable, accrued expenses, and other current liabilities, collectively, of $3.0 million, an increase in prepaid expense and other assets of $3.6 million, and a decrease in deferred revenue of $2.2 million due to the timing of billings and cash received in advance of revenue recognition for subscription services. These factors were partially offset by a decrease in accounts receivable of $13.9 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Cash Flows used in 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investing activities during the six months ended June 30, 2023 was $32.1 million, driven primarily by $132.8 million in purchases of short-term investments, partially offset by $102.7 million in maturities of short-term investments.</w:t>
      </w:r>
    </w:p>
    <w:p>
      <w:pPr>
        <w:pStyle w:val="TextBody"/>
        <w:bidi w:val="0"/>
        <w:spacing w:before="240" w:after="0"/>
        <w:jc w:val="left"/>
        <w:rPr>
          <w:rFonts w:ascii="Times New Roman" w:hAnsi="Times New Roman"/>
          <w:sz w:val="20"/>
        </w:rPr>
      </w:pPr>
      <w:r>
        <w:rPr>
          <w:rFonts w:ascii="Times New Roman;serif" w:hAnsi="Times New Roman;serif"/>
          <w:b w:val="false"/>
          <w:i/>
          <w:sz w:val="20"/>
        </w:rPr>
        <w:t>Cash Flows used in Financing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financing activities during the six months ended June 30, 2023 was $9.2 million, primarily driven by repayments of the 2021 Term Loan (as defined below) of $3.4 million, $2.8 million in tax distribution payments to members, and taxes paid related to the net share settlement of equity awards of $2.6 million.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Refer to </w:t>
      </w:r>
      <w:r>
        <w:rPr>
          <w:rFonts w:ascii="Times New Roman;serif" w:hAnsi="Times New Roman;serif"/>
          <w:b w:val="false"/>
          <w:i/>
          <w:sz w:val="20"/>
        </w:rPr>
        <w:t>Debt Obligations</w:t>
      </w:r>
      <w:r>
        <w:rPr>
          <w:rFonts w:ascii="Times New Roman" w:hAnsi="Times New Roman"/>
          <w:sz w:val="20"/>
        </w:rPr>
        <w:t xml:space="preserve"> </w:t>
      </w:r>
      <w:r>
        <w:rPr>
          <w:rFonts w:ascii="Times New Roman;serif" w:hAnsi="Times New Roman;serif"/>
          <w:b w:val="false"/>
          <w:sz w:val="20"/>
        </w:rPr>
        <w:t>for additional information related to our debt obligations.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Debt Obligations</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17, 2021, DH Holdings entered into the 2021 Credit Agreement, providing for (i) a $275.0 million term loan A facility (the “2021 Term Loan”) and (ii) a $75.0 million revolving credit facility (the “2021 Revolving Line of Credit”). The 2021 Term Loan of $275.0 million has a maturity date of September 17, 2026. The 2021 Term Loan was recorded net of $3.5 million in issuance costs, which are amortized to interest expense over the term of the loan using the effective interest method.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$263.0 million outstanding on the 2021 Term Loan at June 30,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2021 Revolving Line of Credit is committed for $75.0 million and has a maturity date of September 17, 2026. There was no outstanding balance as of June 30, 2023. On October 31, 2022, the Company amended the 2021 Credit Agreement to replace the LIBO rate with Term SOFR plus an applicable rate.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2021 Credit Agreement includes certain financial covenants, and the Company was compliant with its financial covenants under the 2021 Credit Agreement as of June 30, 2023 and December 31, 2022.</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Tax Receivable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our unaudited condensed consolidated financial statements.</w:t>
      </w:r>
    </w:p>
    <w:p>
      <w:pPr>
        <w:pStyle w:val="TextBody"/>
        <w:bidi w:val="0"/>
        <w:spacing w:before="240" w:after="0"/>
        <w:jc w:val="left"/>
        <w:rPr>
          <w:rFonts w:ascii="Times New Roman" w:hAnsi="Times New Roman"/>
          <w:sz w:val="20"/>
        </w:rPr>
      </w:pPr>
      <w:r>
        <w:rPr>
          <w:rFonts w:ascii="Times New Roman;serif" w:hAnsi="Times New Roman;serif"/>
          <w:b/>
          <w:sz w:val="20"/>
        </w:rPr>
        <w:t>Capital Expenditures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Capital expenditures increased by $0.5 million to $2.1 million for the six months ended June 30, 2023 compared to $1.6 million for the same period in the prior year, primarily due to the acquisition of new data sources.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2022 included in our 2022 Form 10-K/A. There have been no material changes to these policies or estimates as of June 30,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New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See new accounting pronouncements described under “—Adoption of Recently Issued Financial Accounting Standards” and “—Recently Issued Accounting Pronouncements Not Yet Adopted” within Note 1. </w:t>
      </w:r>
      <w:r>
        <w:rPr>
          <w:rFonts w:ascii="Times New Roman;serif" w:hAnsi="Times New Roman;serif"/>
          <w:b w:val="false"/>
          <w:i/>
          <w:sz w:val="20"/>
        </w:rPr>
        <w:t>Organization and Basis of Presentation</w:t>
      </w:r>
      <w:r>
        <w:rPr>
          <w:rFonts w:ascii="Times New Roman" w:hAnsi="Times New Roman"/>
          <w:sz w:val="20"/>
        </w:rPr>
        <w:t xml:space="preserve"> </w:t>
      </w:r>
      <w:r>
        <w:rPr>
          <w:rFonts w:ascii="Times New Roman;serif" w:hAnsi="Times New Roman;serif"/>
          <w:b w:val="false"/>
          <w:sz w:val="20"/>
        </w:rPr>
        <w:t>in the Notes to the unaudited interim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2" w:name="item_3_quantitative_and_qualitative"/>
      <w:bookmarkEnd w:id="12"/>
      <w:r>
        <w:rPr>
          <w:rFonts w:ascii="Times New Roman;serif" w:hAnsi="Times New Roman;serif"/>
          <w:b/>
          <w:sz w:val="20"/>
        </w:rPr>
        <w:t>ITEM 3. QUANTITATIVE AND QUALITATIVE</w:t>
      </w:r>
      <w:r>
        <w:rPr>
          <w:rFonts w:ascii="Times New Roman" w:hAnsi="Times New Roman"/>
          <w:sz w:val="20"/>
        </w:rPr>
        <w:t xml:space="preserve"> </w:t>
      </w:r>
      <w:r>
        <w:rPr>
          <w:rFonts w:ascii="Times New Roman;serif" w:hAnsi="Times New Roman;serif"/>
          <w:b/>
          <w:sz w:val="20"/>
        </w:rPr>
        <w:t>DISCLOSURES ABOUT MARKET RISK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cash, cash equivalents, and short-term investments primarily consist of cash on hand and highly liquid investments in money market funds, U.S. government securities, and commercial paper. As of June 30, 2023, we had cash and cash equivalents of $132.4 million and short-term investments of $218.5 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operating results are subject to market risk from interest rate fluctuations on our 2021 Term Loan, which bears a variable interest rate based on the SOFR Rate or a Base Rate plus an applicable margin. In order to reduce the interest rate risk on our debt, we have entered into an interest rate swap agreement on a portion of our borrowings. As of June 30, 2023, the total principal balance outstanding was $263.0 million. Excluding the effect of the interest rate swap agreement, a hypothetical 1.0% increase or decrease in the interest rate associated with borrowings under the 2021 Credit Agreement would have resulted in an impact to interest expense of approximately $1.3 million for the six months ended June 30,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Foreign Currency Exchange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3" w:name="item_4_controls_and_procedures"/>
      <w:bookmarkEnd w:id="13"/>
      <w:r>
        <w:rPr>
          <w:rFonts w:ascii="Times New Roman;serif" w:hAnsi="Times New Roman;serif"/>
          <w:b/>
          <w:sz w:val="20"/>
        </w:rPr>
        <w:t>ITEM 4. CONTROLS AND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Evaluation of Disclosure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management identified a material weakness in our internal control over financial reporting which was also disclosed in the 2022 Form 10-K/A. As a result of this material weakness, management concluded that our disclosure controls and procedures were not effective as of June 30, 2023.</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Material Weakness</w:t>
      </w:r>
    </w:p>
    <w:p>
      <w:pPr>
        <w:pStyle w:val="TextBody"/>
        <w:bidi w:val="0"/>
        <w:spacing w:before="120" w:after="0"/>
        <w:jc w:val="left"/>
        <w:rPr>
          <w:rFonts w:ascii="Times New Roman" w:hAnsi="Times New Roman"/>
          <w:sz w:val="20"/>
        </w:rPr>
      </w:pPr>
      <w:r>
        <w:rPr>
          <w:rFonts w:ascii="Times New Roman;serif" w:hAnsi="Times New Roman;serif"/>
          <w:b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identified a material weakness in the design of our controls over the collection and remittance of sales taxes, as well as the accurate recording of our sales tax obligations in the financial statements. This material weakness resulted in the restatement of our financial statements as of and for the years ended December 31, 2022, 2021 and 2020, the unaudited condensed consolidated quarterly financial information for the quarterly periods in the years ended December 31, 2022, 2021, and 2020, as well as the unaudited condensed consolidated financial statements included in our Quarterly Report on Form 10-Q for the quarter ended March 31,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material weakness remains unremediated as of June 30, 2023. Management is taking steps to remediate this material weakness (see “Remediation Plan in Response to Material Weakness” for details).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Remediation Plan in Response to Material Weakness</w:t>
      </w:r>
    </w:p>
    <w:p>
      <w:pPr>
        <w:pStyle w:val="TextBody"/>
        <w:bidi w:val="0"/>
        <w:spacing w:before="120" w:after="0"/>
        <w:jc w:val="left"/>
        <w:rPr>
          <w:rFonts w:ascii="Times New Roman" w:hAnsi="Times New Roman"/>
          <w:sz w:val="20"/>
        </w:rPr>
      </w:pPr>
      <w:r>
        <w:rPr>
          <w:rFonts w:ascii="Times New Roman;serif" w:hAnsi="Times New Roman;serif"/>
          <w:b w:val="false"/>
          <w:sz w:val="20"/>
        </w:rPr>
        <w:t>In response to the identified material weakness, management, with the oversight of the Audit Committee of the Board of Directors, has immediately dedicated resources, including the involvement of additional outside advisors, to put in place effective controls over identification of changes in products and services that affect classification of products and services for sales tax purposes. Certain remedial actions have been completed including engagement of additional third-party tax experts and a review of the classification for sales tax purposes of new and/or enhanced products and services. The Company is completing ongoing remediation steps, including enhancements to sales tax nexus reviews, and the collection, control and subsequent monitoring of applicable documentation of exempt status from customers in affected jurisdictions. The Company plans to further enhance these controls over the remainder of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quarter ended June 30, 2023, no changes in our internal control over financial reporting (as defined in Rules 13a-15(f) and 15d-15(f) under the Exchange Act) occurred that has materially affected, or is reasonably likely to materially affect, our internal control over financial reporting, as the circumstances that led to the restatement of the financial statements for the quarter ended June 30, 2023 had not yet been identified.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Inherent Limitations on Effectiveness of Controls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4" w:name="part_ii_other_information"/>
      <w:bookmarkEnd w:id="14"/>
      <w:r>
        <w:rPr>
          <w:rFonts w:ascii="Times New Roman;serif" w:hAnsi="Times New Roman;serif"/>
          <w:b/>
          <w:sz w:val="20"/>
        </w:rPr>
        <w:t>PART II - 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 w:name="item_1_legal_proceedings"/>
      <w:bookmarkEnd w:id="15"/>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6" w:name="item_1a_risk_factors"/>
      <w:bookmarkEnd w:id="16"/>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a more detailed discussion of our risks and uncertainties, see also Item 1A – Risk Factors in our 2022 Form 10-K/A. Except as noted below, there have been no material changes in our risk factors since the filing of our 2022 Form 10-K/A.</w:t>
      </w:r>
      <w:r>
        <w:rPr>
          <w:rFonts w:ascii="Times New Roman;serif" w:hAnsi="Times New Roman;serif"/>
          <w:b w:val="false"/>
          <w:sz w:val="24"/>
        </w:rPr>
        <w:br/>
      </w:r>
      <w:r>
        <w:rPr>
          <w:rFonts w:ascii="Times New Roman" w:hAnsi="Times New Roman"/>
          <w:sz w:val="20"/>
        </w:rPr>
        <w:t> </w:t>
      </w:r>
    </w:p>
    <w:p>
      <w:pPr>
        <w:pStyle w:val="TextBody"/>
        <w:bidi w:val="0"/>
        <w:spacing w:before="240" w:after="0"/>
        <w:jc w:val="left"/>
        <w:rPr>
          <w:rFonts w:ascii="Times New Roman" w:hAnsi="Times New Roman"/>
          <w:sz w:val="20"/>
        </w:rPr>
      </w:pPr>
      <w:bookmarkStart w:id="17" w:name="item2_unregistered_sales_of_equity"/>
      <w:bookmarkEnd w:id="17"/>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second quarter of 2023 are as follows:</w:t>
      </w:r>
    </w:p>
    <w:tbl>
      <w:tblPr>
        <w:tblW w:w="4553" w:type="dxa"/>
        <w:jc w:val="left"/>
        <w:tblInd w:w="0" w:type="dxa"/>
        <w:tblLayout w:type="fixed"/>
        <w:tblCellMar>
          <w:top w:w="28" w:type="dxa"/>
          <w:left w:w="28" w:type="dxa"/>
          <w:bottom w:w="28" w:type="dxa"/>
          <w:right w:w="28" w:type="dxa"/>
        </w:tblCellMar>
      </w:tblPr>
      <w:tblGrid>
        <w:gridCol w:w="1606"/>
        <w:gridCol w:w="146"/>
        <w:gridCol w:w="353"/>
        <w:gridCol w:w="2257"/>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Date of Exchange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 Shares Exchanged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10, 2023</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22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191" w:type="dxa"/>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11, 2023</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22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2,717,043</w:t>
            </w:r>
          </w:p>
        </w:tc>
        <w:tc>
          <w:tcPr>
            <w:tcW w:w="191" w:type="dxa"/>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5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25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2,718,054</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240" w:after="0"/>
        <w:jc w:val="left"/>
        <w:rPr>
          <w:rFonts w:ascii="Times New Roman" w:hAnsi="Times New Roman"/>
          <w:sz w:val="20"/>
        </w:rPr>
      </w:pPr>
      <w:bookmarkStart w:id="18" w:name="item_3_defaults_upon_senior_securities"/>
      <w:bookmarkEnd w:id="18"/>
      <w:r>
        <w:rPr>
          <w:rFonts w:ascii="Times New Roman;serif" w:hAnsi="Times New Roman;serif"/>
          <w:b/>
          <w:sz w:val="20"/>
        </w:rPr>
        <w:t>ITEM 3. DEFAULTS UPON 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 w:name="item_4_mine_safety_disclosures"/>
      <w:bookmarkEnd w:id="19"/>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 w:name="item_5_other_information"/>
      <w:bookmarkEnd w:id="20"/>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Trading Arrangements</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1" w:name="item_6_exhibits"/>
      <w:bookmarkEnd w:id="21"/>
      <w:r>
        <w:rPr>
          <w:rFonts w:ascii="Times New Roman;serif" w:hAnsi="Times New Roman;serif"/>
          <w:b/>
          <w:sz w:val="20"/>
        </w:rPr>
        <w:t>ITEM 6. EXHIBITS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tbl>
      <w:tblPr>
        <w:tblW w:w="10205" w:type="dxa"/>
        <w:jc w:val="left"/>
        <w:tblInd w:w="0" w:type="dxa"/>
        <w:tblLayout w:type="fixed"/>
        <w:tblCellMar>
          <w:top w:w="28" w:type="dxa"/>
          <w:left w:w="28" w:type="dxa"/>
          <w:bottom w:w="28" w:type="dxa"/>
          <w:right w:w="28" w:type="dxa"/>
        </w:tblCellMar>
      </w:tblPr>
      <w:tblGrid>
        <w:gridCol w:w="823"/>
        <w:gridCol w:w="146"/>
        <w:gridCol w:w="9236"/>
      </w:tblGrid>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6" w:type="dxa"/>
            <w:tcBorders/>
            <w:vAlign w:val="center"/>
          </w:tcPr>
          <w:p>
            <w:pPr>
              <w:pStyle w:val="TableContents"/>
              <w:bidi w:val="0"/>
              <w:spacing w:before="0" w:after="283"/>
              <w:jc w:val="left"/>
              <w:rPr>
                <w:sz w:val="4"/>
                <w:szCs w:val="4"/>
              </w:rPr>
            </w:pPr>
            <w:r>
              <w:rPr>
                <w:sz w:val="4"/>
                <w:szCs w:val="4"/>
              </w:rPr>
            </w:r>
          </w:p>
        </w:tc>
      </w:tr>
      <w:tr>
        <w:trPr/>
        <w:tc>
          <w:tcPr>
            <w:tcW w:w="823"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Definitive Healthcare Corp. (incorporated by reference to Exhibit 3.2 to the Company’s Quarterly Report on Form 10-Q (File No. 001-40815) filed with the SEC on November 8, 2021).</w:t>
              </w:r>
            </w:hyperlink>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10_1.htm">
              <w:r>
                <w:rPr>
                  <w:rStyle w:val="InternetLink"/>
                  <w:rFonts w:ascii="Times New Roman;serif" w:hAnsi="Times New Roman;serif"/>
                  <w:b w:val="false"/>
                  <w:sz w:val="20"/>
                  <w:u w:val="single"/>
                </w:rPr>
                <w:t>The Definitive Healthcare Corp. Director Compensation Plan.</w:t>
              </w:r>
            </w:hyperlink>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31_1.htm">
              <w:r>
                <w:rPr>
                  <w:rStyle w:val="InternetLink"/>
                  <w:rFonts w:ascii="Times New Roman;serif" w:hAnsi="Times New Roman;serif"/>
                  <w:b w:val="false"/>
                  <w:sz w:val="20"/>
                  <w:u w:val="single"/>
                </w:rPr>
                <w:t>Certification of Principal Executive Officer pursuant to Exchange Act Rules 13a-14(a) and 15d-14(a), as adopted pursuant to Section 302 of the Sarbanes-Oxley Act of 2002.</w:t>
              </w:r>
            </w:hyperlink>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32.1*</w:t>
            </w:r>
            <w:r>
              <w:rPr>
                <w:rFonts w:ascii="Times New Roman;serif" w:hAnsi="Times New Roman;serif"/>
                <w:b w:val="false"/>
                <w:sz w:val="13"/>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The certifications attached as Exhibit 32.1 that accompany this Quarterly Report on Form 10-Q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2" w:name="signatures"/>
      <w:bookmarkEnd w:id="22"/>
      <w:r>
        <w:rPr>
          <w:rFonts w:ascii="Times New Roman;serif" w:hAnsi="Times New Roman;serif"/>
          <w:b/>
          <w:sz w:val="20"/>
        </w:rPr>
        <w:t>SIGNATURES</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tbl>
      <w:tblPr>
        <w:tblW w:w="5775" w:type="dxa"/>
        <w:jc w:val="left"/>
        <w:tblInd w:w="0" w:type="dxa"/>
        <w:tblLayout w:type="fixed"/>
        <w:tblCellMar>
          <w:top w:w="28" w:type="dxa"/>
          <w:left w:w="28" w:type="dxa"/>
          <w:bottom w:w="28" w:type="dxa"/>
          <w:right w:w="28" w:type="dxa"/>
        </w:tblCellMar>
      </w:tblPr>
      <w:tblGrid>
        <w:gridCol w:w="1471"/>
        <w:gridCol w:w="146"/>
        <w:gridCol w:w="406"/>
        <w:gridCol w:w="631"/>
        <w:gridCol w:w="312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4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8"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HEALTHCARE CORP.</w:t>
            </w:r>
          </w:p>
        </w:tc>
      </w:tr>
      <w:tr>
        <w:trPr/>
        <w:tc>
          <w:tcPr>
            <w:tcW w:w="14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8"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Registrant</w:t>
            </w:r>
          </w:p>
        </w:tc>
      </w:tr>
      <w:tr>
        <w:trPr/>
        <w:tc>
          <w:tcPr>
            <w:tcW w:w="14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52" w:type="dxa"/>
            <w:gridSpan w:val="2"/>
            <w:tcBorders/>
            <w:vAlign w:val="center"/>
          </w:tcPr>
          <w:p>
            <w:pPr>
              <w:pStyle w:val="TableContents"/>
              <w:bidi w:val="0"/>
              <w:spacing w:before="0" w:after="0"/>
              <w:ind w:left="0" w:right="0" w:hanging="0"/>
              <w:jc w:val="left"/>
              <w:rPr/>
            </w:pPr>
            <w:r>
              <w:rPr/>
              <w:t> </w:t>
            </w:r>
          </w:p>
        </w:tc>
      </w:tr>
      <w:tr>
        <w:trPr/>
        <w:tc>
          <w:tcPr>
            <w:tcW w:w="1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14,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52" w:type="dxa"/>
            <w:gridSpan w:val="2"/>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 Robert Musslewhite</w:t>
            </w:r>
          </w:p>
        </w:tc>
      </w:tr>
      <w:tr>
        <w:trPr/>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Musslewhite</w:t>
            </w:r>
          </w:p>
        </w:tc>
      </w:tr>
      <w:tr>
        <w:trPr/>
        <w:tc>
          <w:tcPr>
            <w:tcW w:w="14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Title:</w:t>
            </w:r>
            <w:r>
              <w:rPr>
                <w:rFonts w:ascii="Times New Roman" w:hAnsi="Times New Roman"/>
                <w:sz w:val="20"/>
              </w:rPr>
              <w:t xml:space="preserve"> </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tc>
      </w:tr>
    </w:tbl>
    <w:tbl>
      <w:tblPr>
        <w:tblW w:w="7080" w:type="dxa"/>
        <w:jc w:val="left"/>
        <w:tblInd w:w="0" w:type="dxa"/>
        <w:tblLayout w:type="fixed"/>
        <w:tblCellMar>
          <w:top w:w="28" w:type="dxa"/>
          <w:left w:w="28" w:type="dxa"/>
          <w:bottom w:w="28" w:type="dxa"/>
          <w:right w:w="28" w:type="dxa"/>
        </w:tblCellMar>
      </w:tblPr>
      <w:tblGrid>
        <w:gridCol w:w="1471"/>
        <w:gridCol w:w="146"/>
        <w:gridCol w:w="406"/>
        <w:gridCol w:w="631"/>
        <w:gridCol w:w="4426"/>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14,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057" w:type="dxa"/>
            <w:gridSpan w:val="2"/>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 Richard Booth</w:t>
            </w:r>
          </w:p>
        </w:tc>
      </w:tr>
      <w:tr>
        <w:trPr/>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r>
      <w:tr>
        <w:trPr/>
        <w:tc>
          <w:tcPr>
            <w:tcW w:w="14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Chief Financial Officer (</w:t>
            </w:r>
            <w:r>
              <w:rPr>
                <w:rFonts w:ascii="Times New Roman;serif" w:hAnsi="Times New Roman;serif"/>
                <w:b w:val="false"/>
                <w:i/>
                <w:sz w:val="20"/>
              </w:rPr>
              <w:t>Principal Financial Officer</w:t>
            </w:r>
            <w:r>
              <w:rPr>
                <w:rFonts w:ascii="Times New Roman;serif" w:hAnsi="Times New Roman;serif"/>
                <w:b w:val="false"/>
                <w:sz w:val="20"/>
              </w:rPr>
              <w:t>)</w:t>
            </w:r>
          </w:p>
        </w:tc>
      </w:tr>
    </w:tbl>
    <w:p>
      <w:pPr>
        <w:pStyle w:val="TextBody"/>
        <w:bidi w:val="0"/>
        <w:spacing w:before="360" w:after="0"/>
        <w:jc w:val="left"/>
        <w:rPr/>
      </w:pPr>
      <w:r>
        <w:rPr/>
        <w:t> </w:t>
      </w:r>
    </w:p>
    <w:p>
      <w:pPr>
        <w:pStyle w:val="TextBody"/>
        <w:bidi w:val="0"/>
        <w:spacing w:before="36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dh-ex10_1.htm"/>
      <w:bookmarkStart w:id="24" w:name="ksdhex10_1"/>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10.1</w:t>
      </w:r>
    </w:p>
    <w:p>
      <w:pPr>
        <w:pStyle w:val="TextBody"/>
        <w:bidi w:val="0"/>
        <w:spacing w:before="0" w:after="0"/>
        <w:jc w:val="righ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DEFINITIVE HEALTHCARE CORP.</w:t>
      </w:r>
    </w:p>
    <w:p>
      <w:pPr>
        <w:pStyle w:val="TextBody"/>
        <w:bidi w:val="0"/>
        <w:spacing w:before="0" w:after="0"/>
        <w:jc w:val="center"/>
        <w:rPr>
          <w:rFonts w:ascii="Times New Roman;serif" w:hAnsi="Times New Roman;serif"/>
          <w:b/>
          <w:sz w:val="20"/>
        </w:rPr>
      </w:pPr>
      <w:r>
        <w:rPr>
          <w:rFonts w:ascii="Times New Roman;serif" w:hAnsi="Times New Roman;serif"/>
          <w:b/>
          <w:sz w:val="20"/>
        </w:rPr>
        <w:t>NON-EMPLOYEE DIRECTOR COMPENSATION POLICY</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ADOPTED: APRIL 18, 2023</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Each member of the Board of Directors (the “</w:t>
      </w:r>
      <w:r>
        <w:rPr>
          <w:rFonts w:ascii="Times New Roman;serif" w:hAnsi="Times New Roman;serif"/>
          <w:b/>
          <w:i/>
          <w:sz w:val="20"/>
        </w:rPr>
        <w:t>Board</w:t>
      </w:r>
      <w:r>
        <w:rPr>
          <w:rFonts w:ascii="Times New Roman" w:hAnsi="Times New Roman"/>
          <w:sz w:val="20"/>
        </w:rPr>
        <w:t>”</w:t>
      </w:r>
      <w:r>
        <w:rPr>
          <w:rFonts w:ascii="Times New Roman;serif" w:hAnsi="Times New Roman;serif"/>
          <w:b w:val="false"/>
          <w:sz w:val="20"/>
        </w:rPr>
        <w:t>) who is not (i) also serving as an employee of or consultant to Definitive Healthcare Corp.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 or any of its subsidiaries or (ii) an employee of Advent International Corporation, or Spectrum Equity Management, L.P. or their respective affiliated funds (each such member, an “</w:t>
      </w:r>
      <w:r>
        <w:rPr>
          <w:rFonts w:ascii="Times New Roman;serif" w:hAnsi="Times New Roman;serif"/>
          <w:b/>
          <w:i/>
          <w:sz w:val="20"/>
        </w:rPr>
        <w:t>Eligible Director</w:t>
      </w:r>
      <w:r>
        <w:rPr>
          <w:rFonts w:ascii="Times New Roman" w:hAnsi="Times New Roman"/>
          <w:sz w:val="20"/>
        </w:rPr>
        <w:t>”</w:t>
      </w:r>
      <w:r>
        <w:rPr>
          <w:rFonts w:ascii="Times New Roman;serif" w:hAnsi="Times New Roman;serif"/>
          <w:b w:val="false"/>
          <w:sz w:val="20"/>
        </w:rPr>
        <w:t>) will receive the compensation described in this policy for his or her Board service. An Eligible Director may decline all or any portion of his or her compensation by giving notice to the Company prior to the date cash may be paid or equity awards are to be granted, as the case may be. This policy is effective as of the date set forth above (the “</w:t>
      </w:r>
      <w:r>
        <w:rPr>
          <w:rFonts w:ascii="Times New Roman;serif" w:hAnsi="Times New Roman;serif"/>
          <w:b/>
          <w:i/>
          <w:sz w:val="20"/>
        </w:rPr>
        <w:t>Effective Date</w:t>
      </w:r>
      <w:r>
        <w:rPr>
          <w:rFonts w:ascii="Times New Roman" w:hAnsi="Times New Roman"/>
          <w:sz w:val="20"/>
        </w:rPr>
        <w:t>”</w:t>
      </w:r>
      <w:r>
        <w:rPr>
          <w:rFonts w:ascii="Times New Roman;serif" w:hAnsi="Times New Roman;serif"/>
          <w:b w:val="false"/>
          <w:sz w:val="20"/>
        </w:rPr>
        <w:t>) and may be amended at any time in the sole discretion of the Board.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A.</w:t>
      </w:r>
      <w:r>
        <w:rPr>
          <w:rFonts w:ascii="Times New Roman" w:hAnsi="Times New Roman"/>
          <w:sz w:val="20"/>
        </w:rPr>
        <w:t xml:space="preserve"> </w:t>
      </w:r>
      <w:r>
        <w:rPr>
          <w:rFonts w:ascii="Times New Roman;serif" w:hAnsi="Times New Roman;serif"/>
          <w:b/>
          <w:sz w:val="20"/>
        </w:rPr>
        <w:t>Annual Cash Compensation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amounts set forth below (collectively, the “</w:t>
      </w:r>
      <w:r>
        <w:rPr>
          <w:rFonts w:ascii="Times New Roman;serif" w:hAnsi="Times New Roman;serif"/>
          <w:b/>
          <w:i/>
          <w:sz w:val="20"/>
        </w:rPr>
        <w:t>Annual Cash Compensation</w:t>
      </w:r>
      <w:r>
        <w:rPr>
          <w:rFonts w:ascii="Times New Roman" w:hAnsi="Times New Roman"/>
          <w:sz w:val="20"/>
        </w:rPr>
        <w:t>”</w:t>
      </w:r>
      <w:r>
        <w:rPr>
          <w:rFonts w:ascii="Times New Roman;serif" w:hAnsi="Times New Roman;serif"/>
          <w:b w:val="false"/>
          <w:sz w:val="20"/>
        </w:rPr>
        <w:t>) are payable to Eligible Directors in equal quarterly installments in arrears on the last day of each fiscal quarter in which the service occurred (each such date, the “</w:t>
      </w:r>
      <w:r>
        <w:rPr>
          <w:rFonts w:ascii="Times New Roman;serif" w:hAnsi="Times New Roman;serif"/>
          <w:b/>
          <w:i/>
          <w:sz w:val="20"/>
        </w:rPr>
        <w:t>Retainer Accrual Date</w:t>
      </w:r>
      <w:r>
        <w:rPr>
          <w:rFonts w:ascii="Times New Roman" w:hAnsi="Times New Roman"/>
          <w:sz w:val="20"/>
        </w:rPr>
        <w:t>”</w:t>
      </w:r>
      <w:r>
        <w:rPr>
          <w:rFonts w:ascii="Times New Roman;serif" w:hAnsi="Times New Roman;serif"/>
          <w:b w:val="false"/>
          <w:sz w:val="20"/>
        </w:rPr>
        <w:t>). If an Eligible Director joins the Board or a committee of the Board at a time other than effective as of the first day of a fiscal quarter of the Company, each amount set forth below will be pro-rated based on days served in the applicable fiscal quarter, with the pro-rated amount paid on the last day of the first fiscal quarter in which the Eligible Director provides the service and regular full quarterly payments thereafter. All Annual Cash Compensation amounts are vested upon payment.</w:t>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pPr>
      <w:r>
        <w:rPr>
          <w:rFonts w:ascii="Times New Roman;serif" w:hAnsi="Times New Roman;serif"/>
          <w:b w:val="false"/>
          <w:sz w:val="20"/>
          <w:u w:val="single"/>
        </w:rPr>
        <w:t>Annual Board Service Retainer</w:t>
      </w:r>
      <w:r>
        <w:rPr>
          <w:rFonts w:ascii="Times New Roman;serif" w:hAnsi="Times New Roman;serif"/>
          <w:b w:val="false"/>
          <w:sz w:val="20"/>
        </w:rPr>
        <w:t>: $50,000</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pPr>
      <w:r>
        <w:rPr>
          <w:rFonts w:ascii="Times New Roman;serif" w:hAnsi="Times New Roman;serif"/>
          <w:b w:val="false"/>
          <w:sz w:val="20"/>
          <w:u w:val="single"/>
        </w:rPr>
        <w:t>Annual Committee Chair Service Retainer</w:t>
      </w:r>
      <w:r>
        <w:rPr>
          <w:rFonts w:ascii="Times New Roman;serif" w:hAnsi="Times New Roman;serif"/>
          <w:b w:val="false"/>
          <w:sz w:val="20"/>
        </w:rPr>
        <w:t>:</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Chair of the Audit Committee: $20,000</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spacing w:before="0" w:after="0"/>
        <w:jc w:val="left"/>
        <w:rPr/>
      </w:pPr>
      <w:r>
        <w:rPr>
          <w:rFonts w:ascii="Times New Roman;serif" w:hAnsi="Times New Roman;serif"/>
          <w:b w:val="false"/>
          <w:sz w:val="20"/>
        </w:rPr>
        <w:t>Chair of Human Capital Management &amp; Compensation Committee (“</w:t>
      </w:r>
      <w:r>
        <w:rPr>
          <w:rFonts w:ascii="Times New Roman;serif" w:hAnsi="Times New Roman;serif"/>
          <w:b/>
          <w:i/>
          <w:sz w:val="20"/>
        </w:rPr>
        <w:t>HCMCC</w:t>
      </w:r>
      <w:r>
        <w:rPr/>
        <w:t>”</w:t>
      </w:r>
      <w:r>
        <w:rPr>
          <w:rFonts w:ascii="Times New Roman;serif" w:hAnsi="Times New Roman;serif"/>
          <w:b w:val="false"/>
          <w:sz w:val="20"/>
        </w:rPr>
        <w:t>): $20,000</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jc w:val="left"/>
        <w:rPr>
          <w:rFonts w:ascii="Times New Roman;serif" w:hAnsi="Times New Roman;serif"/>
          <w:b w:val="false"/>
          <w:sz w:val="20"/>
        </w:rPr>
      </w:pPr>
      <w:r>
        <w:rPr>
          <w:rFonts w:ascii="Times New Roman;serif" w:hAnsi="Times New Roman;serif"/>
          <w:b w:val="false"/>
          <w:sz w:val="20"/>
        </w:rPr>
        <w:t>Chair of the Nominating and Governance Committee: $10,000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B.</w:t>
      </w:r>
      <w:r>
        <w:rPr>
          <w:rFonts w:ascii="Times New Roman" w:hAnsi="Times New Roman"/>
          <w:sz w:val="20"/>
        </w:rPr>
        <w:t xml:space="preserve"> </w:t>
      </w:r>
      <w:r>
        <w:rPr>
          <w:rFonts w:ascii="Times New Roman;serif" w:hAnsi="Times New Roman;serif"/>
          <w:b/>
          <w:sz w:val="20"/>
        </w:rPr>
        <w:t>Expenses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will reimburse Eligible Directors for ordinary, necessary and reasonable out-of-pocket travel expenses to cover in-person attendance at and participation in Board and committee meetings; provided, that the Eligible Director timely submits to the Company appropriate documentation substantiating such expenses in accordance with the Company’s travel and expense policy, as in effect from time to time.</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C. Equity Compensation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equity compensation set forth below will be granted under the Company’s 2021 Equity Incentive Plan, as may be amended from time to time, or any successor plan thereto (the “</w:t>
      </w:r>
      <w:r>
        <w:rPr>
          <w:rFonts w:ascii="Times New Roman;serif" w:hAnsi="Times New Roman;serif"/>
          <w:b/>
          <w:i/>
          <w:sz w:val="20"/>
        </w:rPr>
        <w:t>Plan</w:t>
      </w:r>
      <w:r>
        <w:rPr>
          <w:rFonts w:ascii="Times New Roman" w:hAnsi="Times New Roman"/>
          <w:sz w:val="20"/>
        </w:rPr>
        <w:t>”</w:t>
      </w:r>
      <w:r>
        <w:rPr>
          <w:rFonts w:ascii="Times New Roman;serif" w:hAnsi="Times New Roman;serif"/>
          <w:b w:val="false"/>
          <w:sz w:val="20"/>
        </w:rPr>
        <w:t>) and a restricted stock unit (“</w:t>
      </w:r>
      <w:r>
        <w:rPr>
          <w:rFonts w:ascii="Times New Roman;serif" w:hAnsi="Times New Roman;serif"/>
          <w:b/>
          <w:i/>
          <w:sz w:val="20"/>
        </w:rPr>
        <w:t>RSU</w:t>
      </w:r>
      <w:r>
        <w:rPr>
          <w:rFonts w:ascii="Times New Roman" w:hAnsi="Times New Roman"/>
          <w:sz w:val="20"/>
        </w:rPr>
        <w:t>”</w:t>
      </w:r>
      <w:r>
        <w:rPr>
          <w:rFonts w:ascii="Times New Roman;serif" w:hAnsi="Times New Roman;serif"/>
          <w:b w:val="false"/>
          <w:sz w:val="20"/>
        </w:rPr>
        <w:t>) grant notice and award agreement thereunder.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1. </w:t>
      </w:r>
      <w:r>
        <w:rPr>
          <w:rFonts w:ascii="Times New Roman;serif" w:hAnsi="Times New Roman;serif"/>
          <w:b w:val="false"/>
          <w:sz w:val="20"/>
          <w:u w:val="single"/>
        </w:rPr>
        <w:t>Initial RSU Grants</w:t>
      </w:r>
      <w:r>
        <w:rPr>
          <w:rFonts w:ascii="Times New Roman;serif" w:hAnsi="Times New Roman;serif"/>
          <w:b w:val="false"/>
          <w:sz w:val="20"/>
        </w:rPr>
        <w:t>. For each Eligible Director who is first elected or appointed to the Board following the Effective Date, on the effective date of such Eligible Director’s initial election or appointment to the Board (or, if such date is not a market trading day, the first market trading day thereafter) (the “</w:t>
      </w:r>
      <w:r>
        <w:rPr>
          <w:rFonts w:ascii="Times New Roman;serif" w:hAnsi="Times New Roman;serif"/>
          <w:b/>
          <w:i/>
          <w:sz w:val="20"/>
        </w:rPr>
        <w:t>Appointment Effective Date</w:t>
      </w:r>
      <w:r>
        <w:rPr>
          <w:rFonts w:ascii="Times New Roman" w:hAnsi="Times New Roman"/>
          <w:sz w:val="20"/>
        </w:rPr>
        <w:t>”</w:t>
      </w:r>
      <w:r>
        <w:rPr>
          <w:rFonts w:ascii="Times New Roman;serif" w:hAnsi="Times New Roman;serif"/>
          <w:b w:val="false"/>
          <w:sz w:val="20"/>
        </w:rPr>
        <w:t>), the Eligible Director will automatically, and without further action by the Board or the HCMCC, be granted RSUs with respect to shares of Common Stock with an aggregate value of $300,000 (the “</w:t>
      </w:r>
      <w:r>
        <w:rPr>
          <w:rFonts w:ascii="Times New Roman;serif" w:hAnsi="Times New Roman;serif"/>
          <w:b/>
          <w:i/>
          <w:sz w:val="20"/>
        </w:rPr>
        <w:t>Initial RSU Grant</w:t>
      </w:r>
      <w:r>
        <w:rPr>
          <w:rFonts w:ascii="Times New Roman" w:hAnsi="Times New Roman"/>
          <w:sz w:val="20"/>
        </w:rPr>
        <w:t>”</w:t>
      </w:r>
      <w:r>
        <w:rPr>
          <w:rFonts w:ascii="Times New Roman;serif" w:hAnsi="Times New Roman;serif"/>
          <w:b w:val="false"/>
          <w:sz w:val="20"/>
        </w:rPr>
        <w:t>). The number of RSUs subject to the Initial RSU Grant will be determined by dividing the grant value by the simple average trailing 30-day closing price of the Company’s Class A common stock as reported on Nasdaq, calculated using the 30 trading days up to and including the Appointment Effective Date (or, if the Appointment Effective Date is not a trading day, then the next trading day following the Appointment Effective Date), rounded up to the nearest whole share. The Initial RSU Grant will vest over a three-year period, with one-third (1/3) of the Initial RSU Grant vesting on each of the first, second and third anniversaries of the Appointment Effective Date, subject to the Eligible Director’s Service (as defined in the Plan) through each such vesting date.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2. </w:t>
      </w:r>
      <w:r>
        <w:rPr>
          <w:rFonts w:ascii="Times New Roman;serif" w:hAnsi="Times New Roman;serif"/>
          <w:b w:val="false"/>
          <w:sz w:val="20"/>
          <w:u w:val="single"/>
        </w:rPr>
        <w:t>Annual RSU Grants</w:t>
      </w:r>
      <w:r>
        <w:rPr>
          <w:rFonts w:ascii="Times New Roman;serif" w:hAnsi="Times New Roman;serif"/>
          <w:b w:val="false"/>
          <w:sz w:val="20"/>
        </w:rPr>
        <w:t>. On the date of each annual stockholder meeting of the Company (each, an “</w:t>
      </w:r>
      <w:r>
        <w:rPr>
          <w:rFonts w:ascii="Times New Roman;serif" w:hAnsi="Times New Roman;serif"/>
          <w:b/>
          <w:i/>
          <w:sz w:val="20"/>
        </w:rPr>
        <w:t>Annual Meeting</w:t>
      </w:r>
      <w:r>
        <w:rPr>
          <w:rFonts w:ascii="Times New Roman" w:hAnsi="Times New Roman"/>
          <w:sz w:val="20"/>
        </w:rPr>
        <w:t>”</w:t>
      </w:r>
      <w:r>
        <w:rPr>
          <w:rFonts w:ascii="Times New Roman;serif" w:hAnsi="Times New Roman;serif"/>
          <w:b w:val="false"/>
          <w:sz w:val="20"/>
        </w:rPr>
        <w:t>) held after the Effective Date (“</w:t>
      </w:r>
      <w:r>
        <w:rPr>
          <w:rFonts w:ascii="Times New Roman;serif" w:hAnsi="Times New Roman;serif"/>
          <w:b/>
          <w:i/>
          <w:sz w:val="20"/>
        </w:rPr>
        <w:t>Annual Grant Date</w:t>
      </w:r>
      <w:r>
        <w:rPr>
          <w:rFonts w:ascii="Times New Roman" w:hAnsi="Times New Roman"/>
          <w:sz w:val="20"/>
        </w:rPr>
        <w:t>”</w:t>
      </w:r>
      <w:r>
        <w:rPr>
          <w:rFonts w:ascii="Times New Roman;serif" w:hAnsi="Times New Roman;serif"/>
          <w:b w:val="false"/>
          <w:sz w:val="20"/>
        </w:rPr>
        <w:t>), each Eligible Director who continues to serve as a non-employee member of the Board following such Annual Meeting (including any Eligible Director who is first appointed or elected by the Board at an Annual Meeting) will automatically, and without further action by the Board or the HCMCC, be granted RSUs with respect to shares of the Company’s Common Stock with an aggregate value of $175,000 (the “</w:t>
      </w:r>
      <w:r>
        <w:rPr>
          <w:rFonts w:ascii="Times New Roman;serif" w:hAnsi="Times New Roman;serif"/>
          <w:b/>
          <w:i/>
          <w:sz w:val="20"/>
        </w:rPr>
        <w:t>Annual RSU Grant</w:t>
      </w:r>
      <w:r>
        <w:rPr>
          <w:rFonts w:ascii="Times New Roman" w:hAnsi="Times New Roman"/>
          <w:sz w:val="20"/>
        </w:rPr>
        <w:t>”</w:t>
      </w:r>
      <w:r>
        <w:rPr>
          <w:rFonts w:ascii="Times New Roman;serif" w:hAnsi="Times New Roman;serif"/>
          <w:b w:val="false"/>
          <w:sz w:val="20"/>
        </w:rPr>
        <w:t>). The number of RSUs subject to the Annual RSU Grant will be determined by dividing the grant value by the simple average trailing 30-day closing price of the Company’s Class A common stock as reported on Nasdaq, calculated using the 30 trading days up to and including the Annual Grant Date (or, if the Annual Grant Date is not a trading day, then the next trading day following the Annual Grant Date), rounded up to the nearest whole share. The Annual RSU Grant will vest in full on the earlier to occur of the one-year anniversary of applicable Annual Grant Date or the date of the next year’s Annual Meeting, subject to the Eligible Director’s Service through such vesting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With respect to an Eligible Director who, following the Effective Date, was first elected or appointed to the Board effective as of a date other than the date of the Annual Meeting, on the applicable Appointment Effective Date, such Eligible Director will automatically, and without further action by the Board or the HCMCC, receive a grant of RSUs with respect to shares of the Company’s Common Stock, the aggregate value of which will be $175,000, prorated based on the number of calendar days remaining between the applicable Appointment Effective Date and the first anniversary of the Company’s last Annual Meeting (the “</w:t>
      </w:r>
      <w:r>
        <w:rPr>
          <w:rFonts w:ascii="Times New Roman;serif" w:hAnsi="Times New Roman;serif"/>
          <w:b/>
          <w:i/>
          <w:sz w:val="20"/>
        </w:rPr>
        <w:t>Prorated Annual RSU Grant</w:t>
      </w:r>
      <w:r>
        <w:rPr>
          <w:rFonts w:ascii="Times New Roman" w:hAnsi="Times New Roman"/>
          <w:sz w:val="20"/>
        </w:rPr>
        <w:t>”</w:t>
      </w:r>
      <w:r>
        <w:rPr>
          <w:rFonts w:ascii="Times New Roman;serif" w:hAnsi="Times New Roman;serif"/>
          <w:b w:val="false"/>
          <w:sz w:val="20"/>
        </w:rPr>
        <w:t>). The number of RSUs subject to the Prorated Annual RSU Grant will be determined by dividing the grant value by the simple average trailing 30-day closing price of the Company’s Class A common stock as reported on Nasdaq, calculated using the 30 trading days up to and including the Appointment Effective Date (or, if the Appointment Effective Date is not a trading day, then the next trading day following the Appointment Effective Date), rounded up to the nearest whole share. The Prorated Annual RSU Grant will vest in full on the earlier to occur of the one-year anniversary of the most recent Annual Grant Date occurring prior to the Appointment Effective Date or the date of the next year’s Annual Meeting, subject to the Eligible Director’s Service through such vesting date.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3. </w:t>
      </w:r>
      <w:r>
        <w:rPr>
          <w:rFonts w:ascii="Times New Roman;serif" w:hAnsi="Times New Roman;serif"/>
          <w:b w:val="false"/>
          <w:sz w:val="20"/>
          <w:u w:val="single"/>
        </w:rPr>
        <w:t>Accelerated Vesting</w:t>
      </w:r>
      <w:r>
        <w:rPr>
          <w:rFonts w:ascii="Times New Roman;serif" w:hAnsi="Times New Roman;serif"/>
          <w:b w:val="false"/>
          <w:sz w:val="20"/>
        </w:rPr>
        <w:t>. Notwithstanding the foregoing, each Initial RSU Grant, Annual RSU Grant, and Prorated Annual RSU Grant will vest in full upon a Change in Control (as defined in the Plan), subject to the Eligible Director’s Service through the date of such Change in Control.</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D. Non-Employee Director Compensation Limit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Notwithstanding the foregoing, the aggregate value of all compensation granted or paid, as applicable, to any individual for service as a Non-Employee Director (as defined in the Plan) shall in no event exceed the limits set forth in Section 4.4 of the Plan.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dh-ex31_1.htm"/>
      <w:bookmarkStart w:id="26" w:name="ksdhex31_1"/>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Management 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Robert Musslewhite, certify that:</w:t>
      </w:r>
      <w:r>
        <w:rPr>
          <w:rFonts w:ascii="Times New Roman" w:hAnsi="Times New Roman"/>
          <w:sz w:val="20"/>
        </w:rPr>
        <w:t xml:space="preserve"> </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Definitive Healthcare Corp.;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4870" w:type="dxa"/>
        <w:jc w:val="left"/>
        <w:tblInd w:w="0" w:type="dxa"/>
        <w:tblLayout w:type="fixed"/>
        <w:tblCellMar>
          <w:top w:w="28" w:type="dxa"/>
          <w:left w:w="28" w:type="dxa"/>
          <w:bottom w:w="28" w:type="dxa"/>
          <w:right w:w="28" w:type="dxa"/>
        </w:tblCellMar>
      </w:tblPr>
      <w:tblGrid>
        <w:gridCol w:w="556"/>
        <w:gridCol w:w="1516"/>
        <w:gridCol w:w="146"/>
        <w:gridCol w:w="14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pPr>
            <w:r>
              <w:rPr/>
              <w:t> </w:t>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51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August 14,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Robert Musslewhite</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Musslewhite</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dh-ex31_2.htm"/>
      <w:bookmarkStart w:id="28" w:name="ksdhex31_2"/>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Management 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Richard Booth, certify that:</w:t>
      </w:r>
      <w:r>
        <w:rPr>
          <w:rFonts w:ascii="Times New Roman" w:hAnsi="Times New Roman"/>
          <w:sz w:val="20"/>
        </w:rPr>
        <w:t xml:space="preserve"> </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Definitive Healthcare Corp.;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4739" w:type="dxa"/>
        <w:jc w:val="left"/>
        <w:tblInd w:w="0" w:type="dxa"/>
        <w:tblLayout w:type="fixed"/>
        <w:tblCellMar>
          <w:top w:w="28" w:type="dxa"/>
          <w:left w:w="28" w:type="dxa"/>
          <w:bottom w:w="28" w:type="dxa"/>
          <w:right w:w="28" w:type="dxa"/>
        </w:tblCellMar>
      </w:tblPr>
      <w:tblGrid>
        <w:gridCol w:w="556"/>
        <w:gridCol w:w="1516"/>
        <w:gridCol w:w="146"/>
        <w:gridCol w:w="252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pPr>
            <w:r>
              <w:rPr/>
              <w:t> </w:t>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51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August 14,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/s/Richard Booth</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dh-ex32_1.htm"/>
      <w:bookmarkStart w:id="30" w:name="ksdhex32_1"/>
      <w:bookmarkEnd w:id="29"/>
      <w:bookmarkEnd w:id="30"/>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Certification of CEO and CFO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on Form 10-Q of Definitive Healthcare Corp. (the “Company”) for the quarterly period ended June 30, 2023 as filed with the Securities and Exchange Commission on the date hereof (the “Report”), Robert Musslewhite, as Chief Executive Officer of the Company, and Richard Booth, as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w:t>
      </w:r>
      <w:r>
        <w:rPr>
          <w:rFonts w:ascii="Times New Roman" w:hAnsi="Times New Roman"/>
          <w:sz w:val="20"/>
        </w:rPr>
        <w:t xml:space="preserve"> </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Exchange Act; and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p>
      <w:pPr>
        <w:pStyle w:val="TextBody"/>
        <w:bidi w:val="0"/>
        <w:spacing w:before="24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14, 2023</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Robert Musslewhite</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Musslewhite</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Booth</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095017021003484/dh-ex3_1.htm" TargetMode="External"/><Relationship Id="rId3" Type="http://schemas.openxmlformats.org/officeDocument/2006/relationships/hyperlink" Target="https://www.sec.gov/Archives/edgar/data/1861795/000095017021003484/dh-ex3_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25806</Words>
  <Characters>142920</Characters>
  <CharactersWithSpaces>170331</CharactersWithSpaces>
  <Paragraphs>8190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