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3-05032024_080529.xml.htm"/>
      <w:bookmarkStart w:id="1" w:name="ksform305032024_080529"/>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2041" w:type="dxa"/>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168"/>
        <w:gridCol w:w="1515"/>
        <w:gridCol w:w="3037"/>
        <w:gridCol w:w="2485"/>
      </w:tblGrid>
      <w:tr>
        <w:trPr/>
        <w:tc>
          <w:tcPr>
            <w:tcW w:w="3168"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048"/>
            </w:tblGrid>
            <w:tr>
              <w:trPr/>
              <w:tc>
                <w:tcPr>
                  <w:tcW w:w="3048" w:type="dxa"/>
                  <w:tcBorders/>
                  <w:vAlign w:val="center"/>
                </w:tcPr>
                <w:p>
                  <w:pPr>
                    <w:pStyle w:val="TableContents"/>
                    <w:bidi w:val="0"/>
                    <w:spacing w:before="0" w:after="283"/>
                    <w:jc w:val="left"/>
                    <w:rPr/>
                  </w:pPr>
                  <w:hyperlink r:id="rId2">
                    <w:r>
                      <w:rPr>
                        <w:rStyle w:val="InternetLink"/>
                      </w:rPr>
                      <w:t>Moschella William</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016"/>
              <w:gridCol w:w="1016"/>
              <w:gridCol w:w="1016"/>
            </w:tblGrid>
            <w:tr>
              <w:trPr/>
              <w:tc>
                <w:tcPr>
                  <w:tcW w:w="1016"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016"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016"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048"/>
            </w:tblGrid>
            <w:tr>
              <w:trPr/>
              <w:tc>
                <w:tcPr>
                  <w:tcW w:w="3048"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DEFINITIVE HEALTHCARE CORP.</w:t>
                  </w:r>
                </w:p>
              </w:tc>
            </w:tr>
            <w:tr>
              <w:trPr/>
              <w:tc>
                <w:tcPr>
                  <w:tcW w:w="3048"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492 OLD CONNECTICUT PATH, SUITE 401</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016"/>
              <w:gridCol w:w="1016"/>
              <w:gridCol w:w="1016"/>
            </w:tblGrid>
            <w:tr>
              <w:trPr/>
              <w:tc>
                <w:tcPr>
                  <w:tcW w:w="1016"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FRAMINGHAM</w:t>
                  </w:r>
                </w:p>
              </w:tc>
              <w:tc>
                <w:tcPr>
                  <w:tcW w:w="1016"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016"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01701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016"/>
              <w:gridCol w:w="1016"/>
              <w:gridCol w:w="1016"/>
            </w:tblGrid>
            <w:tr>
              <w:trPr/>
              <w:tc>
                <w:tcPr>
                  <w:tcW w:w="1016"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016"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016"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15"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05/01/2024</w:t>
            </w:r>
            <w:r>
              <w:rPr/>
              <w:t xml:space="preserve"> </w:t>
            </w:r>
          </w:p>
        </w:tc>
        <w:tc>
          <w:tcPr>
            <w:tcW w:w="5522"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Definitive Healthcare Corp.</w:t>
              </w:r>
            </w:hyperlink>
            <w:r>
              <w:rPr/>
              <w:t xml:space="preserve"> [ </w:t>
            </w:r>
            <w:r>
              <w:rPr>
                <w:rFonts w:ascii="Times;serif" w:hAnsi="Times;serif"/>
                <w:color w:val="0000FF"/>
                <w:sz w:val="24"/>
                <w:shd w:fill="FFFFFF" w:val="clear"/>
              </w:rPr>
              <w:t>DH</w:t>
            </w:r>
            <w:r>
              <w:rPr/>
              <w:t xml:space="preserve"> ] </w:t>
            </w:r>
          </w:p>
        </w:tc>
      </w:tr>
      <w:tr>
        <w:trPr/>
        <w:tc>
          <w:tcPr>
            <w:tcW w:w="316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1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37"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37"/>
              <w:gridCol w:w="1021"/>
              <w:gridCol w:w="437"/>
              <w:gridCol w:w="1022"/>
            </w:tblGrid>
            <w:tr>
              <w:trPr/>
              <w:tc>
                <w:tcPr>
                  <w:tcW w:w="437"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37"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37"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10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37"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17" w:type="dxa"/>
                  <w:gridSpan w:val="4"/>
                  <w:tcBorders/>
                  <w:vAlign w:val="center"/>
                </w:tcPr>
                <w:p>
                  <w:pPr>
                    <w:pStyle w:val="TableContents"/>
                    <w:bidi w:val="0"/>
                    <w:spacing w:before="0" w:after="283"/>
                    <w:jc w:val="center"/>
                    <w:rPr/>
                  </w:pPr>
                  <w:r>
                    <w:rPr>
                      <w:rFonts w:ascii="Times;serif" w:hAnsi="Times;serif"/>
                      <w:color w:val="0000FF"/>
                      <w:sz w:val="24"/>
                      <w:shd w:fill="FFFFFF" w:val="clear"/>
                    </w:rPr>
                    <w:t>Chief Product &amp; Tech Officer</w:t>
                  </w:r>
                  <w:r>
                    <w:rPr/>
                    <w:t xml:space="preserve"> </w:t>
                  </w:r>
                </w:p>
              </w:tc>
            </w:tr>
          </w:tbl>
          <w:p>
            <w:pPr>
              <w:pStyle w:val="TableContents"/>
              <w:bidi w:val="0"/>
              <w:spacing w:before="0" w:after="283"/>
              <w:jc w:val="left"/>
              <w:rPr>
                <w:sz w:val="4"/>
                <w:szCs w:val="4"/>
              </w:rPr>
            </w:pPr>
            <w:r>
              <w:rPr>
                <w:sz w:val="4"/>
                <w:szCs w:val="4"/>
              </w:rPr>
            </w:r>
          </w:p>
        </w:tc>
        <w:tc>
          <w:tcPr>
            <w:tcW w:w="2485"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16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1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37"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485"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54"/>
              <w:gridCol w:w="2011"/>
            </w:tblGrid>
            <w:tr>
              <w:trPr/>
              <w:tc>
                <w:tcPr>
                  <w:tcW w:w="354"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201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54" w:type="dxa"/>
                  <w:tcBorders/>
                  <w:vAlign w:val="center"/>
                </w:tcPr>
                <w:p>
                  <w:pPr>
                    <w:pStyle w:val="TableContents"/>
                    <w:bidi w:val="0"/>
                    <w:spacing w:before="0" w:after="283"/>
                    <w:jc w:val="left"/>
                    <w:rPr>
                      <w:sz w:val="4"/>
                      <w:szCs w:val="4"/>
                    </w:rPr>
                  </w:pPr>
                  <w:r>
                    <w:rPr>
                      <w:sz w:val="4"/>
                      <w:szCs w:val="4"/>
                    </w:rPr>
                  </w:r>
                </w:p>
              </w:tc>
              <w:tc>
                <w:tcPr>
                  <w:tcW w:w="201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2"/>
        <w:gridCol w:w="1963"/>
        <w:gridCol w:w="1166"/>
        <w:gridCol w:w="2654"/>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2" w:type="dxa"/>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3"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6"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4"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r>
        <w:trPr/>
        <w:tc>
          <w:tcPr>
            <w:tcW w:w="442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196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199,226</w:t>
            </w:r>
            <w:r>
              <w:rPr>
                <w:rFonts w:ascii="Times;serif" w:hAnsi="Times;serif"/>
                <w:color w:val="008000"/>
                <w:position w:val="7"/>
                <w:sz w:val="16"/>
                <w:sz w:val="20"/>
                <w:shd w:fill="FFFFFF" w:val="clear"/>
              </w:rPr>
              <w:t>(1)</w:t>
            </w:r>
            <w:r>
              <w:rPr/>
              <w:t xml:space="preserve"> </w:t>
            </w:r>
          </w:p>
        </w:tc>
        <w:tc>
          <w:tcPr>
            <w:tcW w:w="11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26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880"/>
        <w:gridCol w:w="1222"/>
        <w:gridCol w:w="1137"/>
        <w:gridCol w:w="1015"/>
        <w:gridCol w:w="957"/>
        <w:gridCol w:w="1285"/>
        <w:gridCol w:w="1256"/>
        <w:gridCol w:w="1453"/>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18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19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45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880"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222"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3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015"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5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8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25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453"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Includes restricted stock units ("RSUs"), each representing a contingent right to receive one share of the Issuer's Class A Common Stock, par value $0.001, consisting of (i) 73,260 RSUs with 50% vesting on each of January 1, 2025 and January 1, 2026, (ii) 91,576 RSUs that vest over a two-year period, with 50% of the RSUs vesting on August 1, 2024, followed by vesting of 12.5% per quarter over the subsequent one year, and (iii) 7,006 RSUs that vest over a four-year period, with 25% of the RSUs vesting on March 1, 2025, followed by quarterly vesting of 6.25% per quarter over the subsequent three years, in each case subject to the Reporting Person's continued service with the Issuer through each such vesting date.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Matthew Ruderman,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05/03/2024</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0"/>
        <w:ind w:left="0" w:right="0" w:hanging="0"/>
        <w:jc w:val="center"/>
        <w:rPr>
          <w:b/>
          <w:sz w:val="22"/>
        </w:rPr>
      </w:pPr>
      <w:bookmarkStart w:id="2" w:name="ex24-05032024_080531.htm"/>
      <w:bookmarkStart w:id="3" w:name="ksex2405032024_080531"/>
      <w:bookmarkEnd w:id="2"/>
      <w:bookmarkEnd w:id="3"/>
      <w:r>
        <w:rPr>
          <w:b/>
          <w:sz w:val="22"/>
        </w:rPr>
        <w:t>POWER OF ATTORNEY</w:t>
      </w:r>
      <w:r>
        <w:br w:type="page"/>
      </w:r>
    </w:p>
    <w:p>
      <w:pPr>
        <w:pStyle w:val="TextBody"/>
        <w:bidi w:val="0"/>
        <w:spacing w:before="0" w:after="0"/>
        <w:ind w:left="0" w:right="0" w:hanging="0"/>
        <w:jc w:val="center"/>
        <w:rPr/>
      </w:pPr>
      <w:r>
        <w:rPr/>
      </w:r>
    </w:p>
    <w:p>
      <w:pPr>
        <w:pStyle w:val="TextBody"/>
        <w:bidi w:val="0"/>
        <w:spacing w:before="0" w:after="0"/>
        <w:ind w:left="0" w:right="0" w:hanging="0"/>
        <w:jc w:val="center"/>
        <w:rPr>
          <w:sz w:val="22"/>
        </w:rPr>
      </w:pPr>
      <w:r>
        <w:rPr>
          <w:sz w:val="22"/>
        </w:rPr>
        <w:t>(For Executing Form ID and Forms 3, 4 and 5)</w:t>
      </w:r>
    </w:p>
    <w:p>
      <w:pPr>
        <w:pStyle w:val="TextBody"/>
        <w:bidi w:val="0"/>
        <w:spacing w:before="0" w:after="0"/>
        <w:ind w:left="0" w:right="0" w:hanging="0"/>
        <w:jc w:val="center"/>
        <w:rPr/>
      </w:pPr>
      <w:r>
        <w:rPr/>
      </w:r>
    </w:p>
    <w:p>
      <w:pPr>
        <w:pStyle w:val="TextBody"/>
        <w:bidi w:val="0"/>
        <w:spacing w:before="0" w:after="0"/>
        <w:ind w:left="0" w:right="0" w:firstLine="915"/>
        <w:jc w:val="both"/>
        <w:rPr>
          <w:sz w:val="22"/>
        </w:rPr>
      </w:pPr>
      <w:r>
        <w:rPr>
          <w:sz w:val="22"/>
        </w:rPr>
        <w:t>Know all by these presents, that the undersigned hereby constitutes and appoints each of Jean Park, Julia Boesch, Nikki Chang, Charlotte Yin, Albert Gelin and Jason Minio of Cooley LLP, and Matthew Ruderman and Maria Borda of Definitive Healthcare Corp. (the “</w:t>
      </w:r>
      <w:r>
        <w:rPr>
          <w:b/>
          <w:i/>
          <w:sz w:val="22"/>
        </w:rPr>
        <w:t>Company</w:t>
      </w:r>
      <w:r>
        <w:rPr>
          <w:sz w:val="22"/>
        </w:rPr>
        <w:t>”), signing individually, the undersigned’s true and lawful attorneys-in fact and agents to:</w:t>
      </w:r>
    </w:p>
    <w:p>
      <w:pPr>
        <w:pStyle w:val="TextBody"/>
        <w:bidi w:val="0"/>
        <w:spacing w:before="0" w:after="0"/>
        <w:ind w:left="0" w:right="0" w:hanging="0"/>
        <w:jc w:val="both"/>
        <w:rPr/>
      </w:pPr>
      <w:r>
        <w:rPr/>
      </w:r>
    </w:p>
    <w:p>
      <w:pPr>
        <w:pStyle w:val="TextBody"/>
        <w:bidi w:val="0"/>
        <w:spacing w:before="0" w:after="0"/>
        <w:ind w:left="0" w:right="0" w:hanging="30"/>
        <w:jc w:val="both"/>
        <w:rPr>
          <w:sz w:val="22"/>
        </w:rPr>
      </w:pPr>
      <w:r>
        <w:rPr>
          <w:sz w:val="22"/>
        </w:rPr>
        <w:t>Prepare, execute in the undersigned’s name and on the undersigned’s behalf, and submit to the Securities and Exchange Commission (the “</w:t>
      </w:r>
      <w:r>
        <w:rPr>
          <w:b/>
          <w:i/>
          <w:sz w:val="22"/>
        </w:rPr>
        <w:t>SEC</w:t>
      </w:r>
      <w:r>
        <w:rPr>
          <w:sz w:val="22"/>
        </w:rPr>
        <w:t>”), a Form ID and Forms 3, 4 and 5 (including amendments thereto and joint filing agreements in connection therewith) in accordance with Section 16 of the Securities Exchange Act of 1934, as amended (the “</w:t>
      </w:r>
      <w:r>
        <w:rPr>
          <w:b/>
          <w:i/>
          <w:sz w:val="22"/>
        </w:rPr>
        <w:t>Exchange Act</w:t>
      </w:r>
      <w:r>
        <w:rPr>
          <w:sz w:val="22"/>
        </w:rPr>
        <w:t>”), and the rules thereunder, in the undersigned’s capacity as an officer, director or beneficial owner of more than 10% of a registered class of securities of the Company;</w:t>
      </w:r>
      <w:r>
        <mc:AlternateContent>
          <mc:Choice Requires="wps">
            <w:drawing>
              <wp:anchor behindDoc="0" distT="0" distB="0" distL="0" distR="0" simplePos="0" locked="0" layoutInCell="1" allowOverlap="1" relativeHeight="2">
                <wp:simplePos x="0" y="0"/>
                <wp:positionH relativeFrom="column">
                  <wp:align>left</wp:align>
                </wp:positionH>
                <wp:positionV relativeFrom="line">
                  <wp:posOffset>635</wp:posOffset>
                </wp:positionV>
                <wp:extent cx="1162050" cy="160655"/>
                <wp:effectExtent l="0" t="0" r="0" b="0"/>
                <wp:wrapSquare wrapText="right"/>
                <wp:docPr id="1" name="Frame1"/>
                <a:graphic xmlns:a="http://schemas.openxmlformats.org/drawingml/2006/main">
                  <a:graphicData uri="http://schemas.microsoft.com/office/word/2010/wordprocessingShape">
                    <wps:wsp>
                      <wps:cNvSpPr txBox="1"/>
                      <wps:spPr>
                        <a:xfrm>
                          <a:off x="0" y="0"/>
                          <a:ext cx="1162050" cy="160655"/>
                        </a:xfrm>
                        <a:prstGeom prst="rect"/>
                        <a:solidFill>
                          <a:srgbClr val="FFFFFF"/>
                        </a:solidFill>
                      </wps:spPr>
                      <wps:txbx>
                        <w:txbxContent>
                          <w:p>
                            <w:pPr>
                              <w:pStyle w:val="TextBody"/>
                              <w:bidi w:val="0"/>
                              <w:spacing w:before="0" w:after="283"/>
                              <w:jc w:val="left"/>
                              <w:rPr>
                                <w:sz w:val="22"/>
                              </w:rPr>
                            </w:pPr>
                            <w:r>
                              <w:rPr>
                                <w:sz w:val="22"/>
                              </w:rPr>
                              <w:t>(1)</w:t>
                            </w:r>
                          </w:p>
                        </w:txbxContent>
                      </wps:txbx>
                      <wps:bodyPr anchor="t" lIns="0" tIns="0" rIns="0" bIns="0">
                        <a:noAutofit/>
                      </wps:bodyPr>
                    </wps:wsp>
                  </a:graphicData>
                </a:graphic>
              </wp:anchor>
            </w:drawing>
          </mc:Choice>
          <mc:Fallback>
            <w:pict>
              <v:rect style="position:absolute;rotation:-0;width:91.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22"/>
                        </w:rPr>
                      </w:pPr>
                      <w:r>
                        <w:rPr>
                          <w:sz w:val="22"/>
                        </w:rPr>
                        <w:t>(1)</w:t>
                      </w:r>
                    </w:p>
                  </w:txbxContent>
                </v:textbox>
                <w10:wrap type="square" side="right"/>
              </v:rect>
            </w:pict>
          </mc:Fallback>
        </mc:AlternateContent>
      </w:r>
    </w:p>
    <w:p>
      <w:pPr>
        <w:pStyle w:val="TextBody"/>
        <w:bidi w:val="0"/>
        <w:spacing w:before="0" w:after="0"/>
        <w:ind w:left="0" w:right="0" w:hanging="0"/>
        <w:jc w:val="both"/>
        <w:rPr/>
      </w:pPr>
      <w:r>
        <w:rPr/>
      </w:r>
    </w:p>
    <w:p>
      <w:pPr>
        <w:pStyle w:val="TextBody"/>
        <w:bidi w:val="0"/>
        <w:spacing w:before="0" w:after="0"/>
        <w:ind w:left="0" w:right="0" w:hanging="30"/>
        <w:jc w:val="both"/>
        <w:rPr>
          <w:sz w:val="22"/>
        </w:rPr>
      </w:pPr>
      <w:r>
        <w:rPr>
          <w:sz w:val="22"/>
        </w:rPr>
        <w:t>Do and perform any and all acts for and on behalf of the undersigned that may be necessary or desirable to prepare and execute any such Form ID and Forms 3, 4 or 5 (including amendments thereto and joint filing agreements in connection therewith) and file such forms with the SEC and any stock exchange, self-regulatory association or any similar authority; and</w:t>
      </w:r>
      <w:r>
        <mc:AlternateContent>
          <mc:Choice Requires="wps">
            <w:drawing>
              <wp:anchor behindDoc="0" distT="0" distB="0" distL="0" distR="0" simplePos="0" locked="0" layoutInCell="1" allowOverlap="1" relativeHeight="3">
                <wp:simplePos x="0" y="0"/>
                <wp:positionH relativeFrom="column">
                  <wp:align>left</wp:align>
                </wp:positionH>
                <wp:positionV relativeFrom="line">
                  <wp:posOffset>635</wp:posOffset>
                </wp:positionV>
                <wp:extent cx="1162050" cy="160655"/>
                <wp:effectExtent l="0" t="0" r="0" b="0"/>
                <wp:wrapSquare wrapText="right"/>
                <wp:docPr id="2" name="Frame2"/>
                <a:graphic xmlns:a="http://schemas.openxmlformats.org/drawingml/2006/main">
                  <a:graphicData uri="http://schemas.microsoft.com/office/word/2010/wordprocessingShape">
                    <wps:wsp>
                      <wps:cNvSpPr txBox="1"/>
                      <wps:spPr>
                        <a:xfrm>
                          <a:off x="0" y="0"/>
                          <a:ext cx="1162050" cy="160655"/>
                        </a:xfrm>
                        <a:prstGeom prst="rect"/>
                        <a:solidFill>
                          <a:srgbClr val="FFFFFF"/>
                        </a:solidFill>
                      </wps:spPr>
                      <wps:txbx>
                        <w:txbxContent>
                          <w:p>
                            <w:pPr>
                              <w:pStyle w:val="TextBody"/>
                              <w:bidi w:val="0"/>
                              <w:spacing w:before="0" w:after="283"/>
                              <w:jc w:val="left"/>
                              <w:rPr>
                                <w:sz w:val="22"/>
                              </w:rPr>
                            </w:pPr>
                            <w:r>
                              <w:rPr>
                                <w:sz w:val="22"/>
                              </w:rPr>
                              <w:t>(2)</w:t>
                            </w:r>
                          </w:p>
                        </w:txbxContent>
                      </wps:txbx>
                      <wps:bodyPr anchor="t" lIns="0" tIns="0" rIns="0" bIns="0">
                        <a:noAutofit/>
                      </wps:bodyPr>
                    </wps:wsp>
                  </a:graphicData>
                </a:graphic>
              </wp:anchor>
            </w:drawing>
          </mc:Choice>
          <mc:Fallback>
            <w:pict>
              <v:rect style="position:absolute;rotation:-0;width:91.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22"/>
                        </w:rPr>
                      </w:pPr>
                      <w:r>
                        <w:rPr>
                          <w:sz w:val="22"/>
                        </w:rPr>
                        <w:t>(2)</w:t>
                      </w:r>
                    </w:p>
                  </w:txbxContent>
                </v:textbox>
                <w10:wrap type="square" side="right"/>
              </v:rect>
            </w:pict>
          </mc:Fallback>
        </mc:AlternateContent>
      </w:r>
    </w:p>
    <w:p>
      <w:pPr>
        <w:pStyle w:val="TextBody"/>
        <w:bidi w:val="0"/>
        <w:spacing w:before="0" w:after="0"/>
        <w:ind w:left="0" w:right="0" w:hanging="0"/>
        <w:jc w:val="both"/>
        <w:rPr/>
      </w:pPr>
      <w:r>
        <w:rPr/>
      </w:r>
    </w:p>
    <w:p>
      <w:pPr>
        <w:pStyle w:val="TextBody"/>
        <w:bidi w:val="0"/>
        <w:spacing w:before="0" w:after="0"/>
        <w:ind w:left="0" w:right="0" w:hanging="30"/>
        <w:jc w:val="both"/>
        <w:rPr>
          <w:sz w:val="22"/>
        </w:rPr>
      </w:pPr>
      <w:r>
        <w:rPr>
          <w:sz w:val="22"/>
        </w:rPr>
        <w:t xml:space="preserve">Take any other action of any type whatsoever in connection with the foregoing that, in the opinion of such attorney-in-fact, may be of benefit to, in the best interest of, or legally required of the undersigned, it being understood that the documents executed by the attorney-in-fact on behalf of the undersigned pursuant to this Power of Attorney shall be in such form and shall contain such terms and conditions as the attorney-in-fact may approve in the attorney-in-fact’s discretion. </w:t>
      </w:r>
      <w:r>
        <mc:AlternateContent>
          <mc:Choice Requires="wps">
            <w:drawing>
              <wp:anchor behindDoc="0" distT="0" distB="0" distL="0" distR="0" simplePos="0" locked="0" layoutInCell="1" allowOverlap="1" relativeHeight="4">
                <wp:simplePos x="0" y="0"/>
                <wp:positionH relativeFrom="column">
                  <wp:align>left</wp:align>
                </wp:positionH>
                <wp:positionV relativeFrom="line">
                  <wp:posOffset>635</wp:posOffset>
                </wp:positionV>
                <wp:extent cx="1162050" cy="160655"/>
                <wp:effectExtent l="0" t="0" r="0" b="0"/>
                <wp:wrapSquare wrapText="right"/>
                <wp:docPr id="3" name="Frame3"/>
                <a:graphic xmlns:a="http://schemas.openxmlformats.org/drawingml/2006/main">
                  <a:graphicData uri="http://schemas.microsoft.com/office/word/2010/wordprocessingShape">
                    <wps:wsp>
                      <wps:cNvSpPr txBox="1"/>
                      <wps:spPr>
                        <a:xfrm>
                          <a:off x="0" y="0"/>
                          <a:ext cx="1162050" cy="160655"/>
                        </a:xfrm>
                        <a:prstGeom prst="rect"/>
                        <a:solidFill>
                          <a:srgbClr val="FFFFFF"/>
                        </a:solidFill>
                      </wps:spPr>
                      <wps:txbx>
                        <w:txbxContent>
                          <w:p>
                            <w:pPr>
                              <w:pStyle w:val="TextBody"/>
                              <w:bidi w:val="0"/>
                              <w:spacing w:before="0" w:after="283"/>
                              <w:jc w:val="left"/>
                              <w:rPr>
                                <w:sz w:val="22"/>
                              </w:rPr>
                            </w:pPr>
                            <w:r>
                              <w:rPr>
                                <w:sz w:val="22"/>
                              </w:rPr>
                              <w:t>(3)</w:t>
                            </w:r>
                          </w:p>
                        </w:txbxContent>
                      </wps:txbx>
                      <wps:bodyPr anchor="t" lIns="0" tIns="0" rIns="0" bIns="0">
                        <a:noAutofit/>
                      </wps:bodyPr>
                    </wps:wsp>
                  </a:graphicData>
                </a:graphic>
              </wp:anchor>
            </w:drawing>
          </mc:Choice>
          <mc:Fallback>
            <w:pict>
              <v:rect style="position:absolute;rotation:-0;width:91.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22"/>
                        </w:rPr>
                      </w:pPr>
                      <w:r>
                        <w:rPr>
                          <w:sz w:val="22"/>
                        </w:rPr>
                        <w:t>(3)</w:t>
                      </w:r>
                    </w:p>
                  </w:txbxContent>
                </v:textbox>
                <w10:wrap type="square" side="right"/>
              </v:rect>
            </w:pict>
          </mc:Fallback>
        </mc:AlternateContent>
      </w:r>
    </w:p>
    <w:p>
      <w:pPr>
        <w:pStyle w:val="TextBody"/>
        <w:bidi w:val="0"/>
        <w:spacing w:before="0" w:after="0"/>
        <w:ind w:left="0" w:right="0" w:hanging="0"/>
        <w:jc w:val="both"/>
        <w:rPr/>
      </w:pPr>
      <w:r>
        <w:rPr/>
      </w:r>
    </w:p>
    <w:p>
      <w:pPr>
        <w:pStyle w:val="TextBody"/>
        <w:bidi w:val="0"/>
        <w:spacing w:before="0" w:after="0"/>
        <w:ind w:left="0" w:right="0" w:firstLine="915"/>
        <w:jc w:val="both"/>
        <w:rPr>
          <w:sz w:val="22"/>
        </w:rPr>
      </w:pPr>
      <w:r>
        <w:rPr>
          <w:sz w:val="22"/>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and their substitutes, in serving in such capacity at the request of the undersigned, are not assuming (nor is the Company assuming) any of the undersigned’s responsibilities to comply with Section 16 of the Exchange Act.</w:t>
      </w:r>
    </w:p>
    <w:p>
      <w:pPr>
        <w:pStyle w:val="TextBody"/>
        <w:bidi w:val="0"/>
        <w:spacing w:before="0" w:after="0"/>
        <w:ind w:left="0" w:right="0" w:hanging="0"/>
        <w:jc w:val="both"/>
        <w:rPr/>
      </w:pPr>
      <w:r>
        <w:rPr/>
      </w:r>
    </w:p>
    <w:p>
      <w:pPr>
        <w:pStyle w:val="TextBody"/>
        <w:bidi w:val="0"/>
        <w:spacing w:before="0" w:after="0"/>
        <w:ind w:left="0" w:right="0" w:firstLine="915"/>
        <w:jc w:val="both"/>
        <w:rPr>
          <w:sz w:val="22"/>
        </w:rPr>
      </w:pPr>
      <w:r>
        <w:rPr>
          <w:sz w:val="22"/>
        </w:rPr>
        <w:t>This Power of Attorney shall remain in full force and effect until the earliest to occur of (a) the undersigned is no longer required to file Forms 3, 4 and 5 with respect to the undersigned’s holdings of and transactions in securities issued by the Company, (b) revocation by the undersigned in a signed writing delivered to the Company and the foregoing attorneys-in fact or (c) as to any attorney-in-fact individually, until such attorney-in-fact is no longer employed by the Company or employed by or a partner at Cooley LLP or another law firm representing the Company, as applicable.  </w:t>
      </w:r>
    </w:p>
    <w:p>
      <w:pPr>
        <w:pStyle w:val="TextBody"/>
        <w:bidi w:val="0"/>
        <w:spacing w:before="0" w:after="0"/>
        <w:ind w:left="0" w:right="0" w:hanging="0"/>
        <w:jc w:val="both"/>
        <w:rPr/>
      </w:pPr>
      <w:r>
        <w:rPr/>
      </w:r>
    </w:p>
    <w:p>
      <w:pPr>
        <w:pStyle w:val="TextBody"/>
        <w:bidi w:val="0"/>
        <w:spacing w:before="0" w:after="0"/>
        <w:ind w:left="0" w:right="0" w:firstLine="915"/>
        <w:jc w:val="both"/>
        <w:rPr>
          <w:sz w:val="22"/>
        </w:rPr>
      </w:pPr>
      <w:r>
        <w:rPr>
          <w:sz w:val="22"/>
        </w:rPr>
        <w:t>IN WITNESS WHEREOF, the undersigned has caused this Power of Attorney to be executed as of the date written below.</w:t>
      </w:r>
    </w:p>
    <w:p>
      <w:pPr>
        <w:pStyle w:val="TextBody"/>
        <w:bidi w:val="0"/>
        <w:spacing w:before="0" w:after="0"/>
        <w:ind w:left="0" w:right="0" w:hanging="0"/>
        <w:jc w:val="both"/>
        <w:rPr/>
      </w:pPr>
      <w:r>
        <w:rPr/>
      </w:r>
    </w:p>
    <w:p>
      <w:pPr>
        <w:pStyle w:val="TextBody"/>
        <w:bidi w:val="0"/>
        <w:spacing w:before="0" w:after="0"/>
        <w:ind w:left="0" w:right="0" w:hanging="0"/>
        <w:jc w:val="both"/>
        <w:rPr/>
      </w:pPr>
      <w:r>
        <w:rPr/>
      </w:r>
    </w:p>
    <w:p>
      <w:pPr>
        <w:pStyle w:val="TextBody"/>
        <w:bidi w:val="0"/>
        <w:spacing w:before="0" w:after="0"/>
        <w:ind w:left="0" w:right="0" w:hanging="0"/>
        <w:jc w:val="both"/>
        <w:rPr>
          <w:sz w:val="22"/>
        </w:rPr>
      </w:pPr>
      <w:r>
        <w:rPr>
          <w:sz w:val="22"/>
        </w:rPr>
        <w:t>Date: March 26, 2024</w:t>
      </w:r>
    </w:p>
    <w:p>
      <w:pPr>
        <w:pStyle w:val="TextBody"/>
        <w:bidi w:val="0"/>
        <w:spacing w:before="0" w:after="0"/>
        <w:ind w:left="0" w:right="0" w:hanging="0"/>
        <w:jc w:val="both"/>
        <w:rPr>
          <w:sz w:val="22"/>
        </w:rPr>
      </w:pPr>
      <w:r>
        <w:rPr>
          <w:sz w:val="22"/>
        </w:rPr>
        <w:t>By: /s/ William Moschella</w:t>
      </w:r>
    </w:p>
    <w:p>
      <w:pPr>
        <w:pStyle w:val="TextBody"/>
        <w:bidi w:val="0"/>
        <w:spacing w:before="0" w:after="0"/>
        <w:ind w:left="0" w:right="0" w:hanging="0"/>
        <w:jc w:val="both"/>
        <w:rPr>
          <w:sz w:val="22"/>
        </w:rPr>
      </w:pPr>
      <w:r>
        <w:rPr>
          <w:sz w:val="22"/>
        </w:rPr>
        <w:t>Name: William Moschella</w:t>
      </w:r>
    </w:p>
    <w:p>
      <w:pPr>
        <w:pStyle w:val="TextBody"/>
        <w:bidi w:val="0"/>
        <w:spacing w:before="0" w:after="0"/>
        <w:ind w:left="0" w:right="0" w:hanging="0"/>
        <w:jc w:val="both"/>
        <w:rPr/>
      </w:pPr>
      <w:r>
        <w:rPr/>
      </w:r>
    </w:p>
    <w:p>
      <w:pPr>
        <w:pStyle w:val="TextBody"/>
        <w:bidi w:val="0"/>
        <w:spacing w:before="0" w:after="0"/>
        <w:ind w:left="0" w:right="0" w:hanging="0"/>
        <w:jc w:val="both"/>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2017865" TargetMode="External"/><Relationship Id="rId3" Type="http://schemas.openxmlformats.org/officeDocument/2006/relationships/hyperlink" Target="http://www.sec.gov/cgi-bin/browse-edgar?action=getcompany&amp;CIK=0001861795" TargetMode="Externa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1092</Words>
  <Characters>5743</Characters>
  <CharactersWithSpaces>6782</CharactersWithSpaces>
  <Paragraphs>83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