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August 5, 2024, Definitive Healthcare Corp. (the “Company”) issued a press release announcing its financial results for the second quarter ended June 30, 2024. A copy of the press release is furnished as Exhibit 99.1 to this Current Report on Form 8-K and is incorporated by reference herein.</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3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5, 2024 (furnished herewith pursuant to Item 2.02)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720" w:type="dxa"/>
            <w:vAlign w:val="bottom"/>
            <w:tcBorders>
              <w:right w:val="single" w:sz="8" w:color="0000EE"/>
            </w:tcBorders>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28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Reports Financial Results for Second Quarter Fiscal Year 2024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Second quarter revenue grew 5% year-over-year to $63.7 million</w:t>
      </w:r>
    </w:p>
    <w:p>
      <w:pPr>
        <w:spacing w:after="0" w:line="92" w:lineRule="exact"/>
        <w:rPr>
          <w:sz w:val="20"/>
          <w:szCs w:val="20"/>
          <w:color w:val="auto"/>
        </w:rPr>
      </w:pPr>
    </w:p>
    <w:p>
      <w:pPr>
        <w:ind w:right="120"/>
        <w:spacing w:after="0" w:line="286" w:lineRule="auto"/>
        <w:rPr>
          <w:sz w:val="20"/>
          <w:szCs w:val="20"/>
          <w:color w:val="auto"/>
        </w:rPr>
      </w:pPr>
      <w:r>
        <w:rPr>
          <w:rFonts w:ascii="Arial" w:cs="Arial" w:eastAsia="Arial" w:hAnsi="Arial"/>
          <w:sz w:val="19"/>
          <w:szCs w:val="19"/>
          <w:b w:val="1"/>
          <w:bCs w:val="1"/>
          <w:color w:val="auto"/>
        </w:rPr>
        <w:t xml:space="preserve">Framingham, MA (August 5, 2024) – </w:t>
      </w:r>
      <w:r>
        <w:rPr>
          <w:rFonts w:ascii="Arial" w:cs="Arial" w:eastAsia="Arial" w:hAnsi="Arial"/>
          <w:sz w:val="19"/>
          <w:szCs w:val="19"/>
          <w:color w:val="auto"/>
        </w:rPr>
        <w:t>Definitive Healthcare Corp. (“Definitive Healthcare” or the “Company”) (Nasdaq: DH), an</w:t>
      </w:r>
      <w:r>
        <w:rPr>
          <w:rFonts w:ascii="Arial" w:cs="Arial" w:eastAsia="Arial" w:hAnsi="Arial"/>
          <w:sz w:val="19"/>
          <w:szCs w:val="19"/>
          <w:b w:val="1"/>
          <w:bCs w:val="1"/>
          <w:color w:val="auto"/>
        </w:rPr>
        <w:t xml:space="preserve"> </w:t>
      </w:r>
      <w:r>
        <w:rPr>
          <w:rFonts w:ascii="Arial" w:cs="Arial" w:eastAsia="Arial" w:hAnsi="Arial"/>
          <w:sz w:val="19"/>
          <w:szCs w:val="19"/>
          <w:color w:val="auto"/>
        </w:rPr>
        <w:t>industry leader in healthcare commercial intelligence, today announced financial results for the quarter ended June 30, 2024.</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2024 Financial Highlights:</w:t>
      </w:r>
    </w:p>
    <w:p>
      <w:pPr>
        <w:spacing w:after="0" w:line="20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$63.7 million, an increase of 5% from $61.0 million in Q2 2023.</w:t>
      </w:r>
    </w:p>
    <w:p>
      <w:pPr>
        <w:spacing w:after="0" w:line="214"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inclusive of goodwill impairment charges of $363.6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was $(306.2) million, or (480%) of revenue, up</w:t>
      </w:r>
      <w:r>
        <w:rPr>
          <w:rFonts w:ascii="Arial" w:cs="Arial" w:eastAsia="Arial" w:hAnsi="Arial"/>
          <w:sz w:val="20"/>
          <w:szCs w:val="20"/>
          <w:b w:val="1"/>
          <w:bCs w:val="1"/>
          <w:color w:val="auto"/>
        </w:rPr>
        <w:t xml:space="preserve"> </w:t>
      </w:r>
      <w:r>
        <w:rPr>
          <w:rFonts w:ascii="Arial" w:cs="Arial" w:eastAsia="Arial" w:hAnsi="Arial"/>
          <w:sz w:val="20"/>
          <w:szCs w:val="20"/>
          <w:color w:val="auto"/>
        </w:rPr>
        <w:t>2,538% compared to $(11.6) million, or (19%) of revenue in Q2 2023.</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$14.2 million, compared to $12.4 million in Q2 2023.</w:t>
      </w:r>
    </w:p>
    <w:p>
      <w:pPr>
        <w:spacing w:after="0" w:line="214" w:lineRule="exact"/>
        <w:rPr>
          <w:rFonts w:ascii="Times New Roman" w:cs="Times New Roman" w:eastAsia="Times New Roman" w:hAnsi="Times New Roman"/>
          <w:sz w:val="20"/>
          <w:szCs w:val="20"/>
          <w:color w:val="auto"/>
        </w:rPr>
      </w:pPr>
    </w:p>
    <w:p>
      <w:pPr>
        <w:ind w:left="1020" w:right="20" w:hanging="503"/>
        <w:spacing w:after="0" w:line="259"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was $20.9 million, up 21% from Q2 2023, and 33% of revenue, compared to $17.2 million, or</w:t>
      </w:r>
      <w:r>
        <w:rPr>
          <w:rFonts w:ascii="Arial" w:cs="Arial" w:eastAsia="Arial" w:hAnsi="Arial"/>
          <w:sz w:val="20"/>
          <w:szCs w:val="20"/>
          <w:b w:val="1"/>
          <w:bCs w:val="1"/>
          <w:color w:val="auto"/>
        </w:rPr>
        <w:t xml:space="preserve"> </w:t>
      </w:r>
      <w:r>
        <w:rPr>
          <w:rFonts w:ascii="Arial" w:cs="Arial" w:eastAsia="Arial" w:hAnsi="Arial"/>
          <w:sz w:val="20"/>
          <w:szCs w:val="20"/>
          <w:color w:val="auto"/>
        </w:rPr>
        <w:t>28% of revenue in Q2 2023.</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$14.0 million in the quarter.</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$21.5 million in the quarter.</w:t>
      </w:r>
    </w:p>
    <w:p>
      <w:pPr>
        <w:spacing w:after="0" w:line="200" w:lineRule="exact"/>
        <w:rPr>
          <w:sz w:val="20"/>
          <w:szCs w:val="20"/>
          <w:color w:val="auto"/>
        </w:rPr>
      </w:pPr>
    </w:p>
    <w:p>
      <w:pPr>
        <w:spacing w:after="0" w:line="233"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“Financial performance in the quarter underscored our commitment to operational efficiency and profitability,” said Kevin Coop, CEO of Definitive Healthcare. “In my first month as CEO, I’m even more confident that this is a business with strong fundamentals. We have a great team with deep domain expertise and a differentiated set of data and technology assets that deliver great value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20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In the second quarter, Definitive Healthcare grew its enterprise customer base by 32, or 6% year-over-year, ending the quarter with 537 enterprise customers, defined as those customers with more than $100,000 in annual recurring revenue. Customer wins included:</w:t>
      </w:r>
    </w:p>
    <w:p>
      <w:pPr>
        <w:spacing w:after="0" w:line="63" w:lineRule="exact"/>
        <w:rPr>
          <w:sz w:val="20"/>
          <w:szCs w:val="20"/>
          <w:color w:val="auto"/>
        </w:rPr>
      </w:pPr>
    </w:p>
    <w:p>
      <w:pPr>
        <w:ind w:left="102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An AI-software provider of personalized screening and early detection of breast cancer needed to understand complex network relationships, clinical volume by provider and place of service, and executive contact hierarchies. Through integration of our claims data, and proprietary reference and affiliation data, Definitive Healthcare will serve as the foundation for their market intelligence and commercial strategy planning functions.</w:t>
      </w:r>
    </w:p>
    <w:p>
      <w:pPr>
        <w:spacing w:after="0" w:line="66" w:lineRule="exact"/>
        <w:rPr>
          <w:rFonts w:ascii="Times New Roman" w:cs="Times New Roman" w:eastAsia="Times New Roman" w:hAnsi="Times New Roman"/>
          <w:sz w:val="20"/>
          <w:szCs w:val="20"/>
          <w:color w:val="auto"/>
        </w:rPr>
      </w:pPr>
    </w:p>
    <w:p>
      <w:pPr>
        <w:ind w:left="1020" w:right="220" w:hanging="503"/>
        <w:spacing w:after="0" w:line="246" w:lineRule="auto"/>
        <w:tabs>
          <w:tab w:leader="none" w:pos="10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One of the largest U.S. providers of electronic medical records systems recently expanded their relationship with Definitive Healthcare. Since 2017, their sales organization has relied on Definitive Healthcare’s View Suite of products for competitive intelligence, hospital technology install analysis, and whitespace identification. After they were acquired by a larger multinational software company, their newly formed Go-To-Market organization has expanded their use of our data for their marketing programs in addition to sales. Their marketing team selected Definitive Healthcare for our in depth affiliation data, account data granularity and ease of use of our online portal.</w:t>
      </w:r>
    </w:p>
    <w:p>
      <w:pPr>
        <w:spacing w:after="0" w:line="59" w:lineRule="exact"/>
        <w:rPr>
          <w:rFonts w:ascii="Times New Roman" w:cs="Times New Roman" w:eastAsia="Times New Roman" w:hAnsi="Times New Roman"/>
          <w:sz w:val="19"/>
          <w:szCs w:val="19"/>
          <w:color w:val="auto"/>
        </w:rPr>
      </w:pPr>
    </w:p>
    <w:p>
      <w:pPr>
        <w:ind w:left="1020" w:right="30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cardiovascular division of one of the largest providers of diagnostics, medical devices, and pharmaceuticals recently selected our Carevoyance platform for their marketing and field sales teams to understand patient movement for cardiovascular procedures within specific territories, and to support their competitive displacement initiatives focused on the beginning stages of the physician referral funnel.</w:t>
      </w:r>
    </w:p>
    <w:p>
      <w:pPr>
        <w:spacing w:after="0" w:line="66" w:lineRule="exact"/>
        <w:rPr>
          <w:rFonts w:ascii="Times New Roman" w:cs="Times New Roman" w:eastAsia="Times New Roman" w:hAnsi="Times New Roman"/>
          <w:sz w:val="20"/>
          <w:szCs w:val="20"/>
          <w:color w:val="auto"/>
        </w:rPr>
      </w:pPr>
    </w:p>
    <w:p>
      <w:pPr>
        <w:ind w:left="1020" w:right="44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 large health system on the West coast selected Definitive Healthcare to provide insights into their market opportunity at the service line level, including Neurology, Cardiology, Oncology, Orthopedic, and Maternal Child Health. This analysis will allow to them allocate resources more efficiently, increase referrals, and to reduce outmigration.</w:t>
      </w:r>
    </w:p>
    <w:p>
      <w:pPr>
        <w:spacing w:after="0" w:line="66" w:lineRule="exact"/>
        <w:rPr>
          <w:rFonts w:ascii="Times New Roman" w:cs="Times New Roman" w:eastAsia="Times New Roman" w:hAnsi="Times New Roman"/>
          <w:sz w:val="20"/>
          <w:szCs w:val="20"/>
          <w:color w:val="auto"/>
        </w:rPr>
      </w:pPr>
    </w:p>
    <w:p>
      <w:pPr>
        <w:ind w:left="1020" w:right="32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healthcare and life sciences field sales teams of one of the world’s largest software companies will be leveraging our HosptialView and ImagingView data to target hospitals, health systems and imaging centers that utilize Epic Systems EHR platforms. After the initial roll-out to their field teams, they plan to expand their use into additional facility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4" w:right="4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Business Outlook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Based on information as of August 5, 2024, the Company is issuing the following financial guidance.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w:t>
      </w:r>
    </w:p>
    <w:p>
      <w:pPr>
        <w:spacing w:after="0" w:line="9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$61.0 – $62.5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$16.0 – $17.5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$17.5 – $19.0 million, and 28-31% adjusted EBITDA margin.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$12.0 – $13.0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$0.07 – $0.08 per share on approximately 156.5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w:t>
      </w:r>
    </w:p>
    <w:p>
      <w:pPr>
        <w:spacing w:after="0" w:line="9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$247 – $251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$67 – $71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$74 – $77 million, for a full-year adjusted EBITDA margin of 30-31%.</w:t>
      </w:r>
    </w:p>
    <w:p>
      <w:pPr>
        <w:spacing w:after="0" w:line="4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$50 – $53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$0.32 – $0.34 per share on approximately 156.8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153"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4" w:right="4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 Information</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Definitive Healthcare will host a conference call today August 5, 2024, at 5:00 p.m. (Eastern Time) to discuss the Company's full financial results and current business outlook. Participants may access the call at 1-877-358-7298 or 1-848-488-9244. Shortly after the conclusion of the call, a replay of this conference call will be available through September 4, 2024 at 1-800-645-7964 or 1-757-849-6722. The replay passcode is 1765#. A live audio webcast of the event will be available on Definitive Healthcare’s Investor Relations website at https://ir.definitivehc.com/.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20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Learn more at 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competitive position, customer behaviors and use of our solutions, the market, industry and macroeconomic environment, our plans to improve our operational and financial performance, our business, growth strategies, go-to-market and product development efforts and future expenses, customer growth and statements reflecting our expectations about our ability to execute on our strategic plans, achieve future growth and profitability and achieve our financial goals.</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global geopolitical tension and difficult macroeconomic conditions; actual or potential changes in international, national, regional and local economic, business and financial conditions, including recessions, inflation, high interest rates, volatility in the capital markets and related market uncertainty; the impact of challenging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8" w:name="page9"/>
    <w:bookmarkEnd w:id="8"/>
    <w:p>
      <w:pPr>
        <w:ind w:right="20"/>
        <w:spacing w:after="0" w:line="245" w:lineRule="auto"/>
        <w:rPr>
          <w:sz w:val="20"/>
          <w:szCs w:val="20"/>
          <w:color w:val="auto"/>
        </w:rPr>
      </w:pPr>
      <w:r>
        <w:rPr>
          <w:rFonts w:ascii="Arial" w:cs="Arial" w:eastAsia="Arial" w:hAnsi="Arial"/>
          <w:sz w:val="19"/>
          <w:szCs w:val="19"/>
          <w:i w:val="1"/>
          <w:iCs w:val="1"/>
          <w:color w:val="auto"/>
        </w:rPr>
        <w:t>inability to achieve or sustain GAAP or non-GAAP profitability in the future as we increase investments in our business; the loss of our access to our data providers; the failure to respond to advances in healthcare commercial intelligence; an inability to attract new customers and expand subscriptions of current customers; our ability to successfully transition executive leadership;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 sales or other related taxes for subscriptions to our platform in jurisdictions where we have not historically done so.</w:t>
      </w:r>
    </w:p>
    <w:p>
      <w:pPr>
        <w:spacing w:after="0" w:line="167"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6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our Quarterly Report on Form 10-Q for the three months ended June 30, 2024 that will be filed following this earnings release, as well as our Current Reports on Form 8-K and other subsequent SEC filings, which are or will be available on the Investor Relations page of our website at ir.definitivehc.com and on the SEC website at www.sec.gov.</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8" w:right="37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Website</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20"/>
          <w:szCs w:val="20"/>
          <w:i w:val="1"/>
          <w:iCs w:val="1"/>
          <w:color w:val="auto"/>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4" w:right="5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Non-GAAP Financial Measures</w:t>
      </w:r>
    </w:p>
    <w:p>
      <w:pPr>
        <w:spacing w:after="0" w:line="204"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spacing w:after="0" w:line="175"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p>
    <w:p>
      <w:pPr>
        <w:spacing w:after="0" w:line="172" w:lineRule="exact"/>
        <w:rPr>
          <w:sz w:val="20"/>
          <w:szCs w:val="20"/>
          <w:color w:val="auto"/>
        </w:rPr>
      </w:pPr>
    </w:p>
    <w:p>
      <w:pPr>
        <w:ind w:right="360"/>
        <w:spacing w:after="0" w:line="252" w:lineRule="auto"/>
        <w:rPr>
          <w:sz w:val="20"/>
          <w:szCs w:val="20"/>
          <w:color w:val="auto"/>
        </w:rPr>
      </w:pPr>
      <w:r>
        <w:rPr>
          <w:rFonts w:ascii="Arial" w:cs="Arial" w:eastAsia="Arial" w:hAnsi="Arial"/>
          <w:sz w:val="19"/>
          <w:szCs w:val="19"/>
          <w:i w:val="1"/>
          <w:iCs w:val="1"/>
          <w:color w:val="auto"/>
        </w:rPr>
        <w:t>We define Unlevered Free Cash Flow as net cash provided by (used in)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789940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11" w:name="page12"/>
    <w:bookmarkEnd w:id="11"/>
    <w:p>
      <w:pPr>
        <w:ind w:right="40"/>
        <w:spacing w:after="0" w:line="230"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(income), income taxes and depreciation and amortization. Adjusted EBITDA is defined as EBITDA adjusted to exclude certain items of a significant or unusual nature, including other income and expense, equity-based compensation, goodwill impairments, transaction, integration, and restructuring expenses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p>
    <w:p>
      <w:pPr>
        <w:spacing w:after="0" w:line="176"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i w:val="1"/>
          <w:iCs w:val="1"/>
          <w:color w:val="auto"/>
        </w:rPr>
        <w:t>We define Adjusted Gross Profit as gross profit excluding acquisition-related depreciation and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We define Adjusted Operating Income as loss from operations plus acquisition related amortization, equity-based compensation, goodwill impairments, transaction, integration, and restructuring expenses and other non-core expenses.</w:t>
      </w:r>
    </w:p>
    <w:p>
      <w:pPr>
        <w:spacing w:after="0" w:line="155"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net, recurring income tax benefit, foreign currency (loss) gain, and tax effects of adjustments. We define Adjusted Net Income Per Diluted Share as Adjusted Net Income divided by diluted outstanding shares.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Brian Denyeau</w:t>
      </w:r>
    </w:p>
    <w:p>
      <w:pPr>
        <w:spacing w:after="0" w:line="226" w:lineRule="auto"/>
        <w:rPr>
          <w:sz w:val="20"/>
          <w:szCs w:val="20"/>
          <w:color w:val="auto"/>
        </w:rPr>
      </w:pPr>
      <w:r>
        <w:rPr>
          <w:rFonts w:ascii="Arial" w:cs="Arial" w:eastAsia="Arial" w:hAnsi="Arial"/>
          <w:sz w:val="20"/>
          <w:szCs w:val="20"/>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Bethany Swackhamer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bswackhamer@definitivehc.com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13" w:name="page14"/>
    <w:bookmarkEnd w:id="1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3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100" w:type="dxa"/>
            <w:vAlign w:val="bottom"/>
          </w:tcPr>
          <w:p>
            <w:pPr>
              <w:spacing w:after="0"/>
              <w:rPr>
                <w:sz w:val="20"/>
                <w:szCs w:val="20"/>
                <w:color w:val="auto"/>
              </w:rPr>
            </w:pPr>
          </w:p>
        </w:tc>
      </w:tr>
      <w:tr>
        <w:trPr>
          <w:trHeight w:val="24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307,023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8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1,422,420</w:t>
            </w:r>
          </w:p>
        </w:tc>
        <w:tc>
          <w:tcPr>
            <w:tcW w:w="10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shd w:val="clear" w:color="auto" w:fill="CFF0FC"/>
          </w:tcPr>
          <w:p>
            <w:pPr>
              <w:spacing w:after="0"/>
              <w:rPr>
                <w:sz w:val="24"/>
                <w:szCs w:val="24"/>
                <w:color w:val="auto"/>
              </w:rPr>
            </w:pPr>
          </w:p>
        </w:tc>
      </w:tr>
      <w:tr>
        <w:trPr>
          <w:trHeight w:val="221"/>
        </w:trPr>
        <w:tc>
          <w:tcPr>
            <w:tcW w:w="7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153,480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0"/>
                <w:szCs w:val="20"/>
                <w:color w:val="auto"/>
              </w:rPr>
            </w:pPr>
          </w:p>
        </w:tc>
      </w:tr>
      <w:tr>
        <w:trPr>
          <w:trHeight w:val="238"/>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536,132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117,053,339 and</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116,562,252 shares issued and outstanding at June 30, 2024 and December 31, 2023,</w:t>
            </w: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11"/>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39,489,246 and</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39,082,591 shares issued and outstanding, respectively, at June 30, 2024, and 39,762,700 and</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39,168,047 shares issued and outstanding, respectively, at December 31, 2023</w:t>
            </w:r>
          </w:p>
        </w:tc>
        <w:tc>
          <w:tcPr>
            <w:tcW w:w="32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1,094,217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(450,603 )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(227,450 )</w:t>
            </w: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100" w:type="dxa"/>
            <w:vAlign w:val="bottom"/>
          </w:tcPr>
          <w:p>
            <w:pPr>
              <w:spacing w:after="0"/>
              <w:rPr>
                <w:sz w:val="20"/>
                <w:szCs w:val="20"/>
                <w:color w:val="auto"/>
              </w:rPr>
            </w:pPr>
          </w:p>
        </w:tc>
      </w:tr>
      <w:tr>
        <w:trPr>
          <w:trHeight w:val="237"/>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886,288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1,422,420</w:t>
            </w: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2"/>
        </w:trPr>
        <w:tc>
          <w:tcPr>
            <w:tcW w:w="7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-6814820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-6814820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-5562600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-5545455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-5545455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-3051175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-1096645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4" w:name="page15"/>
    <w:bookmarkEnd w:id="14"/>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32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9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120,158</w:t>
            </w: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Cost of revenue exclusive of amortization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0"/>
                <w:szCs w:val="20"/>
                <w:color w:val="auto"/>
              </w:rPr>
            </w:pPr>
          </w:p>
        </w:tc>
      </w:tr>
      <w:tr>
        <w:trPr>
          <w:trHeight w:val="237"/>
        </w:trPr>
        <w:tc>
          <w:tcPr>
            <w:tcW w:w="59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shd w:val="clear" w:color="auto" w:fill="CFF0FC"/>
          </w:tcPr>
          <w:p>
            <w:pPr>
              <w:spacing w:after="0"/>
              <w:rPr>
                <w:sz w:val="21"/>
                <w:szCs w:val="21"/>
                <w:color w:val="auto"/>
              </w:rPr>
            </w:pPr>
          </w:p>
        </w:tc>
      </w:tr>
      <w:tr>
        <w:trPr>
          <w:trHeight w:val="243"/>
        </w:trPr>
        <w:tc>
          <w:tcPr>
            <w:tcW w:w="59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Pr>
          <w:p>
            <w:pPr>
              <w:spacing w:after="0"/>
              <w:rPr>
                <w:sz w:val="21"/>
                <w:szCs w:val="21"/>
                <w:color w:val="auto"/>
              </w:rPr>
            </w:pPr>
          </w:p>
        </w:tc>
      </w:tr>
      <w:tr>
        <w:trPr>
          <w:trHeight w:val="243"/>
        </w:trPr>
        <w:tc>
          <w:tcPr>
            <w:tcW w:w="59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5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420,095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486,726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(369,641 )</w:t>
            </w: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(12,071 )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(385,890 )</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(24,342 )</w:t>
            </w:r>
          </w:p>
        </w:tc>
      </w:tr>
      <w:tr>
        <w:trPr>
          <w:trHeight w:val="24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(46 )</w:t>
            </w: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(221 )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(1,001 )</w:t>
            </w:r>
          </w:p>
        </w:tc>
      </w:tr>
      <w:tr>
        <w:trPr>
          <w:trHeight w:val="24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(797 )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(4,428 )</w:t>
            </w:r>
          </w:p>
        </w:tc>
      </w:tr>
      <w:tr>
        <w:trPr>
          <w:trHeight w:val="232"/>
        </w:trPr>
        <w:tc>
          <w:tcPr>
            <w:tcW w:w="5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59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(328,087 )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(13,089 )</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(341,585 )</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(29,771 )</w:t>
            </w:r>
          </w:p>
        </w:tc>
      </w:tr>
      <w:tr>
        <w:trPr>
          <w:trHeight w:val="239"/>
        </w:trPr>
        <w:tc>
          <w:tcPr>
            <w:tcW w:w="5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0"/>
                <w:szCs w:val="20"/>
                <w:color w:val="auto"/>
              </w:rPr>
            </w:pPr>
          </w:p>
        </w:tc>
      </w:tr>
      <w:tr>
        <w:trPr>
          <w:trHeight w:val="241"/>
        </w:trPr>
        <w:tc>
          <w:tcPr>
            <w:tcW w:w="59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(306,187 )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(11,605 )</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(318,905 )</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(27,577 )</w:t>
            </w: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(92,552 )</w:t>
            </w: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(3,039 )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(95,752 )</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(6,948 )</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9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(213,635 )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(8,566 )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(223,153 )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(20,629 )</w:t>
            </w:r>
          </w:p>
        </w:tc>
      </w:tr>
      <w:tr>
        <w:trPr>
          <w:trHeight w:val="219"/>
        </w:trPr>
        <w:tc>
          <w:tcPr>
            <w:tcW w:w="5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1"/>
        </w:trPr>
        <w:tc>
          <w:tcPr>
            <w:tcW w:w="5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19"/>
        </w:trPr>
        <w:tc>
          <w:tcPr>
            <w:tcW w:w="5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117,750,392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111,768,782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117,591,956</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110,011,177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-3539490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-3539490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-3539490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-2287905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-2287905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-2287905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-1675130</wp:posOffset>
            </wp:positionV>
            <wp:extent cx="102235"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-1675130</wp:posOffset>
            </wp:positionV>
            <wp:extent cx="9398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-1675130</wp:posOffset>
            </wp:positionV>
            <wp:extent cx="9398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-1675130</wp:posOffset>
            </wp:positionV>
            <wp:extent cx="9398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-702310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-685165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-702310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-685165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-702310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-685165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-359410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-342265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-359410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-342265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-359410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-342265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200" w:hanging="179"/>
        <w:spacing w:after="0"/>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include equity-based compensation expense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600" w:type="dxa"/>
            <w:vAlign w:val="bottom"/>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59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1,686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2,949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3,898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20"/>
                <w:szCs w:val="20"/>
                <w:color w:val="auto"/>
              </w:rPr>
            </w:pPr>
          </w:p>
        </w:tc>
      </w:tr>
      <w:tr>
        <w:trPr>
          <w:trHeight w:val="281"/>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8,842</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shd w:val="clear" w:color="auto" w:fill="CFF0FC"/>
          </w:tcPr>
          <w:p>
            <w:pPr>
              <w:spacing w:after="0"/>
              <w:rPr>
                <w:sz w:val="24"/>
                <w:szCs w:val="24"/>
                <w:color w:val="auto"/>
              </w:rPr>
            </w:pPr>
          </w:p>
        </w:tc>
      </w:tr>
      <w:tr>
        <w:trPr>
          <w:trHeight w:val="1392"/>
        </w:trPr>
        <w:tc>
          <w:tcPr>
            <w:tcW w:w="5900" w:type="dxa"/>
            <w:vAlign w:val="bottom"/>
            <w:tcBorders>
              <w:top w:val="single" w:sz="8" w:color="CFF0FC"/>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-933450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-916305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-933450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-916305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-933450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-916305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2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0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(306,187 )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(11,605 )</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(318,905 )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(27,577 )</w:t>
            </w:r>
          </w:p>
        </w:tc>
      </w:tr>
      <w:tr>
        <w:trPr>
          <w:trHeight w:val="18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12,185</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12,332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24,315</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24,763</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Amortization of deferred contract costs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3,828</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6,030</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Equity-based compensation</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8,842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12,363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24,424</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23,491</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Provision for doubtful accounts receivable</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Non-cash impairment charges related to office leases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Goodwill impairment charge</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363,641</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363,641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Tax receivable agreement remeasurement</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(41,701 )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(43,968 )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4,698</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(21,988 )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(1,651 )</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(22,835 )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(2,424 )</w:t>
            </w: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Accounts receivable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13,884</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(2,859 )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(4,258 )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(3,571 )</w:t>
            </w: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Deferred contract costs</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(2,980 )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(5,086 )</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(5,679 )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(9,107 )</w:t>
            </w: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(602 )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(2,058 )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(10,289 )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(3,023 )</w:t>
            </w: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(11,026 )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(7,813 )</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(1,288 )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(2,244 )</w:t>
            </w:r>
          </w:p>
        </w:tc>
      </w:tr>
      <w:tr>
        <w:trPr>
          <w:trHeight w:val="183"/>
        </w:trPr>
        <w:tc>
          <w:tcPr>
            <w:tcW w:w="6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14,040</w:t>
            </w: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12,037</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30,629</w:t>
            </w: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26,994</w:t>
            </w:r>
          </w:p>
        </w:tc>
        <w:tc>
          <w:tcPr>
            <w:tcW w:w="100" w:type="dxa"/>
            <w:vAlign w:val="bottom"/>
            <w:tcBorders>
              <w:top w:val="single" w:sz="8" w:color="CFF0FC"/>
            </w:tcBorders>
          </w:tcPr>
          <w:p>
            <w:pPr>
              <w:spacing w:after="0"/>
              <w:rPr>
                <w:sz w:val="15"/>
                <w:szCs w:val="15"/>
                <w:color w:val="auto"/>
              </w:rPr>
            </w:pP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(410 )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(740 )</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(676 )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(2,078 )</w:t>
            </w: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(40,120 )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(42,547 )</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(123,946 )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(132,799 )</w:t>
            </w: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Maturities of short-term investments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55,464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44,627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129,052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102,747</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(13,530 )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14,934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(9,100 )</w:t>
            </w:r>
          </w:p>
        </w:tc>
        <w:tc>
          <w:tcPr>
            <w:tcW w:w="1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(32,130 )</w:t>
            </w: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used in financing activities:</w:t>
            </w:r>
          </w:p>
        </w:tc>
        <w:tc>
          <w:tcPr>
            <w:tcW w:w="2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Repayments of term loans</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(3,437 )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(1,719 )</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(6,875 )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(3,438 )</w:t>
            </w: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(969 )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(1,085 )</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(6,775 )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(2,615 )</w:t>
            </w: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Repurchases of Class A Common Stock</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(7,003 )</w:t>
            </w:r>
          </w:p>
        </w:tc>
        <w:tc>
          <w:tcPr>
            <w:tcW w:w="18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(7,003 )</w:t>
            </w: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Payments of contingent consideration</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(1,000 )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Payments under tax receivable agreement</w:t>
            </w:r>
          </w:p>
        </w:tc>
        <w:tc>
          <w:tcPr>
            <w:tcW w:w="2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(6,950 )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(246 )</w:t>
            </w: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Payments of equity offering issuance costs</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(30 )</w:t>
            </w: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Member distributions</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(2,713 )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(2,827 )</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(2,713 )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(2,827 )</w:t>
            </w:r>
          </w:p>
        </w:tc>
      </w:tr>
      <w:tr>
        <w:trPr>
          <w:trHeight w:val="20"/>
        </w:trPr>
        <w:tc>
          <w:tcPr>
            <w:tcW w:w="6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(14,122 )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(5,631 )</w:t>
            </w:r>
          </w:p>
        </w:tc>
        <w:tc>
          <w:tcPr>
            <w:tcW w:w="2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(31,316 )</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(9,156 )</w:t>
            </w:r>
          </w:p>
        </w:tc>
      </w:tr>
      <w:tr>
        <w:trPr>
          <w:trHeight w:val="20"/>
        </w:trPr>
        <w:tc>
          <w:tcPr>
            <w:tcW w:w="6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14,852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(9,787 )</w:t>
            </w:r>
          </w:p>
        </w:tc>
        <w:tc>
          <w:tcPr>
            <w:tcW w:w="1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(14,292 )</w:t>
            </w: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(322 )</w:t>
            </w: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(288 )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(257 )</w:t>
            </w:r>
          </w:p>
        </w:tc>
      </w:tr>
      <w:tr>
        <w:trPr>
          <w:trHeight w:val="189"/>
        </w:trPr>
        <w:tc>
          <w:tcPr>
            <w:tcW w:w="60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105,994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124,961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130,976</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146,934</w:t>
            </w:r>
          </w:p>
        </w:tc>
        <w:tc>
          <w:tcPr>
            <w:tcW w:w="100" w:type="dxa"/>
            <w:vAlign w:val="bottom"/>
          </w:tcPr>
          <w:p>
            <w:pPr>
              <w:spacing w:after="0"/>
              <w:rPr>
                <w:sz w:val="16"/>
                <w:szCs w:val="16"/>
                <w:color w:val="auto"/>
              </w:rPr>
            </w:pPr>
          </w:p>
        </w:tc>
      </w:tr>
      <w:tr>
        <w:trPr>
          <w:trHeight w:val="223"/>
        </w:trPr>
        <w:tc>
          <w:tcPr>
            <w:tcW w:w="6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120,901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132,385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120,901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132,385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608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Interest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w:t>
            </w:r>
          </w:p>
        </w:tc>
        <w:tc>
          <w:tcPr>
            <w:tcW w:w="2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3,616</w:t>
            </w:r>
          </w:p>
        </w:tc>
        <w:tc>
          <w:tcPr>
            <w:tcW w:w="2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7,232</w:t>
            </w:r>
          </w:p>
        </w:tc>
        <w:tc>
          <w:tcPr>
            <w:tcW w:w="26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7,091</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Income taxes</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Acquisitions: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Net assets acquired, net of cash acquired</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13,675</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Working capital adjustment receivable</w:t>
            </w:r>
          </w:p>
        </w:tc>
        <w:tc>
          <w:tcPr>
            <w:tcW w:w="2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(145 )</w:t>
            </w: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6080" w:type="dxa"/>
            <w:vAlign w:val="bottom"/>
            <w:tcBorders>
              <w:top w:val="single" w:sz="8" w:color="CFF0FC"/>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5"/>
                <w:szCs w:val="15"/>
                <w:color w:val="auto"/>
              </w:rPr>
              <w:t>Net cash paid for acquisitions</w:t>
            </w:r>
          </w:p>
        </w:tc>
        <w:tc>
          <w:tcPr>
            <w:tcW w:w="20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169"/>
        </w:trPr>
        <w:tc>
          <w:tcPr>
            <w:tcW w:w="608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6080" w:type="dxa"/>
            <w:vAlign w:val="bottom"/>
            <w:shd w:val="clear" w:color="auto" w:fill="CFF0FC"/>
          </w:tcPr>
          <w:p>
            <w:pPr>
              <w:ind w:left="380"/>
              <w:spacing w:after="0" w:line="159" w:lineRule="exact"/>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w:t>
            </w: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liabilities</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FF0FC"/>
          </w:tcPr>
          <w:p>
            <w:pPr>
              <w:spacing w:after="0"/>
              <w:rPr>
                <w:sz w:val="16"/>
                <w:szCs w:val="16"/>
                <w:color w:val="auto"/>
              </w:rPr>
            </w:pPr>
          </w:p>
        </w:tc>
      </w:tr>
      <w:tr>
        <w:trPr>
          <w:trHeight w:val="1411"/>
        </w:trPr>
        <w:tc>
          <w:tcPr>
            <w:tcW w:w="6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-4731385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-4731385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-4731385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-3994150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-3994150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-3994150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-2767965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-2767965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-2767965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-2270760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-2253615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-2270760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-2253615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-2270760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-2253615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-1276350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-1259205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-1405255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-1276350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-1259205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-1405255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-1276350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-1259205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-1405255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31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1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5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9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(410 )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(740 )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(676 )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(2,078 )</w:t>
            </w:r>
          </w:p>
        </w:tc>
      </w:tr>
      <w:tr>
        <w:trPr>
          <w:trHeight w:val="23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 in cash</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paid in cash </w:t>
            </w:r>
            <w:r>
              <w:rPr>
                <w:rFonts w:ascii="Times New Roman" w:cs="Times New Roman" w:eastAsia="Times New Roman" w:hAnsi="Times New Roman"/>
                <w:sz w:val="24"/>
                <w:szCs w:val="24"/>
                <w:color w:val="auto"/>
                <w:vertAlign w:val="superscript"/>
              </w:rPr>
              <w:t>(a)</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24"/>
                <w:szCs w:val="24"/>
                <w:color w:val="auto"/>
                <w:vertAlign w:val="superscript"/>
              </w:rPr>
              <w:t>(b)</w:t>
            </w:r>
          </w:p>
        </w:tc>
        <w:tc>
          <w:tcPr>
            <w:tcW w:w="94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tcBorders>
              <w:bottom w:val="single" w:sz="8" w:color="CFF0FC"/>
            </w:tcBorders>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4"/>
                <w:szCs w:val="24"/>
                <w:color w:val="auto"/>
                <w:vertAlign w:val="superscript"/>
              </w:rPr>
              <w:t>(c)</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39,746</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-187960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20" w:right="780" w:firstLine="1"/>
        <w:spacing w:after="0" w:line="261"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paid in cash primarily represent legal, accounting, and consulting expenses related to our acquisitions. Restructuring expenses paid in cash relate to our restructuring plans.</w:t>
      </w:r>
    </w:p>
    <w:p>
      <w:pPr>
        <w:ind w:left="420" w:hanging="399"/>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9"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items represent expenses driven by events that are typically by nature one-time, non-operational, and unrelated to our core operations.</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Net Loss to Adjusted Net Income and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GAAP Operating Loss to Adjusted Operating Income</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2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57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(306,187 )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(11,605 )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(318,905 ) $</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(27,577 )</w:t>
            </w:r>
          </w:p>
        </w:tc>
      </w:tr>
      <w:tr>
        <w:trPr>
          <w:trHeight w:val="23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Income tax benefit</w:t>
            </w:r>
          </w:p>
        </w:tc>
        <w:tc>
          <w:tcPr>
            <w:tcW w:w="3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(21,900 )</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(1,484 )</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(22,680 )</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(2,194 )</w:t>
            </w:r>
          </w:p>
        </w:tc>
      </w:tr>
      <w:tr>
        <w:trPr>
          <w:trHeight w:val="247"/>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Interest expense (income), net</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3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(41,600 )</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(44,240 )</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(369,641 )</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(12,071 )</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(385,890 )</w:t>
            </w: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(24,342 )</w:t>
            </w:r>
          </w:p>
        </w:tc>
      </w:tr>
      <w:tr>
        <w:trPr>
          <w:trHeight w:val="207"/>
        </w:trPr>
        <w:tc>
          <w:tcPr>
            <w:tcW w:w="57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Add: Amortization of intangible assets acquired through business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combinations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100" w:type="dxa"/>
            <w:vAlign w:val="bottom"/>
          </w:tcPr>
          <w:p>
            <w:pPr>
              <w:spacing w:after="0"/>
              <w:rPr>
                <w:sz w:val="20"/>
                <w:szCs w:val="20"/>
                <w:color w:val="auto"/>
              </w:rPr>
            </w:pPr>
          </w:p>
        </w:tc>
      </w:tr>
      <w:tr>
        <w:trPr>
          <w:trHeight w:val="250"/>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Goodwill impairment charge</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Other non-core items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0"/>
                <w:szCs w:val="20"/>
                <w:color w:val="auto"/>
              </w:rPr>
            </w:pPr>
          </w:p>
        </w:tc>
      </w:tr>
      <w:tr>
        <w:trPr>
          <w:trHeight w:val="238"/>
        </w:trPr>
        <w:tc>
          <w:tcPr>
            <w:tcW w:w="5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37,854</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Interest (expense) income, net</w:t>
            </w:r>
          </w:p>
        </w:tc>
        <w:tc>
          <w:tcPr>
            <w:tcW w:w="3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(221 )</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(1,001 )</w:t>
            </w:r>
          </w:p>
        </w:tc>
      </w:tr>
      <w:tr>
        <w:trPr>
          <w:trHeight w:val="247"/>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Recurring income tax (provision) benefit</w:t>
            </w:r>
          </w:p>
        </w:tc>
        <w:tc>
          <w:tcPr>
            <w:tcW w:w="3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Foreign currency (loss) gain</w:t>
            </w:r>
          </w:p>
        </w:tc>
        <w:tc>
          <w:tcPr>
            <w:tcW w:w="3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r>
      <w:tr>
        <w:trPr>
          <w:trHeight w:val="243"/>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Tax impacts of adjustments to net loss</w:t>
            </w:r>
          </w:p>
        </w:tc>
        <w:tc>
          <w:tcPr>
            <w:tcW w:w="3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(4,950 )</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(5,246 )</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(11,722 )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(10,104 )</w:t>
            </w:r>
          </w:p>
        </w:tc>
      </w:tr>
      <w:tr>
        <w:trPr>
          <w:trHeight w:val="238"/>
        </w:trPr>
        <w:tc>
          <w:tcPr>
            <w:tcW w:w="57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100" w:type="dxa"/>
            <w:vAlign w:val="bottom"/>
            <w:tcBorders>
              <w:top w:val="single" w:sz="8" w:color="CFF0FC"/>
            </w:tcBorders>
          </w:tcPr>
          <w:p>
            <w:pPr>
              <w:spacing w:after="0"/>
              <w:rPr>
                <w:sz w:val="20"/>
                <w:szCs w:val="20"/>
                <w:color w:val="auto"/>
              </w:rPr>
            </w:pPr>
          </w:p>
        </w:tc>
      </w:tr>
      <w:tr>
        <w:trPr>
          <w:trHeight w:val="239"/>
        </w:trPr>
        <w:tc>
          <w:tcPr>
            <w:tcW w:w="5700" w:type="dxa"/>
            <w:vAlign w:val="bottom"/>
            <w:shd w:val="clear" w:color="auto" w:fill="CFF0FC"/>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156,874,506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155,599,967</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156,754,602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155,352,114</w:t>
            </w:r>
          </w:p>
        </w:tc>
        <w:tc>
          <w:tcPr>
            <w:tcW w:w="100" w:type="dxa"/>
            <w:vAlign w:val="bottom"/>
            <w:shd w:val="clear" w:color="auto" w:fill="CFF0FC"/>
          </w:tcPr>
          <w:p>
            <w:pPr>
              <w:spacing w:after="0"/>
              <w:rPr>
                <w:sz w:val="20"/>
                <w:szCs w:val="20"/>
                <w:color w:val="auto"/>
              </w:rPr>
            </w:pP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-2179955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-2179955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-2179955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-2179955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-1099820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-1099820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-1099820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-473710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-473710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-473710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7" w:lineRule="exact"/>
        <w:rPr>
          <w:sz w:val="20"/>
          <w:szCs w:val="20"/>
          <w:color w:val="auto"/>
        </w:rPr>
      </w:pPr>
    </w:p>
    <w:p>
      <w:pPr>
        <w:ind w:left="20" w:right="120" w:firstLine="1"/>
        <w:spacing w:after="0" w:line="261"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165,731,986 and 161,996,676 as of June 30,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Reconciliation of GAAP Gross Profit and Margin to Adjusted Gross Profit and Margin</w:t>
      </w:r>
    </w:p>
    <w:p>
      <w:pPr>
        <w:spacing w:after="0" w:line="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(in thousands, except percentages;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gridSpan w:val="1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11"/>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6"/>
                <w:szCs w:val="16"/>
                <w:color w:val="auto"/>
              </w:rPr>
            </w:pPr>
          </w:p>
        </w:tc>
        <w:tc>
          <w:tcPr>
            <w:tcW w:w="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gross profit and margin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50,454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79 %</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49,789</w:t>
            </w:r>
          </w:p>
        </w:tc>
        <w:tc>
          <w:tcPr>
            <w:tcW w:w="12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$ 100,836</w:t>
            </w:r>
          </w:p>
        </w:tc>
        <w:tc>
          <w:tcPr>
            <w:tcW w:w="1840" w:type="dxa"/>
            <w:vAlign w:val="bottom"/>
            <w:gridSpan w:val="7"/>
          </w:tcPr>
          <w:p>
            <w:pPr>
              <w:jc w:val="right"/>
              <w:ind w:right="20"/>
              <w:spacing w:after="0"/>
              <w:rPr>
                <w:sz w:val="20"/>
                <w:szCs w:val="20"/>
                <w:color w:val="auto"/>
              </w:rPr>
            </w:pPr>
            <w:r>
              <w:rPr>
                <w:rFonts w:ascii="Times New Roman" w:cs="Times New Roman" w:eastAsia="Times New Roman" w:hAnsi="Times New Roman"/>
                <w:sz w:val="16"/>
                <w:szCs w:val="16"/>
                <w:color w:val="auto"/>
              </w:rPr>
              <w:t>79 % $  97,084</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21"/>
        </w:trPr>
        <w:tc>
          <w:tcPr>
            <w:tcW w:w="3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acquired through</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combinations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4"/>
              </w:rPr>
              <w:t>4 %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4,810</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4,604</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4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costs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0 %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580</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554</w:t>
            </w:r>
          </w:p>
        </w:tc>
        <w:tc>
          <w:tcPr>
            <w:tcW w:w="11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and margin</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83 %</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52,399</w:t>
            </w:r>
          </w:p>
        </w:tc>
        <w:tc>
          <w:tcPr>
            <w:tcW w:w="12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86 %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$ 106,226</w:t>
            </w:r>
          </w:p>
        </w:tc>
        <w:tc>
          <w:tcPr>
            <w:tcW w:w="1840" w:type="dxa"/>
            <w:vAlign w:val="bottom"/>
            <w:gridSpan w:val="7"/>
          </w:tcPr>
          <w:p>
            <w:pPr>
              <w:jc w:val="right"/>
              <w:ind w:right="20"/>
              <w:spacing w:after="0"/>
              <w:rPr>
                <w:sz w:val="20"/>
                <w:szCs w:val="20"/>
                <w:color w:val="auto"/>
              </w:rPr>
            </w:pPr>
            <w:r>
              <w:rPr>
                <w:rFonts w:ascii="Times New Roman" w:cs="Times New Roman" w:eastAsia="Times New Roman" w:hAnsi="Times New Roman"/>
                <w:sz w:val="16"/>
                <w:szCs w:val="16"/>
                <w:color w:val="auto"/>
              </w:rPr>
              <w:t>83 % $ 102,242</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1"/>
          </w:tcPr>
          <w:p>
            <w:pPr>
              <w:jc w:val="center"/>
              <w:ind w:left="380"/>
              <w:spacing w:after="0"/>
              <w:rPr>
                <w:sz w:val="20"/>
                <w:szCs w:val="20"/>
                <w:color w:val="auto"/>
              </w:rPr>
            </w:pPr>
            <w:r>
              <w:rPr>
                <w:rFonts w:ascii="Times New Roman" w:cs="Times New Roman" w:eastAsia="Times New Roman" w:hAnsi="Times New Roman"/>
                <w:sz w:val="18"/>
                <w:szCs w:val="18"/>
                <w:color w:val="auto"/>
              </w:rPr>
              <w:t>Reconciliation of GAAP Net Loss to Adjusted EBITDA</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16"/>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 unaudited)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8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020" w:type="dxa"/>
            <w:vAlign w:val="bottom"/>
            <w:gridSpan w:val="5"/>
            <w:vMerge w:val="continue"/>
          </w:tcPr>
          <w:p>
            <w:pPr>
              <w:spacing w:after="0"/>
              <w:rPr>
                <w:sz w:val="9"/>
                <w:szCs w:val="9"/>
                <w:color w:val="auto"/>
              </w:rPr>
            </w:pPr>
          </w:p>
        </w:tc>
        <w:tc>
          <w:tcPr>
            <w:tcW w:w="740" w:type="dxa"/>
            <w:vAlign w:val="bottom"/>
            <w:gridSpan w:val="2"/>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9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(306,187 )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(480 )% $</w:t>
            </w: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6"/>
                <w:szCs w:val="16"/>
                <w:color w:val="auto"/>
              </w:rPr>
              <w:t>(11,605 )</w:t>
            </w:r>
          </w:p>
        </w:tc>
        <w:tc>
          <w:tcPr>
            <w:tcW w:w="300" w:type="dxa"/>
            <w:vAlign w:val="bottom"/>
          </w:tcPr>
          <w:p>
            <w:pPr>
              <w:spacing w:after="0"/>
              <w:rPr>
                <w:sz w:val="17"/>
                <w:szCs w:val="17"/>
                <w:color w:val="auto"/>
              </w:rPr>
            </w:pPr>
          </w:p>
        </w:tc>
        <w:tc>
          <w:tcPr>
            <w:tcW w:w="1780" w:type="dxa"/>
            <w:vAlign w:val="bottom"/>
            <w:gridSpan w:val="8"/>
          </w:tcPr>
          <w:p>
            <w:pPr>
              <w:jc w:val="right"/>
              <w:ind w:right="160"/>
              <w:spacing w:after="0"/>
              <w:rPr>
                <w:sz w:val="20"/>
                <w:szCs w:val="20"/>
                <w:color w:val="auto"/>
              </w:rPr>
            </w:pPr>
            <w:r>
              <w:rPr>
                <w:rFonts w:ascii="Times New Roman" w:cs="Times New Roman" w:eastAsia="Times New Roman" w:hAnsi="Times New Roman"/>
                <w:sz w:val="16"/>
                <w:szCs w:val="16"/>
                <w:color w:val="auto"/>
              </w:rPr>
              <w:t>(19 )% $ (318,905 )</w:t>
            </w:r>
          </w:p>
        </w:tc>
        <w:tc>
          <w:tcPr>
            <w:tcW w:w="140" w:type="dxa"/>
            <w:vAlign w:val="bottom"/>
          </w:tcPr>
          <w:p>
            <w:pPr>
              <w:spacing w:after="0"/>
              <w:rPr>
                <w:sz w:val="17"/>
                <w:szCs w:val="17"/>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(251 )% $</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(27,577 )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221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(65 )</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(21,900 )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9"/>
                <w:szCs w:val="19"/>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6"/>
                <w:szCs w:val="16"/>
                <w:color w:val="auto"/>
              </w:rPr>
              <w:t>(1,484 )</w:t>
            </w:r>
          </w:p>
        </w:tc>
        <w:tc>
          <w:tcPr>
            <w:tcW w:w="3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9"/>
                <w:szCs w:val="19"/>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(22,680 )</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(2,194 )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12,778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25,722</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3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EBITDA and margin</w:t>
            </w: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(315,253 )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w w:val="97"/>
              </w:rPr>
              <w:t>(90 )</w:t>
            </w:r>
          </w:p>
        </w:tc>
        <w:tc>
          <w:tcPr>
            <w:tcW w:w="30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7"/>
                <w:szCs w:val="17"/>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(316,178 )</w:t>
            </w:r>
          </w:p>
        </w:tc>
        <w:tc>
          <w:tcPr>
            <w:tcW w:w="14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(3,048 )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(41,600 )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797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(44,240 )</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12,363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24,424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23,491</w:t>
            </w:r>
          </w:p>
        </w:tc>
        <w:tc>
          <w:tcPr>
            <w:tcW w:w="120" w:type="dxa"/>
            <w:vAlign w:val="bottom"/>
          </w:tcPr>
          <w:p>
            <w:pPr>
              <w:spacing w:after="0"/>
              <w:rPr>
                <w:sz w:val="22"/>
                <w:szCs w:val="22"/>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Transaction, integration, and restructuring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571 %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363,641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286 %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non-core items </w:t>
            </w:r>
            <w:r>
              <w:rPr>
                <w:rFonts w:ascii="Times New Roman" w:cs="Times New Roman" w:eastAsia="Times New Roman" w:hAnsi="Times New Roman"/>
                <w:sz w:val="21"/>
                <w:szCs w:val="21"/>
                <w:color w:val="auto"/>
                <w:vertAlign w:val="superscript"/>
              </w:rPr>
              <w:t>(e)</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600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22"/>
                <w:szCs w:val="22"/>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and margin</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33 %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17,241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28 %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40,942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32 % $</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32,908</w:t>
            </w:r>
          </w:p>
        </w:tc>
        <w:tc>
          <w:tcPr>
            <w:tcW w:w="120" w:type="dxa"/>
            <w:vAlign w:val="bottom"/>
          </w:tcPr>
          <w:p>
            <w:pPr>
              <w:spacing w:after="0"/>
              <w:rPr>
                <w:sz w:val="17"/>
                <w:szCs w:val="17"/>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-3879215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-3330575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-1736090</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-1444625</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-1144270</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7" w:lineRule="exact"/>
        <w:rPr>
          <w:sz w:val="20"/>
          <w:szCs w:val="20"/>
          <w:color w:val="auto"/>
        </w:rPr>
      </w:pPr>
    </w:p>
    <w:p>
      <w:pPr>
        <w:ind w:left="400" w:hanging="379"/>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20" w:right="780" w:firstLine="1"/>
        <w:spacing w:after="0" w:line="250" w:lineRule="auto"/>
        <w:tabs>
          <w:tab w:leader="none" w:pos="4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20" w:right="580" w:firstLine="1"/>
        <w:spacing w:after="0" w:line="255"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 as well as impairment and restructuring charges related to office closures, relocations, and consolidations.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3"/>
        </w:trPr>
        <w:tc>
          <w:tcPr>
            <w:tcW w:w="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-1370965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-1370965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-1370965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-1370965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8" w:name="page19"/>
    <w:bookmarkEnd w:id="18"/>
    <w:p>
      <w:pPr>
        <w:ind w:right="160" w:firstLine="8"/>
        <w:spacing w:after="0" w:line="261"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a non-cash, pre-tax, goodwill impairment charge of $363.6 million recorded during the three months ended June 30, 2024. We experienced a decline in our market capitalization as a result of a sustained decrease in our stock price, which represented a triggering event requiring our management to perform a quantitative goodwill impairment test as of June 30, 2024. As a result of the impairment test, we determined that the fair value of our single reporting unit was lower than its carrying value and, accordingly, recorded this impairment charge.</w:t>
      </w:r>
    </w:p>
    <w:p>
      <w:pPr>
        <w:spacing w:after="0" w:line="179" w:lineRule="exact"/>
        <w:rPr>
          <w:rFonts w:ascii="Times New Roman" w:cs="Times New Roman" w:eastAsia="Times New Roman" w:hAnsi="Times New Roman"/>
          <w:sz w:val="18"/>
          <w:szCs w:val="18"/>
          <w:color w:val="auto"/>
        </w:rPr>
      </w:pPr>
    </w:p>
    <w:p>
      <w:pPr>
        <w:ind w:firstLine="8"/>
        <w:spacing w:after="0" w:line="25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non-recurring consulting fees and severance costs associated with strategic transition initiatives, as well as professional fees related to financing, capital structure changes, and other non-recurring costs.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175"/>
        </w:trPr>
        <w:tc>
          <w:tcPr>
            <w:tcW w:w="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-959485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-959485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2024-08-05T15:23:32Z</dcterms:created>
  <dcterms:modified xsi:type="dcterms:W3CDTF">2024-08-05T15:23:32Z</dcterms:modified>
</cp:coreProperties>
</file>