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2" w:lineRule="exact"/>
        <w:rPr>
          <w:sz w:val="24"/>
          <w:szCs w:val="24"/>
          <w:color w:val="auto"/>
        </w:rPr>
      </w:pPr>
    </w:p>
    <w:p>
      <w:pPr>
        <w:ind w:left="362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-4445</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001-40815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80"/>
        <w:spacing w:after="0"/>
        <w:rPr>
          <w:sz w:val="20"/>
          <w:szCs w:val="20"/>
          <w:color w:val="auto"/>
        </w:rPr>
      </w:pPr>
      <w:r>
        <w:rPr>
          <w:rFonts w:ascii="Arial" w:cs="Arial" w:eastAsia="Arial" w:hAnsi="Arial"/>
          <w:sz w:val="41"/>
          <w:szCs w:val="41"/>
          <w:b w:val="1"/>
          <w:bCs w:val="1"/>
          <w:color w:val="auto"/>
        </w:rPr>
        <w:t>Definitive Healthcare Corp.</w:t>
      </w:r>
    </w:p>
    <w:p>
      <w:pPr>
        <w:spacing w:after="0" w:line="69"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5220" w:type="dxa"/>
            <w:vAlign w:val="bottom"/>
            <w:gridSpan w:val="3"/>
          </w:tcPr>
          <w:p>
            <w:pPr>
              <w:ind w:left="4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125"/>
        </w:trPr>
        <w:tc>
          <w:tcPr>
            <w:tcW w:w="1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r>
      <w:tr>
        <w:trPr>
          <w:trHeight w:val="433"/>
        </w:trPr>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5220" w:type="dxa"/>
            <w:vAlign w:val="bottom"/>
            <w:gridSpan w:val="3"/>
          </w:tcPr>
          <w:p>
            <w:pPr>
              <w:jc w:val="center"/>
              <w:ind w:left="3999"/>
              <w:spacing w:after="0"/>
              <w:rPr>
                <w:sz w:val="20"/>
                <w:szCs w:val="20"/>
                <w:color w:val="auto"/>
              </w:rPr>
            </w:pPr>
            <w:r>
              <w:rPr>
                <w:rFonts w:ascii="Arial" w:cs="Arial" w:eastAsia="Arial" w:hAnsi="Arial"/>
                <w:sz w:val="16"/>
                <w:szCs w:val="16"/>
                <w:b w:val="1"/>
                <w:bCs w:val="1"/>
                <w:color w:val="auto"/>
                <w:w w:val="91"/>
              </w:rPr>
              <w:t>86-3988281</w:t>
            </w:r>
          </w:p>
        </w:tc>
      </w:tr>
      <w:tr>
        <w:trPr>
          <w:trHeight w:val="199"/>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jc w:val="center"/>
              <w:ind w:left="10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60" w:type="dxa"/>
            <w:vAlign w:val="bottom"/>
          </w:tcPr>
          <w:p>
            <w:pPr>
              <w:jc w:val="center"/>
              <w:ind w:left="10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7" w:lineRule="exact"/>
        <w:rPr>
          <w:sz w:val="24"/>
          <w:szCs w:val="24"/>
          <w:color w:val="auto"/>
        </w:rPr>
      </w:pPr>
    </w:p>
    <w:p>
      <w:pPr>
        <w:sectPr>
          <w:pgSz w:w="11900" w:h="16838" w:orient="portrait"/>
          <w:cols w:equalWidth="0" w:num="1">
            <w:col w:w="11240"/>
          </w:cols>
          <w:pgMar w:left="320" w:top="346" w:right="339" w:bottom="1440" w:gutter="0" w:footer="0" w:header="0"/>
        </w:sectPr>
      </w:pPr>
    </w:p>
    <w:p>
      <w:pPr>
        <w:jc w:val="center"/>
        <w:ind w:left="2100"/>
        <w:spacing w:after="0"/>
        <w:rPr>
          <w:sz w:val="20"/>
          <w:szCs w:val="20"/>
          <w:color w:val="auto"/>
        </w:rPr>
      </w:pPr>
      <w:r>
        <w:rPr>
          <w:rFonts w:ascii="Arial" w:cs="Arial" w:eastAsia="Arial" w:hAnsi="Arial"/>
          <w:sz w:val="14"/>
          <w:szCs w:val="14"/>
          <w:b w:val="1"/>
          <w:bCs w:val="1"/>
          <w:color w:val="auto"/>
        </w:rPr>
        <w:t>550 Cochituate Road</w:t>
      </w:r>
    </w:p>
    <w:p>
      <w:pPr>
        <w:spacing w:after="0" w:line="49" w:lineRule="exact"/>
        <w:rPr>
          <w:sz w:val="24"/>
          <w:szCs w:val="24"/>
          <w:color w:val="auto"/>
        </w:rPr>
      </w:pPr>
    </w:p>
    <w:p>
      <w:pPr>
        <w:jc w:val="center"/>
        <w:ind w:left="2100"/>
        <w:spacing w:after="0"/>
        <w:rPr>
          <w:sz w:val="20"/>
          <w:szCs w:val="20"/>
          <w:color w:val="auto"/>
        </w:rPr>
      </w:pPr>
      <w:r>
        <w:rPr>
          <w:rFonts w:ascii="Arial" w:cs="Arial" w:eastAsia="Arial" w:hAnsi="Arial"/>
          <w:sz w:val="16"/>
          <w:szCs w:val="16"/>
          <w:b w:val="1"/>
          <w:bCs w:val="1"/>
          <w:color w:val="auto"/>
        </w:rPr>
        <w:t>Framingham, MA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01701</w:t>
      </w:r>
    </w:p>
    <w:p>
      <w:pPr>
        <w:spacing w:after="0" w:line="50" w:lineRule="exact"/>
        <w:rPr>
          <w:sz w:val="24"/>
          <w:szCs w:val="24"/>
          <w:color w:val="auto"/>
        </w:rPr>
      </w:pPr>
    </w:p>
    <w:p>
      <w:pPr>
        <w:jc w:val="center"/>
        <w:ind w:right="39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8" w:lineRule="exact"/>
        <w:rPr>
          <w:sz w:val="24"/>
          <w:szCs w:val="24"/>
          <w:color w:val="auto"/>
        </w:rPr>
      </w:pPr>
    </w:p>
    <w:p>
      <w:pPr>
        <w:jc w:val="center"/>
        <w:ind w:right="40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51" w:lineRule="exact"/>
        <w:rPr>
          <w:sz w:val="24"/>
          <w:szCs w:val="24"/>
          <w:color w:val="auto"/>
        </w:rPr>
      </w:pPr>
    </w:p>
    <w:p>
      <w:pPr>
        <w:jc w:val="right"/>
        <w:ind w:right="2480"/>
        <w:spacing w:after="0"/>
        <w:rPr>
          <w:sz w:val="20"/>
          <w:szCs w:val="20"/>
          <w:color w:val="auto"/>
        </w:rPr>
      </w:pPr>
      <w:r>
        <w:rPr>
          <w:rFonts w:ascii="Arial" w:cs="Arial" w:eastAsia="Arial" w:hAnsi="Arial"/>
          <w:sz w:val="14"/>
          <w:szCs w:val="14"/>
          <w:b w:val="1"/>
          <w:bCs w:val="1"/>
          <w:color w:val="auto"/>
        </w:rPr>
        <w:t>(Zip Code)</w:t>
      </w:r>
    </w:p>
    <w:p>
      <w:pPr>
        <w:spacing w:after="0" w:line="131" w:lineRule="exact"/>
        <w:rPr>
          <w:sz w:val="24"/>
          <w:szCs w:val="24"/>
          <w:color w:val="auto"/>
        </w:rPr>
      </w:pPr>
    </w:p>
    <w:p>
      <w:pPr>
        <w:sectPr>
          <w:pgSz w:w="11900" w:h="16838" w:orient="portrait"/>
          <w:cols w:equalWidth="0" w:num="2">
            <w:col w:w="3540" w:space="440"/>
            <w:col w:w="7260"/>
          </w:cols>
          <w:pgMar w:left="320" w:top="346" w:right="33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(508) 720-4224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0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17"/>
                <w:szCs w:val="17"/>
                <w:color w:val="auto"/>
              </w:rPr>
            </w:pPr>
          </w:p>
        </w:tc>
        <w:tc>
          <w:tcPr>
            <w:tcW w:w="26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7"/>
                <w:szCs w:val="17"/>
                <w:color w:val="auto"/>
              </w:rPr>
            </w:pPr>
          </w:p>
        </w:tc>
        <w:tc>
          <w:tcPr>
            <w:tcW w:w="4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00" w:type="dxa"/>
            <w:vAlign w:val="bottom"/>
          </w:tcPr>
          <w:p>
            <w:pPr>
              <w:jc w:val="center"/>
              <w:spacing w:after="0"/>
              <w:rPr>
                <w:sz w:val="20"/>
                <w:szCs w:val="20"/>
                <w:color w:val="auto"/>
              </w:rPr>
            </w:pPr>
            <w:r>
              <w:rPr>
                <w:rFonts w:ascii="Arial" w:cs="Arial" w:eastAsia="Arial" w:hAnsi="Arial"/>
                <w:sz w:val="16"/>
                <w:szCs w:val="16"/>
                <w:b w:val="1"/>
                <w:bCs w:val="1"/>
                <w:color w:val="auto"/>
                <w:w w:val="90"/>
              </w:rPr>
              <w:t>Class A Common Stock, $0.001 par value</w:t>
            </w:r>
          </w:p>
        </w:tc>
        <w:tc>
          <w:tcPr>
            <w:tcW w:w="140" w:type="dxa"/>
            <w:vAlign w:val="bottom"/>
          </w:tcPr>
          <w:p>
            <w:pPr>
              <w:spacing w:after="0"/>
              <w:rPr>
                <w:sz w:val="21"/>
                <w:szCs w:val="21"/>
                <w:color w:val="auto"/>
              </w:rPr>
            </w:pPr>
          </w:p>
        </w:tc>
        <w:tc>
          <w:tcPr>
            <w:tcW w:w="2600" w:type="dxa"/>
            <w:vAlign w:val="bottom"/>
          </w:tcPr>
          <w:p>
            <w:pPr>
              <w:ind w:left="1120"/>
              <w:spacing w:after="0"/>
              <w:rPr>
                <w:sz w:val="20"/>
                <w:szCs w:val="20"/>
                <w:color w:val="auto"/>
              </w:rPr>
            </w:pPr>
            <w:r>
              <w:rPr>
                <w:rFonts w:ascii="Arial" w:cs="Arial" w:eastAsia="Arial" w:hAnsi="Arial"/>
                <w:sz w:val="16"/>
                <w:szCs w:val="16"/>
                <w:b w:val="1"/>
                <w:bCs w:val="1"/>
                <w:color w:val="auto"/>
              </w:rPr>
              <w:t>DH</w:t>
            </w:r>
          </w:p>
        </w:tc>
        <w:tc>
          <w:tcPr>
            <w:tcW w:w="140" w:type="dxa"/>
            <w:vAlign w:val="bottom"/>
          </w:tcPr>
          <w:p>
            <w:pPr>
              <w:spacing w:after="0"/>
              <w:rPr>
                <w:sz w:val="21"/>
                <w:szCs w:val="21"/>
                <w:color w:val="auto"/>
              </w:rPr>
            </w:pPr>
          </w:p>
        </w:tc>
        <w:tc>
          <w:tcPr>
            <w:tcW w:w="4120" w:type="dxa"/>
            <w:vAlign w:val="bottom"/>
          </w:tcPr>
          <w:p>
            <w:pPr>
              <w:ind w:left="900"/>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118" w:lineRule="exact"/>
        <w:rPr>
          <w:sz w:val="24"/>
          <w:szCs w:val="24"/>
          <w:color w:val="auto"/>
        </w:rPr>
      </w:pPr>
    </w:p>
    <w:p>
      <w:pPr>
        <w:ind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8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by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5, 2021, the number of outstanding shares of the registrant’s Class A Common Stock was 88,263,333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Cautionary Note Regarding Forward-Looking Statements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414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512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 September 30, 2021 and December 31, 2020</w:t>
              </w:r>
            </w:hyperlink>
          </w:p>
        </w:tc>
        <w:tc>
          <w:tcPr>
            <w:tcW w:w="20" w:type="dxa"/>
            <w:vAlign w:val="bottom"/>
            <w:tcBorders>
              <w:bottom w:val="single" w:sz="8" w:color="0000EE"/>
            </w:tcBorders>
          </w:tcPr>
          <w:p>
            <w:pPr>
              <w:spacing w:after="0"/>
              <w:rPr>
                <w:sz w:val="24"/>
                <w:szCs w:val="24"/>
                <w:color w:val="auto"/>
              </w:rPr>
            </w:pPr>
          </w:p>
        </w:tc>
        <w:tc>
          <w:tcPr>
            <w:tcW w:w="2920" w:type="dxa"/>
            <w:vAlign w:val="bottom"/>
            <w:gridSpan w:val="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0"/>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Operations – Three and Nine Months Ended September 30, 2021 and 2020</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8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Loss – Three and Nine Months Ended September 30, 2021 and 2020</w:t>
              </w:r>
            </w:hyperlink>
          </w:p>
        </w:tc>
        <w:tc>
          <w:tcPr>
            <w:tcW w:w="2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Changes in Members’ Equity and Total Equity – Three and Nine Months Ended</w:t>
              </w:r>
            </w:hyperlink>
          </w:p>
        </w:tc>
        <w:tc>
          <w:tcPr>
            <w:tcW w:w="600" w:type="dxa"/>
            <w:vAlign w:val="bottom"/>
            <w:gridSpan w:val="2"/>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Borders>
              <w:bottom w:val="single" w:sz="8" w:color="0000EE"/>
            </w:tcBorders>
            <w:gridSpan w:val="6"/>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September 30, 2021 and 2020</w:t>
              </w:r>
            </w:hyperlink>
          </w:p>
        </w:tc>
        <w:tc>
          <w:tcPr>
            <w:tcW w:w="6860" w:type="dxa"/>
            <w:vAlign w:val="bottom"/>
            <w:gridSpan w:val="13"/>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Condensed Consolidated Statements of Cash Flows – Nine Months Ended September 30, 2021 and 2020</w:t>
              </w:r>
            </w:hyperlink>
          </w:p>
        </w:tc>
        <w:tc>
          <w:tcPr>
            <w:tcW w:w="172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 – September 30, 2021</w:t>
              </w:r>
            </w:hyperlink>
          </w:p>
        </w:tc>
        <w:tc>
          <w:tcPr>
            <w:tcW w:w="20" w:type="dxa"/>
            <w:vAlign w:val="bottom"/>
            <w:tcBorders>
              <w:bottom w:val="single" w:sz="8" w:color="0000EE"/>
            </w:tcBorders>
          </w:tcPr>
          <w:p>
            <w:pPr>
              <w:spacing w:after="0"/>
              <w:rPr>
                <w:sz w:val="24"/>
                <w:szCs w:val="24"/>
                <w:color w:val="auto"/>
              </w:rPr>
            </w:pPr>
          </w:p>
        </w:tc>
        <w:tc>
          <w:tcPr>
            <w:tcW w:w="3620" w:type="dxa"/>
            <w:vAlign w:val="bottom"/>
            <w:gridSpan w:val="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c>
          <w:tcPr>
            <w:tcW w:w="280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4960" w:type="dxa"/>
            <w:vAlign w:val="bottom"/>
            <w:gridSpan w:val="11"/>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gridSpan w:val="3"/>
            <w:vMerge w:val="continue"/>
          </w:tcPr>
          <w:p>
            <w:pPr>
              <w:spacing w:after="0"/>
              <w:rPr>
                <w:sz w:val="24"/>
                <w:szCs w:val="24"/>
                <w:color w:val="auto"/>
              </w:rPr>
            </w:pPr>
          </w:p>
        </w:tc>
        <w:tc>
          <w:tcPr>
            <w:tcW w:w="1880" w:type="dxa"/>
            <w:vAlign w:val="bottom"/>
            <w:tcBorders>
              <w:bottom w:val="single" w:sz="8" w:color="0000FF"/>
            </w:tcBorders>
            <w:gridSpan w:val="5"/>
          </w:tcPr>
          <w:p>
            <w:pPr>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OTHER INFORMATION</w:t>
              </w:r>
            </w:hyperlink>
          </w:p>
        </w:tc>
        <w:tc>
          <w:tcPr>
            <w:tcW w:w="73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4340" w:type="dxa"/>
            <w:vAlign w:val="bottom"/>
            <w:tcBorders>
              <w:top w:val="single" w:sz="8" w:color="0000FF"/>
            </w:tcBorders>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492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Exhibits</w:t>
              </w:r>
            </w:hyperlink>
          </w:p>
        </w:tc>
        <w:tc>
          <w:tcPr>
            <w:tcW w:w="794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gridSpan w:val="3"/>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1"/>
          </w:tcPr>
          <w:p>
            <w:pPr>
              <w:ind w:left="45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64"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277"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 and the following:</w:t>
      </w:r>
    </w:p>
    <w:p>
      <w:pPr>
        <w:spacing w:after="0" w:line="188" w:lineRule="exact"/>
        <w:rPr>
          <w:sz w:val="20"/>
          <w:szCs w:val="20"/>
          <w:color w:val="auto"/>
        </w:rPr>
      </w:pPr>
    </w:p>
    <w:p>
      <w:pPr>
        <w:ind w:left="1040" w:right="20" w:hanging="573"/>
        <w:spacing w:after="0" w:line="359" w:lineRule="auto"/>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151" w:lineRule="exact"/>
        <w:rPr>
          <w:rFonts w:ascii="Arial" w:cs="Arial" w:eastAsia="Arial" w:hAnsi="Arial"/>
          <w:sz w:val="16"/>
          <w:szCs w:val="16"/>
          <w:color w:val="auto"/>
        </w:rPr>
      </w:pPr>
    </w:p>
    <w:p>
      <w:pPr>
        <w:ind w:left="1040" w:right="140" w:hanging="573"/>
        <w:spacing w:after="0" w:line="29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196" w:lineRule="exact"/>
        <w:rPr>
          <w:rFonts w:ascii="Arial" w:cs="Arial" w:eastAsia="Arial" w:hAnsi="Arial"/>
          <w:sz w:val="18"/>
          <w:szCs w:val="18"/>
          <w:color w:val="auto"/>
        </w:rPr>
      </w:pPr>
    </w:p>
    <w:p>
      <w:pPr>
        <w:ind w:left="1040" w:right="540" w:hanging="573"/>
        <w:spacing w:after="0" w:line="29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196" w:lineRule="exact"/>
        <w:rPr>
          <w:rFonts w:ascii="Arial" w:cs="Arial" w:eastAsia="Arial" w:hAnsi="Arial"/>
          <w:sz w:val="18"/>
          <w:szCs w:val="18"/>
          <w:color w:val="auto"/>
        </w:rPr>
      </w:pPr>
    </w:p>
    <w:p>
      <w:pPr>
        <w:ind w:left="1040" w:hanging="573"/>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265" w:lineRule="exact"/>
        <w:rPr>
          <w:rFonts w:ascii="Arial" w:cs="Arial" w:eastAsia="Arial" w:hAnsi="Arial"/>
          <w:sz w:val="18"/>
          <w:szCs w:val="18"/>
          <w:color w:val="auto"/>
        </w:rPr>
      </w:pPr>
    </w:p>
    <w:p>
      <w:pPr>
        <w:ind w:left="1020" w:hanging="55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265" w:lineRule="exact"/>
        <w:rPr>
          <w:rFonts w:ascii="Arial" w:cs="Arial" w:eastAsia="Arial" w:hAnsi="Arial"/>
          <w:sz w:val="18"/>
          <w:szCs w:val="18"/>
          <w:color w:val="auto"/>
        </w:rPr>
      </w:pPr>
    </w:p>
    <w:p>
      <w:pPr>
        <w:ind w:left="1040" w:hanging="573"/>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040" w:right="440" w:hanging="573"/>
        <w:spacing w:after="0" w:line="29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196" w:lineRule="exact"/>
        <w:rPr>
          <w:rFonts w:ascii="Arial" w:cs="Arial" w:eastAsia="Arial" w:hAnsi="Arial"/>
          <w:sz w:val="18"/>
          <w:szCs w:val="18"/>
          <w:color w:val="auto"/>
        </w:rPr>
      </w:pPr>
    </w:p>
    <w:p>
      <w:pPr>
        <w:ind w:left="1020" w:right="60" w:hanging="553"/>
        <w:spacing w:after="0" w:line="29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196" w:lineRule="exact"/>
        <w:rPr>
          <w:rFonts w:ascii="Arial" w:cs="Arial" w:eastAsia="Arial" w:hAnsi="Arial"/>
          <w:sz w:val="18"/>
          <w:szCs w:val="18"/>
          <w:color w:val="auto"/>
        </w:rPr>
      </w:pPr>
    </w:p>
    <w:p>
      <w:pPr>
        <w:ind w:left="1020" w:right="120" w:hanging="553"/>
        <w:spacing w:after="0" w:line="29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196" w:lineRule="exact"/>
        <w:rPr>
          <w:rFonts w:ascii="Arial" w:cs="Arial" w:eastAsia="Arial" w:hAnsi="Arial"/>
          <w:sz w:val="18"/>
          <w:szCs w:val="18"/>
          <w:color w:val="auto"/>
        </w:rPr>
      </w:pPr>
    </w:p>
    <w:p>
      <w:pPr>
        <w:ind w:left="1020" w:right="120" w:hanging="553"/>
        <w:spacing w:after="0" w:line="29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196" w:lineRule="exact"/>
        <w:rPr>
          <w:rFonts w:ascii="Arial" w:cs="Arial" w:eastAsia="Arial" w:hAnsi="Arial"/>
          <w:sz w:val="18"/>
          <w:szCs w:val="18"/>
          <w:color w:val="auto"/>
        </w:rPr>
      </w:pPr>
    </w:p>
    <w:p>
      <w:pPr>
        <w:ind w:left="1040" w:right="520" w:hanging="573"/>
        <w:spacing w:after="0" w:line="324" w:lineRule="auto"/>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174" w:lineRule="exact"/>
        <w:rPr>
          <w:rFonts w:ascii="Arial" w:cs="Arial" w:eastAsia="Arial" w:hAnsi="Arial"/>
          <w:sz w:val="17"/>
          <w:szCs w:val="17"/>
          <w:color w:val="auto"/>
        </w:rPr>
      </w:pPr>
    </w:p>
    <w:p>
      <w:pPr>
        <w:ind w:left="1000" w:hanging="57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Quarterly Report, including under “Management’s Discussion and Analysis of Financial Condition and Results of Operations”. Any forward-looking statement made by 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number of shares)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2021</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189,752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27,886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Current portion of deferred contract costs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226,639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Deferred contract costs, net of current portion</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9,388</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366,723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1,869,799</w:t>
            </w:r>
          </w:p>
        </w:tc>
        <w:tc>
          <w:tcPr>
            <w:tcW w:w="2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1,745,359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19,296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69,811</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Current portion of term loan</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103,037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Tax receivable agreements liability</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146,106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net of current portion</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265,388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457,197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71,341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586,715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11)</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Members' equity</w:t>
            </w:r>
          </w:p>
        </w:tc>
        <w:tc>
          <w:tcPr>
            <w:tcW w:w="14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1,195,694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w w:val="91"/>
              </w:rPr>
              <w:t>Class A Common Stock, par value $0.001, 600,000,000 shares authorized, 88,263,333 shares issued,</w:t>
            </w:r>
          </w:p>
        </w:tc>
        <w:tc>
          <w:tcPr>
            <w:tcW w:w="140" w:type="dxa"/>
            <w:vAlign w:val="bottom"/>
          </w:tcPr>
          <w:p>
            <w:pPr>
              <w:spacing w:after="0"/>
              <w:rPr>
                <w:sz w:val="21"/>
                <w:szCs w:val="2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7680" w:type="dxa"/>
            <w:vAlign w:val="bottom"/>
            <w:vMerge w:val="restart"/>
          </w:tcPr>
          <w:p>
            <w:pPr>
              <w:ind w:left="200"/>
              <w:spacing w:after="0"/>
              <w:rPr>
                <w:sz w:val="20"/>
                <w:szCs w:val="20"/>
                <w:color w:val="auto"/>
              </w:rPr>
            </w:pPr>
            <w:r>
              <w:rPr>
                <w:rFonts w:ascii="Arial" w:cs="Arial" w:eastAsia="Arial" w:hAnsi="Arial"/>
                <w:sz w:val="18"/>
                <w:szCs w:val="18"/>
                <w:color w:val="auto"/>
              </w:rPr>
              <w:t>and outstanding at September 30, 2021</w:t>
            </w:r>
          </w:p>
        </w:tc>
        <w:tc>
          <w:tcPr>
            <w:tcW w:w="1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Class B Common Stock, no par value, 65,000,000 shares authorized, 60,020,525 shares issued and</w:t>
            </w:r>
          </w:p>
        </w:tc>
        <w:tc>
          <w:tcPr>
            <w:tcW w:w="140" w:type="dxa"/>
            <w:vAlign w:val="bottom"/>
            <w:shd w:val="clear" w:color="auto" w:fill="CFF0FC"/>
          </w:tcPr>
          <w:p>
            <w:pPr>
              <w:spacing w:after="0"/>
              <w:rPr>
                <w:sz w:val="21"/>
                <w:szCs w:val="21"/>
                <w:color w:val="auto"/>
              </w:rPr>
            </w:pPr>
          </w:p>
        </w:tc>
        <w:tc>
          <w:tcPr>
            <w:tcW w:w="174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768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rPr>
              <w:t>57,220,661 outstanding at September 30, 2021</w:t>
            </w:r>
          </w:p>
        </w:tc>
        <w:tc>
          <w:tcPr>
            <w:tcW w:w="140" w:type="dxa"/>
            <w:vAlign w:val="bottom"/>
            <w:shd w:val="clear" w:color="auto" w:fill="CFF0FC"/>
          </w:tcPr>
          <w:p>
            <w:pPr>
              <w:spacing w:after="0"/>
              <w:rPr>
                <w:sz w:val="9"/>
                <w:szCs w:val="9"/>
                <w:color w:val="auto"/>
              </w:rPr>
            </w:pPr>
          </w:p>
        </w:tc>
        <w:tc>
          <w:tcPr>
            <w:tcW w:w="1740" w:type="dxa"/>
            <w:vAlign w:val="bottom"/>
            <w:gridSpan w:val="2"/>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5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68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700,773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(7,978 )</w:t>
            </w: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590,177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1,283,084</w:t>
            </w:r>
          </w:p>
        </w:tc>
        <w:tc>
          <w:tcPr>
            <w:tcW w:w="28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1,195,563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1,869,799</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1,745,359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-4625340</wp:posOffset>
            </wp:positionV>
            <wp:extent cx="180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-4625340</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-2302510</wp:posOffset>
            </wp:positionV>
            <wp:extent cx="180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-2302510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wp:posOffset>
            </wp:positionV>
            <wp:extent cx="180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803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80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thousands, except share amounts and per share data)</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exclusive of amortization shown below</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90,050</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14,376</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39,003</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18,891</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28,814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expenses</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(137 )</w:t>
            </w: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36,625</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23,600</w:t>
            </w: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102,857</w:t>
            </w: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69,998</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(4,026 )</w:t>
            </w: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(940 )</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(12,807 )</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(7,493 )</w:t>
            </w: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transaction gain</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(7,186 )</w:t>
            </w:r>
          </w:p>
        </w:tc>
        <w:tc>
          <w:tcPr>
            <w:tcW w:w="2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(9,022 )</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(23,956 )</w:t>
            </w: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(27,802 )</w:t>
            </w:r>
          </w:p>
        </w:tc>
        <w:tc>
          <w:tcPr>
            <w:tcW w:w="0" w:type="dxa"/>
            <w:vAlign w:val="bottom"/>
          </w:tcPr>
          <w:p>
            <w:pPr>
              <w:spacing w:after="0"/>
              <w:rPr>
                <w:sz w:val="1"/>
                <w:szCs w:val="1"/>
                <w:color w:val="auto"/>
              </w:rPr>
            </w:pPr>
          </w:p>
        </w:tc>
      </w:tr>
      <w:tr>
        <w:trPr>
          <w:trHeight w:val="256"/>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(9,873 )</w:t>
            </w: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(9,873 )</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(16,940 )</w:t>
            </w:r>
          </w:p>
        </w:tc>
        <w:tc>
          <w:tcPr>
            <w:tcW w:w="2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(9,022 )</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(33,686 )</w:t>
            </w: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(27,802 )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(20,966 )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(9,962 )</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(46,493 )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(35,295 )</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620" w:type="dxa"/>
            <w:vAlign w:val="bottom"/>
          </w:tcPr>
          <w:p>
            <w:pPr>
              <w:ind w:left="200"/>
              <w:spacing w:after="0"/>
              <w:rPr>
                <w:sz w:val="20"/>
                <w:szCs w:val="20"/>
                <w:color w:val="auto"/>
              </w:rPr>
            </w:pPr>
            <w:r>
              <w:rPr>
                <w:rFonts w:ascii="Arial" w:cs="Arial" w:eastAsia="Arial" w:hAnsi="Arial"/>
                <w:sz w:val="18"/>
                <w:szCs w:val="18"/>
                <w:color w:val="auto"/>
              </w:rPr>
              <w:t>Less: Net loss attributable to Definitive OpCo prior to the</w:t>
            </w:r>
          </w:p>
        </w:tc>
        <w:tc>
          <w:tcPr>
            <w:tcW w:w="160" w:type="dxa"/>
            <w:vAlign w:val="bottom"/>
          </w:tcPr>
          <w:p>
            <w:pPr>
              <w:spacing w:after="0"/>
              <w:rPr>
                <w:sz w:val="21"/>
                <w:szCs w:val="21"/>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(7,816 )</w:t>
            </w:r>
          </w:p>
        </w:tc>
        <w:tc>
          <w:tcPr>
            <w:tcW w:w="280" w:type="dxa"/>
            <w:vAlign w:val="bottom"/>
          </w:tcPr>
          <w:p>
            <w:pPr>
              <w:spacing w:after="0"/>
              <w:rPr>
                <w:sz w:val="21"/>
                <w:szCs w:val="2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(9,962 )</w:t>
            </w:r>
          </w:p>
        </w:tc>
        <w:tc>
          <w:tcPr>
            <w:tcW w:w="160" w:type="dxa"/>
            <w:vAlign w:val="bottom"/>
          </w:tcPr>
          <w:p>
            <w:pPr>
              <w:spacing w:after="0"/>
              <w:rPr>
                <w:sz w:val="21"/>
                <w:szCs w:val="2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(33,343 )</w:t>
            </w:r>
          </w:p>
        </w:tc>
        <w:tc>
          <w:tcPr>
            <w:tcW w:w="280" w:type="dxa"/>
            <w:vAlign w:val="bottom"/>
          </w:tcPr>
          <w:p>
            <w:pPr>
              <w:spacing w:after="0"/>
              <w:rPr>
                <w:sz w:val="21"/>
                <w:szCs w:val="21"/>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(35,295 )</w:t>
            </w:r>
          </w:p>
        </w:tc>
        <w:tc>
          <w:tcPr>
            <w:tcW w:w="0" w:type="dxa"/>
            <w:vAlign w:val="bottom"/>
          </w:tcPr>
          <w:p>
            <w:pPr>
              <w:spacing w:after="0"/>
              <w:rPr>
                <w:sz w:val="1"/>
                <w:szCs w:val="1"/>
                <w:color w:val="auto"/>
              </w:rPr>
            </w:pPr>
          </w:p>
        </w:tc>
      </w:tr>
      <w:tr>
        <w:trPr>
          <w:trHeight w:val="109"/>
        </w:trPr>
        <w:tc>
          <w:tcPr>
            <w:tcW w:w="5620" w:type="dxa"/>
            <w:vAlign w:val="bottom"/>
            <w:vMerge w:val="restart"/>
          </w:tcPr>
          <w:p>
            <w:pPr>
              <w:ind w:left="200"/>
              <w:spacing w:after="0"/>
              <w:rPr>
                <w:sz w:val="20"/>
                <w:szCs w:val="20"/>
                <w:color w:val="auto"/>
              </w:rPr>
            </w:pPr>
            <w:r>
              <w:rPr>
                <w:rFonts w:ascii="Arial" w:cs="Arial" w:eastAsia="Arial" w:hAnsi="Arial"/>
                <w:sz w:val="18"/>
                <w:szCs w:val="18"/>
                <w:color w:val="auto"/>
              </w:rPr>
              <w:t>Reorganization Transactions</w:t>
            </w: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(5,172 )</w:t>
            </w: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(5,172 )</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ind w:left="560"/>
              <w:spacing w:after="0"/>
              <w:rPr>
                <w:sz w:val="20"/>
                <w:szCs w:val="20"/>
                <w:color w:val="auto"/>
              </w:rPr>
            </w:pPr>
            <w:r>
              <w:rPr>
                <w:rFonts w:ascii="Arial" w:cs="Arial" w:eastAsia="Arial" w:hAnsi="Arial"/>
                <w:sz w:val="18"/>
                <w:szCs w:val="18"/>
                <w:color w:val="auto"/>
              </w:rPr>
              <w:t>Net loss attributable to Definitive Healthcare Corp.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(7,978 )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(7,978 )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of Class A Common Stock:</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(0.09 )</w:t>
            </w:r>
          </w:p>
        </w:tc>
        <w:tc>
          <w:tcPr>
            <w:tcW w:w="2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20"/>
                <w:szCs w:val="20"/>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(0.09 )</w:t>
            </w: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4"/>
                <w:szCs w:val="24"/>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88,263,333</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20"/>
                <w:szCs w:val="20"/>
                <w:color w:val="auto"/>
              </w:rPr>
              <w:t>N/A</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88,263,333</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-3699510</wp:posOffset>
            </wp:positionV>
            <wp:extent cx="15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-3699510</wp:posOffset>
            </wp:positionV>
            <wp:extent cx="1371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-3699510</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-3699510</wp:posOffset>
            </wp:positionV>
            <wp:extent cx="596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-2713990</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-2713990</wp:posOffset>
            </wp:positionV>
            <wp:extent cx="1371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-2713990</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-2713990</wp:posOffset>
            </wp:positionV>
            <wp:extent cx="596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-1719580</wp:posOffset>
            </wp:positionV>
            <wp:extent cx="1543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-1719580</wp:posOffset>
            </wp:positionV>
            <wp:extent cx="1371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-1719580</wp:posOffset>
            </wp:positionV>
            <wp:extent cx="1371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-1719580</wp:posOffset>
            </wp:positionV>
            <wp:extent cx="596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-1376680</wp:posOffset>
            </wp:positionV>
            <wp:extent cx="1543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-1376680</wp:posOffset>
            </wp:positionV>
            <wp:extent cx="1371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-1376680</wp:posOffset>
            </wp:positionV>
            <wp:extent cx="1371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-1376680</wp:posOffset>
            </wp:positionV>
            <wp:extent cx="596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-896620</wp:posOffset>
            </wp:positionV>
            <wp:extent cx="15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-896620</wp:posOffset>
            </wp:positionV>
            <wp:extent cx="1371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-896620</wp:posOffset>
            </wp:positionV>
            <wp:extent cx="1371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-896620</wp:posOffset>
            </wp:positionV>
            <wp:extent cx="596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8" w:lineRule="exact"/>
        <w:rPr>
          <w:sz w:val="20"/>
          <w:szCs w:val="20"/>
          <w:color w:val="auto"/>
        </w:rPr>
      </w:pPr>
    </w:p>
    <w:p>
      <w:pPr>
        <w:jc w:val="both"/>
        <w:ind w:firstLine="517"/>
        <w:spacing w:after="0" w:line="335" w:lineRule="auto"/>
        <w:tabs>
          <w:tab w:leader="none" w:pos="738"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Basic and diluted net loss per share of Class A Common Stock is applicable only for the period from September 15, 2021 through September 30, 2021, which is the period following the initial public offering ("IPO") and related Reorganization Transactions (as defined in Note 1 to the Unaudited Consolidated Financial Statements). See Note 16 for the number of shares used in the computation of net loss per share of Class A Common Stock and the basis for the computation of net loss per share.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05" w:right="4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6"/>
        </w:trPr>
        <w:tc>
          <w:tcPr>
            <w:tcW w:w="5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(20,966 )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(9,962 )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(46,493 )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(35,295 )</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26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(20,955 )</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(9,962 )</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(46,338 )</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(35,295 )</w:t>
            </w: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loss attributable to Definitive OpCo prior to the</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Reorganization Transactions</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(7,818 )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(33,201 )</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Pr>
          <w:p>
            <w:pPr>
              <w:ind w:left="200"/>
              <w:spacing w:after="0"/>
              <w:rPr>
                <w:sz w:val="20"/>
                <w:szCs w:val="20"/>
                <w:color w:val="auto"/>
              </w:rPr>
            </w:pPr>
            <w:r>
              <w:rPr>
                <w:rFonts w:ascii="Arial" w:cs="Arial" w:eastAsia="Arial" w:hAnsi="Arial"/>
                <w:sz w:val="18"/>
                <w:szCs w:val="18"/>
                <w:color w:val="auto"/>
                <w:w w:val="97"/>
              </w:rPr>
              <w:t>Less: Comprehensive loss attributable to noncontrolling interests</w:t>
            </w:r>
          </w:p>
        </w:tc>
        <w:tc>
          <w:tcPr>
            <w:tcW w:w="260" w:type="dxa"/>
            <w:vAlign w:val="bottom"/>
          </w:tcPr>
          <w:p>
            <w:pPr>
              <w:spacing w:after="0"/>
              <w:rPr>
                <w:sz w:val="21"/>
                <w:szCs w:val="21"/>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(5,167 )</w:t>
            </w:r>
          </w:p>
        </w:tc>
        <w:tc>
          <w:tcPr>
            <w:tcW w:w="3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(5,167 )</w:t>
            </w: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7"/>
              </w:rPr>
              <w:t>Comprehensive loss attributable to Definitive Healthcare Corp.</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(7,970 )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(9,962 )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(7,970 )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(35,295 )</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-836295</wp:posOffset>
            </wp:positionV>
            <wp:extent cx="2914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-836295</wp:posOffset>
            </wp:positionV>
            <wp:extent cx="1631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-836295</wp:posOffset>
            </wp:positionV>
            <wp:extent cx="1454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-836295</wp:posOffset>
            </wp:positionV>
            <wp:extent cx="5969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291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291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1631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63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45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45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MEMBERS’ EQUITY AND TOTAL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 except share and unit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2"/>
              </w:rPr>
              <w:t>AIDH TopCo,</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3"/>
              </w:rPr>
              <w:t>LLC (Prior to</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7"/>
              </w:rPr>
              <w:t>Reorganization</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tcPr>
          <w:p>
            <w:pPr>
              <w:spacing w:after="0"/>
              <w:rPr>
                <w:sz w:val="17"/>
                <w:szCs w:val="17"/>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Transactions)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6"/>
          </w:tcPr>
          <w:p>
            <w:pPr>
              <w:ind w:left="360"/>
              <w:spacing w:after="0"/>
              <w:rPr>
                <w:sz w:val="20"/>
                <w:szCs w:val="20"/>
                <w:color w:val="auto"/>
              </w:rPr>
            </w:pPr>
            <w:r>
              <w:rPr>
                <w:rFonts w:ascii="Arial" w:cs="Arial" w:eastAsia="Arial" w:hAnsi="Arial"/>
                <w:sz w:val="13"/>
                <w:szCs w:val="13"/>
                <w:b w:val="1"/>
                <w:bCs w:val="1"/>
                <w:color w:val="auto"/>
              </w:rPr>
              <w:t>Definitive Healthcare Corp.</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0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4"/>
          </w:tcPr>
          <w:p>
            <w:pPr>
              <w:jc w:val="center"/>
              <w:ind w:right="177"/>
              <w:spacing w:after="0"/>
              <w:rPr>
                <w:sz w:val="20"/>
                <w:szCs w:val="20"/>
                <w:color w:val="auto"/>
              </w:rPr>
            </w:pPr>
            <w:r>
              <w:rPr>
                <w:rFonts w:ascii="Arial" w:cs="Arial" w:eastAsia="Arial" w:hAnsi="Arial"/>
                <w:sz w:val="13"/>
                <w:szCs w:val="13"/>
                <w:b w:val="1"/>
                <w:bCs w:val="1"/>
                <w:color w:val="auto"/>
                <w:w w:val="88"/>
              </w:rPr>
              <w:t>Accumulated</w:t>
            </w: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tcPr>
          <w:p>
            <w:pPr>
              <w:jc w:val="center"/>
              <w:ind w:right="177"/>
              <w:spacing w:after="0"/>
              <w:rPr>
                <w:sz w:val="20"/>
                <w:szCs w:val="20"/>
                <w:color w:val="auto"/>
              </w:rPr>
            </w:pPr>
            <w:r>
              <w:rPr>
                <w:rFonts w:ascii="Arial" w:cs="Arial" w:eastAsia="Arial" w:hAnsi="Arial"/>
                <w:sz w:val="13"/>
                <w:szCs w:val="13"/>
                <w:b w:val="1"/>
                <w:bCs w:val="1"/>
                <w:color w:val="auto"/>
                <w:w w:val="92"/>
              </w:rPr>
              <w:t>Other</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Accumulate</w:t>
            </w:r>
          </w:p>
        </w:tc>
        <w:tc>
          <w:tcPr>
            <w:tcW w:w="80" w:type="dxa"/>
            <w:vAlign w:val="bottom"/>
          </w:tcPr>
          <w:p>
            <w:pPr>
              <w:spacing w:after="0"/>
              <w:rPr>
                <w:sz w:val="16"/>
                <w:szCs w:val="16"/>
                <w:color w:val="auto"/>
              </w:rPr>
            </w:pPr>
          </w:p>
        </w:tc>
        <w:tc>
          <w:tcPr>
            <w:tcW w:w="1000" w:type="dxa"/>
            <w:vAlign w:val="bottom"/>
            <w:gridSpan w:val="4"/>
          </w:tcPr>
          <w:p>
            <w:pPr>
              <w:jc w:val="center"/>
              <w:ind w:right="177"/>
              <w:spacing w:after="0"/>
              <w:rPr>
                <w:sz w:val="20"/>
                <w:szCs w:val="20"/>
                <w:color w:val="auto"/>
              </w:rPr>
            </w:pPr>
            <w:r>
              <w:rPr>
                <w:rFonts w:ascii="Arial" w:cs="Arial" w:eastAsia="Arial" w:hAnsi="Arial"/>
                <w:sz w:val="13"/>
                <w:szCs w:val="13"/>
                <w:b w:val="1"/>
                <w:bCs w:val="1"/>
                <w:color w:val="auto"/>
                <w:w w:val="86"/>
              </w:rPr>
              <w:t>Comprehensi</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Members'</w:t>
            </w:r>
          </w:p>
        </w:tc>
        <w:tc>
          <w:tcPr>
            <w:tcW w:w="1140" w:type="dxa"/>
            <w:vAlign w:val="bottom"/>
            <w:gridSpan w:val="3"/>
          </w:tcPr>
          <w:p>
            <w:pPr>
              <w:ind w:left="240"/>
              <w:spacing w:after="0"/>
              <w:rPr>
                <w:sz w:val="20"/>
                <w:szCs w:val="20"/>
                <w:color w:val="auto"/>
              </w:rPr>
            </w:pPr>
            <w:r>
              <w:rPr>
                <w:rFonts w:ascii="Arial" w:cs="Arial" w:eastAsia="Arial" w:hAnsi="Arial"/>
                <w:sz w:val="13"/>
                <w:szCs w:val="13"/>
                <w:b w:val="1"/>
                <w:bCs w:val="1"/>
                <w:color w:val="auto"/>
              </w:rPr>
              <w:t>Class A</w:t>
            </w:r>
          </w:p>
        </w:tc>
        <w:tc>
          <w:tcPr>
            <w:tcW w:w="580" w:type="dxa"/>
            <w:vAlign w:val="bottom"/>
          </w:tcPr>
          <w:p>
            <w:pPr>
              <w:jc w:val="right"/>
              <w:ind w:right="61"/>
              <w:spacing w:after="0"/>
              <w:rPr>
                <w:sz w:val="20"/>
                <w:szCs w:val="20"/>
                <w:color w:val="auto"/>
              </w:rPr>
            </w:pPr>
            <w:r>
              <w:rPr>
                <w:rFonts w:ascii="Arial" w:cs="Arial" w:eastAsia="Arial" w:hAnsi="Arial"/>
                <w:sz w:val="13"/>
                <w:szCs w:val="13"/>
                <w:b w:val="1"/>
                <w:bCs w:val="1"/>
                <w:color w:val="auto"/>
                <w:w w:val="87"/>
              </w:rPr>
              <w:t>Class A</w:t>
            </w:r>
          </w:p>
        </w:tc>
        <w:tc>
          <w:tcPr>
            <w:tcW w:w="10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3"/>
                <w:szCs w:val="13"/>
                <w:b w:val="1"/>
                <w:bCs w:val="1"/>
                <w:color w:val="auto"/>
              </w:rPr>
              <w:t>Class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3"/>
                <w:szCs w:val="13"/>
                <w:b w:val="1"/>
                <w:bCs w:val="1"/>
                <w:color w:val="auto"/>
                <w:w w:val="87"/>
              </w:rPr>
              <w:t>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4"/>
                <w:szCs w:val="14"/>
                <w:color w:val="auto"/>
              </w:rPr>
            </w:pPr>
          </w:p>
        </w:tc>
        <w:tc>
          <w:tcPr>
            <w:tcW w:w="540" w:type="dxa"/>
            <w:vAlign w:val="bottom"/>
          </w:tcPr>
          <w:p>
            <w:pPr>
              <w:jc w:val="center"/>
              <w:ind w:left="137"/>
              <w:spacing w:after="0"/>
              <w:rPr>
                <w:sz w:val="20"/>
                <w:szCs w:val="20"/>
                <w:color w:val="auto"/>
              </w:rPr>
            </w:pPr>
            <w:r>
              <w:rPr>
                <w:rFonts w:ascii="Arial" w:cs="Arial" w:eastAsia="Arial" w:hAnsi="Arial"/>
                <w:sz w:val="13"/>
                <w:szCs w:val="13"/>
                <w:b w:val="1"/>
                <w:bCs w:val="1"/>
                <w:color w:val="auto"/>
                <w:w w:val="74"/>
              </w:rPr>
              <w:t>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left="237"/>
              <w:spacing w:after="0"/>
              <w:rPr>
                <w:sz w:val="20"/>
                <w:szCs w:val="20"/>
                <w:color w:val="auto"/>
              </w:rPr>
            </w:pPr>
            <w:r>
              <w:rPr>
                <w:rFonts w:ascii="Arial" w:cs="Arial" w:eastAsia="Arial" w:hAnsi="Arial"/>
                <w:sz w:val="13"/>
                <w:szCs w:val="13"/>
                <w:b w:val="1"/>
                <w:bCs w:val="1"/>
                <w:color w:val="auto"/>
                <w:w w:val="82"/>
              </w:rPr>
              <w:t>ve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tcPr>
          <w:p>
            <w:pPr>
              <w:jc w:val="center"/>
              <w:ind w:right="197"/>
              <w:spacing w:after="0"/>
              <w:rPr>
                <w:sz w:val="20"/>
                <w:szCs w:val="20"/>
                <w:color w:val="auto"/>
              </w:rPr>
            </w:pPr>
            <w:r>
              <w:rPr>
                <w:rFonts w:ascii="Arial" w:cs="Arial" w:eastAsia="Arial" w:hAnsi="Arial"/>
                <w:sz w:val="13"/>
                <w:szCs w:val="13"/>
                <w:b w:val="1"/>
                <w:bCs w:val="1"/>
                <w:color w:val="auto"/>
                <w:w w:val="87"/>
              </w:rPr>
              <w:t>(Loss)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1140" w:type="dxa"/>
            <w:vAlign w:val="bottom"/>
            <w:gridSpan w:val="3"/>
          </w:tcPr>
          <w:p>
            <w:pPr>
              <w:ind w:left="300"/>
              <w:spacing w:after="0"/>
              <w:rPr>
                <w:sz w:val="20"/>
                <w:szCs w:val="20"/>
                <w:color w:val="auto"/>
              </w:rPr>
            </w:pPr>
            <w:r>
              <w:rPr>
                <w:rFonts w:ascii="Arial" w:cs="Arial" w:eastAsia="Arial" w:hAnsi="Arial"/>
                <w:sz w:val="13"/>
                <w:szCs w:val="13"/>
                <w:b w:val="1"/>
                <w:bCs w:val="1"/>
                <w:color w:val="auto"/>
              </w:rPr>
              <w:t>Stock</w:t>
            </w:r>
          </w:p>
        </w:tc>
        <w:tc>
          <w:tcPr>
            <w:tcW w:w="580" w:type="dxa"/>
            <w:vAlign w:val="bottom"/>
          </w:tcPr>
          <w:p>
            <w:pPr>
              <w:jc w:val="right"/>
              <w:ind w:right="61"/>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2"/>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42"/>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5"/>
                <w:szCs w:val="15"/>
                <w:color w:val="auto"/>
              </w:rPr>
            </w:pPr>
          </w:p>
        </w:tc>
        <w:tc>
          <w:tcPr>
            <w:tcW w:w="540" w:type="dxa"/>
            <w:vAlign w:val="bottom"/>
          </w:tcPr>
          <w:p>
            <w:pPr>
              <w:jc w:val="center"/>
              <w:ind w:left="117"/>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tcPr>
          <w:p>
            <w:pPr>
              <w:jc w:val="center"/>
              <w:ind w:right="217"/>
              <w:spacing w:after="0"/>
              <w:rPr>
                <w:sz w:val="20"/>
                <w:szCs w:val="20"/>
                <w:color w:val="auto"/>
              </w:rPr>
            </w:pPr>
            <w:r>
              <w:rPr>
                <w:rFonts w:ascii="Arial" w:cs="Arial" w:eastAsia="Arial" w:hAnsi="Arial"/>
                <w:sz w:val="13"/>
                <w:szCs w:val="13"/>
                <w:b w:val="1"/>
                <w:bCs w:val="1"/>
                <w:color w:val="auto"/>
                <w:w w:val="87"/>
              </w:rPr>
              <w:t>Income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2020</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1,195,694</w:t>
            </w:r>
          </w:p>
        </w:tc>
        <w:tc>
          <w:tcPr>
            <w:tcW w:w="260" w:type="dxa"/>
            <w:vAlign w:val="bottom"/>
            <w:tcBorders>
              <w:right w:val="single" w:sz="8" w:color="auto"/>
            </w:tcBorders>
            <w:shd w:val="clear" w:color="auto" w:fill="CFF0FC"/>
          </w:tcPr>
          <w:p>
            <w:pPr>
              <w:spacing w:after="0"/>
              <w:rPr>
                <w:sz w:val="19"/>
                <w:szCs w:val="19"/>
                <w:color w:val="auto"/>
              </w:rPr>
            </w:pP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FF0FC"/>
          </w:tcPr>
          <w:p>
            <w:pPr>
              <w:jc w:val="right"/>
              <w:ind w:right="377"/>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CFF0FC"/>
          </w:tcPr>
          <w:p>
            <w:pPr>
              <w:jc w:val="right"/>
              <w:ind w:right="317"/>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86"/>
              </w:rPr>
              <w:t>(131 ) $</w:t>
            </w: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$ 1,195,563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Net loss prior to</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w w:val="96"/>
              </w:rPr>
              <w:t>Reorganization Transactions</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(10,487 )</w:t>
            </w:r>
          </w:p>
        </w:tc>
        <w:tc>
          <w:tcPr>
            <w:tcW w:w="114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(10,487 )</w:t>
            </w: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3"/>
              </w:rPr>
              <w:t>Other comprehensive income</w:t>
            </w:r>
          </w:p>
        </w:tc>
        <w:tc>
          <w:tcPr>
            <w:tcW w:w="9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(loss) prior to Reorganization</w:t>
            </w:r>
          </w:p>
        </w:tc>
        <w:tc>
          <w:tcPr>
            <w:tcW w:w="96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w w:val="99"/>
              </w:rPr>
              <w:t>Equity-based compensation</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prior to Reorganization</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260" w:type="dxa"/>
            <w:vAlign w:val="bottom"/>
            <w:tcBorders>
              <w:right w:val="single" w:sz="8" w:color="auto"/>
            </w:tcBorders>
          </w:tcPr>
          <w:p>
            <w:pPr>
              <w:spacing w:after="0"/>
              <w:rPr>
                <w:sz w:val="17"/>
                <w:szCs w:val="17"/>
                <w:color w:val="auto"/>
              </w:rPr>
            </w:pPr>
          </w:p>
        </w:tc>
        <w:tc>
          <w:tcPr>
            <w:tcW w:w="900" w:type="dxa"/>
            <w:vAlign w:val="bottom"/>
            <w:vMerge w:val="restart"/>
          </w:tcPr>
          <w:p>
            <w:pPr>
              <w:ind w:left="740"/>
              <w:spacing w:after="0"/>
              <w:rPr>
                <w:sz w:val="20"/>
                <w:szCs w:val="20"/>
                <w:color w:val="auto"/>
              </w:rPr>
            </w:pPr>
            <w:r>
              <w:rPr>
                <w:rFonts w:ascii="Arial" w:cs="Arial" w:eastAsia="Arial" w:hAnsi="Arial"/>
                <w:sz w:val="16"/>
                <w:szCs w:val="16"/>
                <w:color w:val="auto"/>
                <w:w w:val="87"/>
              </w:rPr>
              <w:t>—</w:t>
            </w:r>
          </w:p>
        </w:tc>
        <w:tc>
          <w:tcPr>
            <w:tcW w:w="12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580" w:type="dxa"/>
            <w:vAlign w:val="bottom"/>
            <w:vMerge w:val="restart"/>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60" w:type="dxa"/>
            <w:vAlign w:val="bottom"/>
            <w:vMerge w:val="restart"/>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restart"/>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740" w:type="dxa"/>
            <w:vAlign w:val="bottom"/>
            <w:vMerge w:val="restart"/>
          </w:tcPr>
          <w:p>
            <w:pPr>
              <w:ind w:left="56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960" w:type="dxa"/>
            <w:vAlign w:val="bottom"/>
            <w:tcBorders>
              <w:bottom w:val="single" w:sz="8" w:color="auto"/>
            </w:tcBorders>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8"/>
              </w:rPr>
              <w:t>Balance at March 31, 2021</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1,185,613</w:t>
            </w:r>
          </w:p>
        </w:tc>
        <w:tc>
          <w:tcPr>
            <w:tcW w:w="260" w:type="dxa"/>
            <w:vAlign w:val="bottom"/>
            <w:tcBorders>
              <w:right w:val="single" w:sz="8" w:color="auto"/>
            </w:tcBorders>
            <w:shd w:val="clear" w:color="auto" w:fill="CFF0FC"/>
          </w:tcPr>
          <w:p>
            <w:pPr>
              <w:spacing w:after="0"/>
              <w:rPr>
                <w:sz w:val="19"/>
                <w:szCs w:val="19"/>
                <w:color w:val="auto"/>
              </w:rPr>
            </w:pP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1,185,645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Net loss prior to</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w w:val="96"/>
              </w:rPr>
              <w:t>Reorganization Transactions</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(15,040 )</w:t>
            </w:r>
          </w:p>
        </w:tc>
        <w:tc>
          <w:tcPr>
            <w:tcW w:w="114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(15,040 )</w:t>
            </w: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3"/>
              </w:rPr>
              <w:t>Other comprehensive income</w:t>
            </w:r>
          </w:p>
        </w:tc>
        <w:tc>
          <w:tcPr>
            <w:tcW w:w="9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(loss) prior to Reorganization</w:t>
            </w:r>
          </w:p>
        </w:tc>
        <w:tc>
          <w:tcPr>
            <w:tcW w:w="96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w w:val="99"/>
              </w:rPr>
              <w:t>Equity-based compensation</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prior to Reorganization</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960" w:type="dxa"/>
            <w:vAlign w:val="bottom"/>
          </w:tcPr>
          <w:p>
            <w:pPr>
              <w:jc w:val="right"/>
              <w:spacing w:after="0"/>
              <w:rPr>
                <w:sz w:val="20"/>
                <w:szCs w:val="20"/>
                <w:color w:val="auto"/>
              </w:rPr>
            </w:pPr>
            <w:r>
              <w:rPr>
                <w:rFonts w:ascii="Arial" w:cs="Arial" w:eastAsia="Arial" w:hAnsi="Arial"/>
                <w:sz w:val="16"/>
                <w:szCs w:val="16"/>
                <w:color w:val="auto"/>
              </w:rPr>
              <w:t>1,615</w:t>
            </w:r>
          </w:p>
        </w:tc>
        <w:tc>
          <w:tcPr>
            <w:tcW w:w="260" w:type="dxa"/>
            <w:vAlign w:val="bottom"/>
            <w:tcBorders>
              <w:right w:val="single" w:sz="8" w:color="auto"/>
            </w:tcBorders>
          </w:tcPr>
          <w:p>
            <w:pPr>
              <w:spacing w:after="0"/>
              <w:rPr>
                <w:sz w:val="18"/>
                <w:szCs w:val="18"/>
                <w:color w:val="auto"/>
              </w:rPr>
            </w:pPr>
          </w:p>
        </w:tc>
        <w:tc>
          <w:tcPr>
            <w:tcW w:w="114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Members' contributions prior</w:t>
            </w:r>
          </w:p>
        </w:tc>
        <w:tc>
          <w:tcPr>
            <w:tcW w:w="9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 Reorganization</w:t>
            </w:r>
          </w:p>
        </w:tc>
        <w:tc>
          <w:tcPr>
            <w:tcW w:w="96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60" w:type="dxa"/>
            <w:vAlign w:val="bottom"/>
            <w:tcBorders>
              <w:right w:val="single" w:sz="8" w:color="auto"/>
            </w:tcBorders>
            <w:shd w:val="clear" w:color="auto" w:fill="CFF0FC"/>
          </w:tcPr>
          <w:p>
            <w:pPr>
              <w:spacing w:after="0"/>
              <w:rPr>
                <w:sz w:val="19"/>
                <w:szCs w:val="19"/>
                <w:color w:val="auto"/>
              </w:rPr>
            </w:pP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Distributions to members</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prior to Reorganization</w:t>
            </w:r>
          </w:p>
        </w:tc>
        <w:tc>
          <w:tcPr>
            <w:tcW w:w="12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(3,328 )</w:t>
            </w:r>
          </w:p>
        </w:tc>
        <w:tc>
          <w:tcPr>
            <w:tcW w:w="1140" w:type="dxa"/>
            <w:vAlign w:val="bottom"/>
            <w:gridSpan w:val="3"/>
            <w:vMerge w:val="restart"/>
          </w:tcPr>
          <w:p>
            <w:pPr>
              <w:ind w:left="7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60" w:type="dxa"/>
            <w:vAlign w:val="bottom"/>
            <w:vMerge w:val="restart"/>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restart"/>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gridSpan w:val="3"/>
            <w:vMerge w:val="restart"/>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(3,328 )</w:t>
            </w:r>
          </w:p>
        </w:tc>
        <w:tc>
          <w:tcPr>
            <w:tcW w:w="0" w:type="dxa"/>
            <w:vAlign w:val="bottom"/>
          </w:tcPr>
          <w:p>
            <w:pPr>
              <w:spacing w:after="0"/>
              <w:rPr>
                <w:sz w:val="1"/>
                <w:szCs w:val="1"/>
                <w:color w:val="auto"/>
              </w:rPr>
            </w:pP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Borders>
              <w:right w:val="single" w:sz="8" w:color="auto"/>
            </w:tcBorders>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1,174,360</w:t>
            </w:r>
          </w:p>
        </w:tc>
        <w:tc>
          <w:tcPr>
            <w:tcW w:w="260" w:type="dxa"/>
            <w:vAlign w:val="bottom"/>
            <w:tcBorders>
              <w:right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1,174,373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Net loss prior to</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w w:val="96"/>
              </w:rPr>
              <w:t>Reorganization Transactions</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(7,816 )</w:t>
            </w:r>
          </w:p>
        </w:tc>
        <w:tc>
          <w:tcPr>
            <w:tcW w:w="114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(7,816 )</w:t>
            </w: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prior to Reorganization</w:t>
            </w:r>
          </w:p>
        </w:tc>
        <w:tc>
          <w:tcPr>
            <w:tcW w:w="96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(2 )</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w w:val="99"/>
              </w:rPr>
              <w:t>Equity-based compensation</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prior to Reorganization</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(278 )</w:t>
            </w:r>
          </w:p>
        </w:tc>
        <w:tc>
          <w:tcPr>
            <w:tcW w:w="114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Distributions to members</w:t>
            </w:r>
          </w:p>
        </w:tc>
        <w:tc>
          <w:tcPr>
            <w:tcW w:w="9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prior to Reorganization</w:t>
            </w:r>
          </w:p>
        </w:tc>
        <w:tc>
          <w:tcPr>
            <w:tcW w:w="96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(3,811 )</w:t>
            </w:r>
          </w:p>
        </w:tc>
        <w:tc>
          <w:tcPr>
            <w:tcW w:w="1140" w:type="dxa"/>
            <w:vAlign w:val="bottom"/>
            <w:gridSpan w:val="3"/>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(3,811 )</w:t>
            </w:r>
          </w:p>
        </w:tc>
        <w:tc>
          <w:tcPr>
            <w:tcW w:w="0" w:type="dxa"/>
            <w:vAlign w:val="bottom"/>
          </w:tcPr>
          <w:p>
            <w:pPr>
              <w:spacing w:after="0"/>
              <w:rPr>
                <w:sz w:val="1"/>
                <w:szCs w:val="1"/>
                <w:color w:val="auto"/>
              </w:rPr>
            </w:pPr>
          </w:p>
        </w:tc>
      </w:tr>
      <w:tr>
        <w:trPr>
          <w:trHeight w:val="202"/>
        </w:trPr>
        <w:tc>
          <w:tcPr>
            <w:tcW w:w="2000" w:type="dxa"/>
            <w:vAlign w:val="bottom"/>
          </w:tcPr>
          <w:p>
            <w:pPr>
              <w:ind w:left="20"/>
              <w:spacing w:after="0"/>
              <w:rPr>
                <w:sz w:val="20"/>
                <w:szCs w:val="20"/>
                <w:color w:val="auto"/>
              </w:rPr>
            </w:pPr>
            <w:r>
              <w:rPr>
                <w:rFonts w:ascii="Arial" w:cs="Arial" w:eastAsia="Arial" w:hAnsi="Arial"/>
                <w:sz w:val="16"/>
                <w:szCs w:val="16"/>
                <w:b w:val="1"/>
                <w:bCs w:val="1"/>
                <w:color w:val="auto"/>
                <w:w w:val="97"/>
              </w:rPr>
              <w:t>Impacts of Reorganization</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Transactions and Intial</w:t>
            </w:r>
          </w:p>
        </w:tc>
        <w:tc>
          <w:tcPr>
            <w:tcW w:w="9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Public Offering IPO</w:t>
            </w:r>
          </w:p>
        </w:tc>
        <w:tc>
          <w:tcPr>
            <w:tcW w:w="9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Initial effect of the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Reorganization Transactions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and IPO on noncontrolling</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61,262,05</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80" w:type="dxa"/>
            <w:vAlign w:val="bottom"/>
            <w:shd w:val="clear" w:color="auto" w:fill="CFF0FC"/>
          </w:tcPr>
          <w:p>
            <w:pPr>
              <w:spacing w:after="0"/>
              <w:rPr>
                <w:sz w:val="19"/>
                <w:szCs w:val="19"/>
                <w:color w:val="auto"/>
              </w:rPr>
            </w:pPr>
          </w:p>
        </w:tc>
        <w:tc>
          <w:tcPr>
            <w:tcW w:w="10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7"/>
              </w:rPr>
              <w:t>(1,162,455 )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72,871,733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351,075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593,861</w:t>
            </w: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(217,446 )</w:t>
            </w: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w w:val="92"/>
              </w:rPr>
              <w:t>Issuance of Class A Common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w w:val="99"/>
              </w:rPr>
              <w:t>Stock in IPO, net of costs of</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rPr>
              <w:t>$11,394</w:t>
            </w:r>
          </w:p>
        </w:tc>
        <w:tc>
          <w:tcPr>
            <w:tcW w:w="1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17,888,888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441,400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441,418</w:t>
            </w:r>
          </w:p>
        </w:tc>
        <w:tc>
          <w:tcPr>
            <w:tcW w:w="80" w:type="dxa"/>
            <w:vAlign w:val="bottom"/>
          </w:tcPr>
          <w:p>
            <w:pPr>
              <w:spacing w:after="0"/>
              <w:rPr>
                <w:sz w:val="18"/>
                <w:szCs w:val="18"/>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Definitive</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Healthcare Corp. shares in</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connection with the IPO</w:t>
            </w:r>
          </w:p>
        </w:tc>
        <w:tc>
          <w:tcPr>
            <w:tcW w:w="180" w:type="dxa"/>
            <w:vAlign w:val="bottom"/>
            <w:shd w:val="clear" w:color="auto" w:fill="CFF0FC"/>
          </w:tcPr>
          <w:p>
            <w:pPr>
              <w:spacing w:after="0"/>
              <w:rPr>
                <w:sz w:val="19"/>
                <w:szCs w:val="19"/>
                <w:color w:val="auto"/>
              </w:rPr>
            </w:pPr>
          </w:p>
        </w:tc>
        <w:tc>
          <w:tcPr>
            <w:tcW w:w="10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(2,497,288 )</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(3 )</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(63,209 )</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(63,212 )</w:t>
            </w: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Repurchase of Definitive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OpCo units in connection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rPr>
              <w:t>with IPO</w:t>
            </w:r>
          </w:p>
        </w:tc>
        <w:tc>
          <w:tcPr>
            <w:tcW w:w="1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(1,169,378 )</w:t>
            </w:r>
          </w:p>
        </w:tc>
        <w:tc>
          <w:tcPr>
            <w:tcW w:w="30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(29,600 )</w:t>
            </w: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(29,600 )</w:t>
            </w: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subsequent to</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Reorganization Transactions</w:t>
            </w:r>
          </w:p>
        </w:tc>
        <w:tc>
          <w:tcPr>
            <w:tcW w:w="180" w:type="dxa"/>
            <w:vAlign w:val="bottom"/>
            <w:shd w:val="clear" w:color="auto" w:fill="CFF0FC"/>
          </w:tcPr>
          <w:p>
            <w:pPr>
              <w:spacing w:after="0"/>
              <w:rPr>
                <w:sz w:val="19"/>
                <w:szCs w:val="19"/>
                <w:color w:val="auto"/>
              </w:rPr>
            </w:pPr>
          </w:p>
        </w:tc>
        <w:tc>
          <w:tcPr>
            <w:tcW w:w="10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(7,978 )</w:t>
            </w: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(5,172 )</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(13,150 )</w:t>
            </w: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w w:val="93"/>
              </w:rPr>
              <w:t>Other comprehensive income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w w:val="92"/>
              </w:rPr>
              <w:t>subsequent to Reorganization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rPr>
              <w:t>Transactions and IPO</w:t>
            </w:r>
          </w:p>
        </w:tc>
        <w:tc>
          <w:tcPr>
            <w:tcW w:w="1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tcPr>
          <w:p>
            <w:pPr>
              <w:ind w:left="260"/>
              <w:spacing w:after="0"/>
              <w:rPr>
                <w:sz w:val="20"/>
                <w:szCs w:val="20"/>
                <w:color w:val="auto"/>
              </w:rPr>
            </w:pPr>
            <w:r>
              <w:rPr>
                <w:rFonts w:ascii="Arial" w:cs="Arial" w:eastAsia="Arial" w:hAnsi="Arial"/>
                <w:sz w:val="16"/>
                <w:szCs w:val="16"/>
                <w:color w:val="auto"/>
                <w:w w:val="89"/>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Equity-based compensation</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subsequent to Reorganization</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6"/>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9"/>
                <w:szCs w:val="19"/>
                <w:color w:val="auto"/>
              </w:rPr>
            </w:pPr>
          </w:p>
        </w:tc>
        <w:tc>
          <w:tcPr>
            <w:tcW w:w="10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1,574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2,595</w:t>
            </w:r>
          </w:p>
        </w:tc>
        <w:tc>
          <w:tcPr>
            <w:tcW w:w="80" w:type="dxa"/>
            <w:vAlign w:val="bottom"/>
            <w:shd w:val="clear" w:color="auto" w:fill="CFF0FC"/>
          </w:tcPr>
          <w:p>
            <w:pPr>
              <w:spacing w:after="0"/>
              <w:rPr>
                <w:sz w:val="19"/>
                <w:szCs w:val="19"/>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w w:val="97"/>
              </w:rPr>
              <w:t>Forfeited unvested incentive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(72,149 )</w:t>
            </w:r>
          </w:p>
        </w:tc>
        <w:tc>
          <w:tcPr>
            <w:tcW w:w="30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3"/>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 incentive units</w:t>
            </w:r>
          </w:p>
        </w:tc>
        <w:tc>
          <w:tcPr>
            <w:tcW w:w="180" w:type="dxa"/>
            <w:vAlign w:val="bottom"/>
            <w:shd w:val="clear" w:color="auto" w:fill="CFF0FC"/>
          </w:tcPr>
          <w:p>
            <w:pPr>
              <w:spacing w:after="0"/>
              <w:rPr>
                <w:sz w:val="20"/>
                <w:szCs w:val="20"/>
                <w:color w:val="auto"/>
              </w:rPr>
            </w:pPr>
          </w:p>
        </w:tc>
        <w:tc>
          <w:tcPr>
            <w:tcW w:w="10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(467 )</w:t>
            </w:r>
          </w:p>
        </w:tc>
        <w:tc>
          <w:tcPr>
            <w:tcW w:w="2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20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 at September 30,</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FF0FC"/>
              <w:right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60,020,52</w:t>
            </w: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23"/>
        </w:trPr>
        <w:tc>
          <w:tcPr>
            <w:tcW w:w="200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88,263,333</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200"/>
              <w:spacing w:after="0"/>
              <w:rPr>
                <w:sz w:val="20"/>
                <w:szCs w:val="20"/>
                <w:color w:val="auto"/>
              </w:rPr>
            </w:pPr>
            <w:r>
              <w:rPr>
                <w:rFonts w:ascii="Arial" w:cs="Arial" w:eastAsia="Arial" w:hAnsi="Arial"/>
                <w:sz w:val="16"/>
                <w:szCs w:val="16"/>
                <w:color w:val="auto"/>
                <w:w w:val="87"/>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700,773</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w w:val="99"/>
              </w:rPr>
              <w:t>(7,978 ) $</w:t>
            </w:r>
          </w:p>
        </w:tc>
        <w:tc>
          <w:tcPr>
            <w:tcW w:w="440" w:type="dxa"/>
            <w:vAlign w:val="bottom"/>
          </w:tcPr>
          <w:p>
            <w:pPr>
              <w:ind w:left="260"/>
              <w:spacing w:after="0"/>
              <w:rPr>
                <w:sz w:val="20"/>
                <w:szCs w:val="20"/>
                <w:color w:val="auto"/>
              </w:rPr>
            </w:pPr>
            <w:r>
              <w:rPr>
                <w:rFonts w:ascii="Arial" w:cs="Arial" w:eastAsia="Arial" w:hAnsi="Arial"/>
                <w:sz w:val="16"/>
                <w:szCs w:val="16"/>
                <w:color w:val="auto"/>
                <w:w w:val="89"/>
              </w:rPr>
              <w:t>24</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590,177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$ 1,283,084</w:t>
            </w:r>
          </w:p>
        </w:tc>
        <w:tc>
          <w:tcPr>
            <w:tcW w:w="8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-304800</wp:posOffset>
            </wp:positionV>
            <wp:extent cx="1371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-304800</wp:posOffset>
            </wp:positionV>
            <wp:extent cx="768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-304800</wp:posOffset>
            </wp:positionV>
            <wp:extent cx="5969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-304800</wp:posOffset>
            </wp:positionV>
            <wp:extent cx="514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-304800</wp:posOffset>
            </wp:positionV>
            <wp:extent cx="1289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-304800</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-304800</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-304800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-304800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-304800</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DEFINITIVE HEALTHCARE CORP.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MEMBERS’ EQUITY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thousands, except number of shares)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Members'</w:t>
      </w:r>
    </w:p>
    <w:p>
      <w:pPr>
        <w:spacing w:after="0" w:line="40"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19685</wp:posOffset>
            </wp:positionV>
            <wp:extent cx="284607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p>
      <w:pPr>
        <w:spacing w:after="0" w:line="57"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Balance at December 31, 2019</w:t>
      </w:r>
    </w:p>
    <w:p>
      <w:pPr>
        <w:spacing w:after="0" w:line="7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23495</wp:posOffset>
            </wp:positionV>
            <wp:extent cx="284607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Equity-based compensation</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40640</wp:posOffset>
            </wp:positionV>
            <wp:extent cx="284607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23495</wp:posOffset>
            </wp:positionV>
            <wp:extent cx="284607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Equity-based compensation</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40640</wp:posOffset>
            </wp:positionV>
            <wp:extent cx="284607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23495</wp:posOffset>
            </wp:positionV>
            <wp:extent cx="284607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0"/>
                    </a:xfrm>
                    <a:prstGeom prst="rect">
                      <a:avLst/>
                    </a:prstGeom>
                    <a:noFill/>
                  </pic:spPr>
                </pic:pic>
              </a:graphicData>
            </a:graphic>
          </wp:anchor>
        </w:drawing>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Equity-based compensation</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Balance at September 30, 2020</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864" w:hanging="864"/>
        <w:spacing w:after="0"/>
        <w:tabs>
          <w:tab w:leader="none" w:pos="864" w:val="left"/>
        </w:tabs>
        <w:numPr>
          <w:ilvl w:val="0"/>
          <w:numId w:val="5"/>
        </w:numPr>
        <w:rPr>
          <w:rFonts w:ascii="Arial" w:cs="Arial" w:eastAsia="Arial" w:hAnsi="Arial"/>
          <w:sz w:val="17"/>
          <w:szCs w:val="17"/>
          <w:color w:val="auto"/>
        </w:rPr>
      </w:pPr>
      <w:r>
        <w:rPr>
          <w:rFonts w:ascii="Arial" w:cs="Arial" w:eastAsia="Arial" w:hAnsi="Arial"/>
          <w:sz w:val="17"/>
          <w:szCs w:val="17"/>
          <w:color w:val="auto"/>
        </w:rPr>
        <w:t>1,216,240</w:t>
      </w:r>
    </w:p>
    <w:p>
      <w:pPr>
        <w:spacing w:after="0" w:line="61" w:lineRule="exact"/>
        <w:rPr>
          <w:rFonts w:ascii="Arial" w:cs="Arial" w:eastAsia="Arial" w:hAnsi="Arial"/>
          <w:sz w:val="17"/>
          <w:szCs w:val="17"/>
          <w:color w:val="auto"/>
        </w:rPr>
      </w:pPr>
    </w:p>
    <w:p>
      <w:pPr>
        <w:ind w:left="1024"/>
        <w:spacing w:after="0"/>
        <w:rPr>
          <w:rFonts w:ascii="Arial" w:cs="Arial" w:eastAsia="Arial" w:hAnsi="Arial"/>
          <w:sz w:val="17"/>
          <w:szCs w:val="17"/>
          <w:color w:val="auto"/>
        </w:rPr>
      </w:pPr>
      <w:r>
        <w:rPr>
          <w:rFonts w:ascii="Arial" w:cs="Arial" w:eastAsia="Arial" w:hAnsi="Arial"/>
          <w:sz w:val="15"/>
          <w:szCs w:val="15"/>
          <w:color w:val="auto"/>
        </w:rPr>
        <w:t>(13,835 )</w:t>
      </w:r>
    </w:p>
    <w:p>
      <w:pPr>
        <w:spacing w:after="0" w:line="84" w:lineRule="exact"/>
        <w:rPr>
          <w:rFonts w:ascii="Arial" w:cs="Arial" w:eastAsia="Arial" w:hAnsi="Arial"/>
          <w:sz w:val="17"/>
          <w:szCs w:val="17"/>
          <w:color w:val="auto"/>
        </w:rPr>
      </w:pPr>
    </w:p>
    <w:p>
      <w:pPr>
        <w:ind w:left="1304"/>
        <w:spacing w:after="0"/>
        <w:rPr>
          <w:rFonts w:ascii="Arial" w:cs="Arial" w:eastAsia="Arial" w:hAnsi="Arial"/>
          <w:sz w:val="17"/>
          <w:szCs w:val="17"/>
          <w:color w:val="auto"/>
        </w:rPr>
      </w:pPr>
      <w:r>
        <w:rPr>
          <w:rFonts w:ascii="Arial" w:cs="Arial" w:eastAsia="Arial" w:hAnsi="Arial"/>
          <w:sz w:val="18"/>
          <w:szCs w:val="18"/>
          <w:color w:val="auto"/>
        </w:rPr>
        <w:t>430</w:t>
      </w:r>
    </w:p>
    <w:p>
      <w:pPr>
        <w:spacing w:after="0" w:line="63" w:lineRule="exact"/>
        <w:rPr>
          <w:sz w:val="20"/>
          <w:szCs w:val="20"/>
          <w:color w:val="auto"/>
        </w:rPr>
      </w:pPr>
    </w:p>
    <w:p>
      <w:pPr>
        <w:ind w:left="864" w:hanging="864"/>
        <w:spacing w:after="0"/>
        <w:tabs>
          <w:tab w:leader="none" w:pos="864" w:val="left"/>
        </w:tabs>
        <w:numPr>
          <w:ilvl w:val="0"/>
          <w:numId w:val="6"/>
        </w:numPr>
        <w:rPr>
          <w:rFonts w:ascii="Arial" w:cs="Arial" w:eastAsia="Arial" w:hAnsi="Arial"/>
          <w:sz w:val="17"/>
          <w:szCs w:val="17"/>
          <w:color w:val="auto"/>
        </w:rPr>
      </w:pPr>
      <w:r>
        <w:rPr>
          <w:rFonts w:ascii="Arial" w:cs="Arial" w:eastAsia="Arial" w:hAnsi="Arial"/>
          <w:sz w:val="17"/>
          <w:szCs w:val="17"/>
          <w:color w:val="auto"/>
        </w:rPr>
        <w:t>1,202,835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11315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11315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82" w:lineRule="exact"/>
        <w:rPr>
          <w:sz w:val="20"/>
          <w:szCs w:val="20"/>
          <w:color w:val="auto"/>
        </w:rPr>
      </w:pPr>
    </w:p>
    <w:p>
      <w:pPr>
        <w:jc w:val="right"/>
        <w:ind w:right="2379"/>
        <w:spacing w:after="0"/>
        <w:rPr>
          <w:sz w:val="20"/>
          <w:szCs w:val="20"/>
          <w:color w:val="auto"/>
        </w:rPr>
      </w:pPr>
      <w:r>
        <w:rPr>
          <w:rFonts w:ascii="Arial" w:cs="Arial" w:eastAsia="Arial" w:hAnsi="Arial"/>
          <w:sz w:val="18"/>
          <w:szCs w:val="18"/>
          <w:color w:val="auto"/>
        </w:rPr>
        <w:t>(11,498 )</w:t>
      </w:r>
    </w:p>
    <w:p>
      <w:pPr>
        <w:spacing w:after="0" w:line="50" w:lineRule="exact"/>
        <w:rPr>
          <w:sz w:val="20"/>
          <w:szCs w:val="20"/>
          <w:color w:val="auto"/>
        </w:rPr>
      </w:pPr>
    </w:p>
    <w:p>
      <w:pPr>
        <w:jc w:val="right"/>
        <w:ind w:right="2379"/>
        <w:spacing w:after="0"/>
        <w:rPr>
          <w:sz w:val="20"/>
          <w:szCs w:val="20"/>
          <w:color w:val="auto"/>
        </w:rPr>
      </w:pPr>
      <w:r>
        <w:rPr>
          <w:rFonts w:ascii="Arial" w:cs="Arial" w:eastAsia="Arial" w:hAnsi="Arial"/>
          <w:sz w:val="18"/>
          <w:szCs w:val="18"/>
          <w:color w:val="auto"/>
        </w:rPr>
        <w:t>(48 )</w:t>
      </w:r>
    </w:p>
    <w:p>
      <w:pPr>
        <w:spacing w:after="0" w:line="50"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442</w:t>
      </w:r>
    </w:p>
    <w:p>
      <w:pPr>
        <w:spacing w:after="0" w:line="63" w:lineRule="exact"/>
        <w:rPr>
          <w:sz w:val="20"/>
          <w:szCs w:val="20"/>
          <w:color w:val="auto"/>
        </w:rPr>
      </w:pPr>
    </w:p>
    <w:p>
      <w:pPr>
        <w:ind w:left="864" w:hanging="864"/>
        <w:spacing w:after="0"/>
        <w:tabs>
          <w:tab w:leader="none" w:pos="864" w:val="left"/>
        </w:tabs>
        <w:numPr>
          <w:ilvl w:val="0"/>
          <w:numId w:val="7"/>
        </w:numPr>
        <w:rPr>
          <w:rFonts w:ascii="Arial" w:cs="Arial" w:eastAsia="Arial" w:hAnsi="Arial"/>
          <w:sz w:val="17"/>
          <w:szCs w:val="17"/>
          <w:color w:val="auto"/>
        </w:rPr>
      </w:pPr>
      <w:r>
        <w:rPr>
          <w:rFonts w:ascii="Arial" w:cs="Arial" w:eastAsia="Arial" w:hAnsi="Arial"/>
          <w:sz w:val="17"/>
          <w:szCs w:val="17"/>
          <w:color w:val="auto"/>
        </w:rPr>
        <w:t>1,191,731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11315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11315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82" w:lineRule="exact"/>
        <w:rPr>
          <w:sz w:val="20"/>
          <w:szCs w:val="20"/>
          <w:color w:val="auto"/>
        </w:rPr>
      </w:pPr>
    </w:p>
    <w:p>
      <w:pPr>
        <w:jc w:val="right"/>
        <w:ind w:right="2379"/>
        <w:spacing w:after="0"/>
        <w:rPr>
          <w:sz w:val="20"/>
          <w:szCs w:val="20"/>
          <w:color w:val="auto"/>
        </w:rPr>
      </w:pPr>
      <w:r>
        <w:rPr>
          <w:rFonts w:ascii="Arial" w:cs="Arial" w:eastAsia="Arial" w:hAnsi="Arial"/>
          <w:sz w:val="18"/>
          <w:szCs w:val="18"/>
          <w:color w:val="auto"/>
        </w:rPr>
        <w:t>(9,962 )</w:t>
      </w:r>
    </w:p>
    <w:p>
      <w:pPr>
        <w:spacing w:after="0" w:line="50" w:lineRule="exact"/>
        <w:rPr>
          <w:sz w:val="20"/>
          <w:szCs w:val="20"/>
          <w:color w:val="auto"/>
        </w:rPr>
      </w:pPr>
    </w:p>
    <w:p>
      <w:pPr>
        <w:jc w:val="right"/>
        <w:ind w:right="2379"/>
        <w:spacing w:after="0"/>
        <w:rPr>
          <w:sz w:val="20"/>
          <w:szCs w:val="20"/>
          <w:color w:val="auto"/>
        </w:rPr>
      </w:pPr>
      <w:r>
        <w:rPr>
          <w:rFonts w:ascii="Arial" w:cs="Arial" w:eastAsia="Arial" w:hAnsi="Arial"/>
          <w:sz w:val="18"/>
          <w:szCs w:val="18"/>
          <w:color w:val="auto"/>
        </w:rPr>
        <w:t>(2,059 )</w:t>
      </w:r>
    </w:p>
    <w:p>
      <w:pPr>
        <w:spacing w:after="0" w:line="50"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458</w:t>
      </w:r>
    </w:p>
    <w:p>
      <w:pPr>
        <w:spacing w:after="0" w:line="63" w:lineRule="exact"/>
        <w:rPr>
          <w:sz w:val="20"/>
          <w:szCs w:val="20"/>
          <w:color w:val="auto"/>
        </w:rPr>
      </w:pPr>
    </w:p>
    <w:p>
      <w:pPr>
        <w:ind w:left="864" w:hanging="864"/>
        <w:spacing w:after="0"/>
        <w:tabs>
          <w:tab w:leader="none" w:pos="864" w:val="left"/>
        </w:tabs>
        <w:numPr>
          <w:ilvl w:val="0"/>
          <w:numId w:val="8"/>
        </w:numPr>
        <w:rPr>
          <w:rFonts w:ascii="Arial" w:cs="Arial" w:eastAsia="Arial" w:hAnsi="Arial"/>
          <w:sz w:val="17"/>
          <w:szCs w:val="17"/>
          <w:color w:val="auto"/>
        </w:rPr>
      </w:pPr>
      <w:r>
        <w:rPr>
          <w:rFonts w:ascii="Arial" w:cs="Arial" w:eastAsia="Arial" w:hAnsi="Arial"/>
          <w:sz w:val="17"/>
          <w:szCs w:val="17"/>
          <w:color w:val="auto"/>
        </w:rPr>
        <w:t>1,180,168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11315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11315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456"/>
            <w:col w:w="4043"/>
          </w:cols>
          <w:pgMar w:left="1440" w:top="405" w:right="1440" w:bottom="1440" w:gutter="0" w:footer="0" w:header="0"/>
          <w:type w:val="continuous"/>
        </w:sectPr>
      </w:pP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condensed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type w:val="continuous"/>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DEFINITIVE HEALTHCARE CORP.</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(46,493 )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(35,295 )</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43,498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Amortization of deferred contract costs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Noncash paid in kind interest expense</w:t>
            </w:r>
          </w:p>
        </w:tc>
        <w:tc>
          <w:tcPr>
            <w:tcW w:w="2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Provision for doubtful accounts receivable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9,843</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Changes in fair value of contingent consideration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(561 )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Deferred contract costs</w:t>
            </w:r>
          </w:p>
        </w:tc>
        <w:tc>
          <w:tcPr>
            <w:tcW w:w="2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(9,043 )</w:t>
            </w: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(4,341 )</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Accounts payable, accrued expenses and other current liabilities</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(3,965 )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(7,283 )</w:t>
            </w:r>
          </w:p>
        </w:tc>
        <w:tc>
          <w:tcPr>
            <w:tcW w:w="0" w:type="dxa"/>
            <w:vAlign w:val="bottom"/>
          </w:tcPr>
          <w:p>
            <w:pPr>
              <w:spacing w:after="0"/>
              <w:rPr>
                <w:sz w:val="1"/>
                <w:szCs w:val="1"/>
                <w:color w:val="auto"/>
              </w:rPr>
            </w:pPr>
          </w:p>
        </w:tc>
      </w:tr>
      <w:tr>
        <w:trPr>
          <w:trHeight w:val="250"/>
        </w:trPr>
        <w:tc>
          <w:tcPr>
            <w:tcW w:w="702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(5,662 )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(1,061 )</w:t>
            </w: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(6,935 )</w:t>
            </w: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20" w:type="dxa"/>
            <w:vAlign w:val="bottom"/>
            <w:vMerge w:val="continue"/>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(5,662 )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(7,996 )</w:t>
            </w:r>
          </w:p>
        </w:tc>
        <w:tc>
          <w:tcPr>
            <w:tcW w:w="0" w:type="dxa"/>
            <w:vAlign w:val="bottom"/>
          </w:tcPr>
          <w:p>
            <w:pPr>
              <w:spacing w:after="0"/>
              <w:rPr>
                <w:sz w:val="1"/>
                <w:szCs w:val="1"/>
                <w:color w:val="auto"/>
              </w:rPr>
            </w:pPr>
          </w:p>
        </w:tc>
      </w:tr>
      <w:tr>
        <w:trPr>
          <w:trHeight w:val="243"/>
        </w:trPr>
        <w:tc>
          <w:tcPr>
            <w:tcW w:w="70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Proceeds from term loan</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Repayments of term loans</w:t>
            </w:r>
          </w:p>
        </w:tc>
        <w:tc>
          <w:tcPr>
            <w:tcW w:w="2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(472,742 )</w:t>
            </w: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(3,375 )</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Payment of contingent consideration</w:t>
            </w:r>
          </w:p>
        </w:tc>
        <w:tc>
          <w:tcPr>
            <w:tcW w:w="2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(1,500 )</w:t>
            </w: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Payment of debt issuance costs</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(3,511 )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Proceeds from equity offering, net of underwriting discounts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452,812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Repurchase of outstanding equity / Definitive OpCo units</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(92,812 )</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Payments of IPO issuance costs</w:t>
            </w:r>
          </w:p>
        </w:tc>
        <w:tc>
          <w:tcPr>
            <w:tcW w:w="2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(5,913 )</w:t>
            </w: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Member contributions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Member distributions</w:t>
            </w:r>
          </w:p>
        </w:tc>
        <w:tc>
          <w:tcPr>
            <w:tcW w:w="2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(7,139 )</w:t>
            </w: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(2,109 )</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149,695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165,026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70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189,752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360"/>
              <w:spacing w:after="0"/>
              <w:rPr>
                <w:sz w:val="20"/>
                <w:szCs w:val="20"/>
                <w:color w:val="auto"/>
              </w:rPr>
            </w:pPr>
            <w:r>
              <w:rPr>
                <w:rFonts w:ascii="Arial" w:cs="Arial" w:eastAsia="Arial" w:hAnsi="Arial"/>
                <w:sz w:val="18"/>
                <w:szCs w:val="18"/>
                <w:color w:val="auto"/>
              </w:rPr>
              <w:t>Net decrease in accrued capital expenditures, including purchases of data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(3,020 )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360"/>
              <w:spacing w:after="0"/>
              <w:rPr>
                <w:sz w:val="20"/>
                <w:szCs w:val="20"/>
                <w:color w:val="auto"/>
              </w:rPr>
            </w:pPr>
            <w:r>
              <w:rPr>
                <w:rFonts w:ascii="Arial" w:cs="Arial" w:eastAsia="Arial" w:hAnsi="Arial"/>
                <w:sz w:val="18"/>
                <w:szCs w:val="18"/>
                <w:color w:val="auto"/>
              </w:rPr>
              <w:t>Increase in unpaid public offering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5,481</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5375275</wp:posOffset>
            </wp:positionH>
            <wp:positionV relativeFrom="paragraph">
              <wp:posOffset>-4453890</wp:posOffset>
            </wp:positionV>
            <wp:extent cx="1714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-4453890</wp:posOffset>
            </wp:positionV>
            <wp:extent cx="603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-3972560</wp:posOffset>
            </wp:positionV>
            <wp:extent cx="19685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-3972560</wp:posOffset>
            </wp:positionV>
            <wp:extent cx="8572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5375275</wp:posOffset>
            </wp:positionH>
            <wp:positionV relativeFrom="paragraph">
              <wp:posOffset>-1822450</wp:posOffset>
            </wp:positionV>
            <wp:extent cx="1714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-1822450</wp:posOffset>
            </wp:positionV>
            <wp:extent cx="603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5375275</wp:posOffset>
            </wp:positionH>
            <wp:positionV relativeFrom="paragraph">
              <wp:posOffset>-1156335</wp:posOffset>
            </wp:positionV>
            <wp:extent cx="171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5375275</wp:posOffset>
            </wp:positionH>
            <wp:positionV relativeFrom="paragraph">
              <wp:posOffset>-1139190</wp:posOffset>
            </wp:positionV>
            <wp:extent cx="171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-1156335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-1139190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35"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Definitive Healthcare Corp. (together with its subsidiaries, “Definitive Healthcare” or the “Company”), through its operating subsidiary, AIDH TopCo, LLC (“Definitive OpCo”), provides comprehensive and up-to-date hospital and healthcare-related information and insight across the entire healthcare continuum via a multi-tenant database platform which combines proprietary and public sources to deliver insights. Unless otherwise stated, references to “we,” “us,” “our,” “Definitive Healthcare” and the “Company” refer (1) prior to the consummation of the Reorganization Transactions (as defined below), to Definitive OpCo and its consolidated subsidiaries, and (2) after the consummation of the Reorganization Transactions, to Definitive Healthcare Corp. and its consolidated subsidiaries.</w:t>
      </w:r>
    </w:p>
    <w:p>
      <w:pPr>
        <w:spacing w:after="0" w:line="83"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 xml:space="preserve">On October 27, 2020, Definitive OpCo completed the purchase of all of the outstanding shares of Monocl Holding Company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Definitive Healthcare Corp. was formed on May 5, 2021 as a Delaware corporation for the purposes of facilitating an initial public offering (“IPO”) and other related transactions in order to carry on the business of Definitive OpCo, a Delaware limited liability company. Following consummation of the Reorganization Transactions, Definitive OpCo became an indirect subsidiary of Definitive Healthcare Corp.</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Framingham, MA, with three other offices in the United States and one in Sweden.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On September 17, 2021, Definitive Healthcare completed its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 Definitive Healthcare used proceeds from the IPO to (i) acquire 14,222,222 newly issued limited liability company interests (“LLC Units”) from Definitive OpCo; (ii) purchase 1,169,378 LLC Units from certain holders of LLC Units prior to the IPO; and (iii) repurchase 2,497,288 shares of Class A Common Stock received by the former shareholders of certain Blocker Companies (as defined below).</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Entities treated as corporations for U.S. tax purposes that hold LLC Units (individually, a “Blocker Company” and collectively, the "Blocker Companies") each merged with a merger subsidiary and subsequently merged into Definitive Healthcare Corp. Except for AIDH Management Holdings, LLC, members of AIDH Management Holdings, LLC, received a number of shares of Definitive Healthcare Corp. Class B Common Stock with no par value per share. The total shares of Class B Common Stock outstanding is equal to the number of LLC Units outstanding. AIDH Management Holdings, LLC is a special purpose investment vehicle through which certain persons, primarily our employees and certain legacy investors, indirectly hold interests in Definitive OpCo; the holders of interests in AIDH Management Holdings, LLC received a number of shares of Definitive Healthcare Corp. Class B Common Stock.</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Definitive Healthcare Corp. entered into a tax receivable agreement. See 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September 30, 2021 and for the three and nine months ended September 30, 2021 and 2020 are unaudited. Amounts for the period from January 1, 2020 through September 15, 2021 presented in the condensed consolidated</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1" w:name="page12"/>
    <w:bookmarkEnd w:id="11"/>
    <w:p>
      <w:pPr>
        <w:ind w:right="240"/>
        <w:spacing w:after="0" w:line="319" w:lineRule="auto"/>
        <w:rPr>
          <w:sz w:val="20"/>
          <w:szCs w:val="20"/>
          <w:color w:val="auto"/>
        </w:rPr>
      </w:pPr>
      <w:r>
        <w:rPr>
          <w:rFonts w:ascii="Arial" w:cs="Arial" w:eastAsia="Arial" w:hAnsi="Arial"/>
          <w:sz w:val="16"/>
          <w:szCs w:val="16"/>
          <w:color w:val="auto"/>
        </w:rPr>
        <w:t>financial statements and notes to the condensed consolidated financial statements herein represent the historical operations of Definitive OpCo. The amounts as of September 30, 2021 and for the period from September 16, 2021 reflect the consolidated operations of Definitive Healthcare Corp. and its consolidated subsidiaries.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4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the Consolidated Financial Statements in the Company’s final prospectus dated September 14, 2021 filed with the Securities and Exchange Commission ("SEC") pursuant to Rule 424(b) of the Securities Act of 1933, as amended, on September 16, 2021 (the "IPO Prospectus") for the Company’s accounting policies and estimates.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3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has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as an Emerging Growth Company as defined by the Jumpstart Our Business Startups Act of 2012 (the "JOBS Act"), can elect to take the extended transition period and adopt the standard following guidance for non-public entities which are a part of the “all other” category.</w:t>
      </w:r>
    </w:p>
    <w:p>
      <w:pPr>
        <w:spacing w:after="0" w:line="70" w:lineRule="exact"/>
        <w:rPr>
          <w:sz w:val="20"/>
          <w:szCs w:val="20"/>
          <w:color w:val="auto"/>
        </w:rPr>
      </w:pPr>
    </w:p>
    <w:p>
      <w:pPr>
        <w:ind w:right="80" w:firstLine="554"/>
        <w:spacing w:after="0" w:line="287" w:lineRule="auto"/>
        <w:rPr>
          <w:sz w:val="20"/>
          <w:szCs w:val="20"/>
          <w:color w:val="auto"/>
        </w:rPr>
      </w:pPr>
      <w:r>
        <w:rPr>
          <w:rFonts w:ascii="Arial" w:cs="Arial" w:eastAsia="Arial" w:hAnsi="Arial"/>
          <w:sz w:val="17"/>
          <w:szCs w:val="17"/>
          <w:color w:val="auto"/>
        </w:rPr>
        <w:t>The Company will adopt ASU 2016-02 and all associated amendments on the first day of fiscal 2022 (January 1st, 2022) which includes, as allowed under ASU 2018-11, the ability to recognize a cumulative-effect adjustment through opening retained earnings as of the date of adoption. The Company will elect the package of practical expedients permitted under the transition guidance, which allows the Company to carryforward its historical assessments of: (1) whether contracts are or contain leases, (2) lease classification and (3) initial direct costs. The Company will not elect the hindsight practical expedient. The Company will elect to use the practical expedient that allows the combination of lease and non-lease contract components in all of its underlying asset categories. The Company will also elect a policy of not recording leases on its condensed consolidated balance sheets when the leases have a term of 12 months or less and the Company is not reasonably certain to elect an option to renew the leased asset. The Company is currently evaluating the impact the adoption of this standard will have on its consolidated financial statements.</w:t>
      </w:r>
    </w:p>
    <w:p>
      <w:pPr>
        <w:spacing w:after="0" w:line="74"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This standard is intended to improve financial reporting by requiring earlier recognition of credit losses on financing receivables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83"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position or results of operation.</w:t>
      </w:r>
    </w:p>
    <w:p>
      <w:pPr>
        <w:spacing w:after="0" w:line="62"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 may</w:t>
      </w:r>
      <w:r>
        <w:rPr>
          <w:rFonts w:ascii="Arial" w:cs="Arial" w:eastAsia="Arial" w:hAnsi="Arial"/>
          <w:sz w:val="16"/>
          <w:szCs w:val="16"/>
          <w:i w:val="1"/>
          <w:iCs w:val="1"/>
          <w:color w:val="auto"/>
        </w:rPr>
        <w:t xml:space="preserve"> </w:t>
      </w:r>
      <w:r>
        <w:rPr>
          <w:rFonts w:ascii="Arial" w:cs="Arial" w:eastAsia="Arial" w:hAnsi="Arial"/>
          <w:sz w:val="16"/>
          <w:szCs w:val="16"/>
          <w:color w:val="auto"/>
        </w:rPr>
        <w:t>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ind w:right="60"/>
        <w:spacing w:after="0" w:line="293" w:lineRule="auto"/>
        <w:rPr>
          <w:sz w:val="20"/>
          <w:szCs w:val="20"/>
          <w:color w:val="auto"/>
        </w:rPr>
      </w:pPr>
      <w:r>
        <w:rPr>
          <w:rFonts w:ascii="Arial" w:cs="Arial" w:eastAsia="Arial" w:hAnsi="Arial"/>
          <w:sz w:val="18"/>
          <w:szCs w:val="18"/>
          <w:color w:val="auto"/>
        </w:rPr>
        <w:t>rate reform if certain criteria are met. The Company is evaluating the impact that the amendments of this standard would have on its consolidated financial position or results of operations upon adoption.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On October 27, 2020, the Company completed the purchase of all outstanding shares of Monocl for a total estimated consideration of $46.3 million, and up to $60 million, summarized as follows: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8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18,307</w:t>
            </w:r>
          </w:p>
        </w:tc>
        <w:tc>
          <w:tcPr>
            <w:tcW w:w="100" w:type="dxa"/>
            <w:vAlign w:val="bottom"/>
            <w:shd w:val="clear" w:color="auto" w:fill="CFF0FC"/>
          </w:tcPr>
          <w:p>
            <w:pPr>
              <w:spacing w:after="0"/>
              <w:rPr>
                <w:sz w:val="22"/>
                <w:szCs w:val="22"/>
                <w:color w:val="auto"/>
              </w:rPr>
            </w:pPr>
          </w:p>
        </w:tc>
      </w:tr>
      <w:tr>
        <w:trPr>
          <w:trHeight w:val="250"/>
        </w:trPr>
        <w:tc>
          <w:tcPr>
            <w:tcW w:w="8260" w:type="dxa"/>
            <w:vAlign w:val="bottom"/>
          </w:tcPr>
          <w:p>
            <w:pPr>
              <w:spacing w:after="0"/>
              <w:rPr>
                <w:sz w:val="20"/>
                <w:szCs w:val="20"/>
                <w:color w:val="auto"/>
              </w:rPr>
            </w:pPr>
            <w:r>
              <w:rPr>
                <w:rFonts w:ascii="Arial" w:cs="Arial" w:eastAsia="Arial" w:hAnsi="Arial"/>
                <w:sz w:val="18"/>
                <w:szCs w:val="18"/>
                <w:color w:val="auto"/>
              </w:rPr>
              <w:t>Equity issuance</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25,439</w:t>
            </w:r>
          </w:p>
        </w:tc>
        <w:tc>
          <w:tcPr>
            <w:tcW w:w="100" w:type="dxa"/>
            <w:vAlign w:val="bottom"/>
          </w:tcPr>
          <w:p>
            <w:pPr>
              <w:spacing w:after="0"/>
              <w:rPr>
                <w:sz w:val="21"/>
                <w:szCs w:val="21"/>
                <w:color w:val="auto"/>
              </w:rPr>
            </w:pPr>
          </w:p>
        </w:tc>
      </w:tr>
      <w:tr>
        <w:trPr>
          <w:trHeight w:val="257"/>
        </w:trPr>
        <w:tc>
          <w:tcPr>
            <w:tcW w:w="8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6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82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100" w:type="dxa"/>
            <w:vAlign w:val="bottom"/>
          </w:tcPr>
          <w:p>
            <w:pPr>
              <w:spacing w:after="0"/>
              <w:rPr>
                <w:sz w:val="22"/>
                <w:szCs w:val="22"/>
                <w:color w:val="auto"/>
              </w:rPr>
            </w:pPr>
          </w:p>
        </w:tc>
      </w:tr>
      <w:tr>
        <w:trPr>
          <w:trHeight w:val="20"/>
        </w:trPr>
        <w:tc>
          <w:tcPr>
            <w:tcW w:w="8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57" w:lineRule="exact"/>
        <w:rPr>
          <w:sz w:val="20"/>
          <w:szCs w:val="20"/>
          <w:color w:val="auto"/>
        </w:rPr>
      </w:pPr>
    </w:p>
    <w:p>
      <w:pPr>
        <w:ind w:right="820" w:firstLine="554"/>
        <w:spacing w:after="0" w:line="293" w:lineRule="auto"/>
        <w:rPr>
          <w:sz w:val="20"/>
          <w:szCs w:val="20"/>
          <w:color w:val="auto"/>
        </w:rPr>
      </w:pPr>
      <w:r>
        <w:rPr>
          <w:rFonts w:ascii="Arial" w:cs="Arial" w:eastAsia="Arial" w:hAnsi="Arial"/>
          <w:sz w:val="18"/>
          <w:szCs w:val="18"/>
          <w:color w:val="auto"/>
        </w:rPr>
        <w:t>The assets acquired and liabilities assumed were recorded at their estimated fair values and the results of operations were included in the Company’s consolidated results as of the acquisition date.</w:t>
      </w:r>
    </w:p>
    <w:p>
      <w:pPr>
        <w:spacing w:after="0" w:line="6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The contingent consideration performance targets for earnout payments are based on the contractual Annual Recurring Revenue (“ARR”) for each of the twelve-month periods ending December 31, 2020 and December 31, 2021. Potential payouts range from $0 to $5.0 million and $0 to $10.0 million based on ARR of below $8.5 million to over $9.5 million and below $12.0 million to over $16.0 million for each of the twelve-month periods ending December 31, 2020 and 2021, respectively.</w:t>
      </w:r>
    </w:p>
    <w:p>
      <w:pPr>
        <w:spacing w:after="0" w:line="104" w:lineRule="exact"/>
        <w:rPr>
          <w:sz w:val="20"/>
          <w:szCs w:val="20"/>
          <w:color w:val="auto"/>
        </w:rPr>
      </w:pPr>
    </w:p>
    <w:p>
      <w:pPr>
        <w:ind w:right="280" w:firstLine="563"/>
        <w:spacing w:after="0" w:line="287" w:lineRule="auto"/>
        <w:rPr>
          <w:sz w:val="20"/>
          <w:szCs w:val="20"/>
          <w:color w:val="auto"/>
        </w:rPr>
      </w:pPr>
      <w:r>
        <w:rPr>
          <w:rFonts w:ascii="Arial" w:cs="Arial" w:eastAsia="Arial" w:hAnsi="Arial"/>
          <w:sz w:val="18"/>
          <w:szCs w:val="18"/>
          <w:color w:val="auto"/>
        </w:rPr>
        <w:t xml:space="preserve">The Company estimated the fair value of contingent consideration to be $6.9 million and $5.2 million at September 30, 2021 and December 31, 2020, respectively, based on the achievement of 2020 ARR targets and the probability of achieving the 2021 targets. Refer to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w:t>
      </w:r>
    </w:p>
    <w:p>
      <w:pPr>
        <w:spacing w:after="0" w:line="6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The purchase accounting for the Monocl acquisition was finalized as of December 31, 2020. The fair values assigned to tangible and identified intangible assets acquired and liabilities assumed were based on management's estimates and assumptions. The final allocation of the acquisition-date fair values of assets and liabilities as of December 31, 2020, was as follows: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8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October 27,</w:t>
            </w:r>
          </w:p>
        </w:tc>
      </w:tr>
      <w:tr>
        <w:trPr>
          <w:trHeight w:val="198"/>
        </w:trPr>
        <w:tc>
          <w:tcPr>
            <w:tcW w:w="8280" w:type="dxa"/>
            <w:vAlign w:val="bottom"/>
          </w:tcPr>
          <w:p>
            <w:pPr>
              <w:spacing w:after="0"/>
              <w:rPr>
                <w:sz w:val="20"/>
                <w:szCs w:val="20"/>
                <w:color w:val="auto"/>
              </w:rPr>
            </w:pPr>
            <w:r>
              <w:rPr>
                <w:rFonts w:ascii="Arial" w:cs="Arial" w:eastAsia="Arial" w:hAnsi="Arial"/>
                <w:sz w:val="14"/>
                <w:szCs w:val="14"/>
                <w:b w:val="1"/>
                <w:bCs w:val="1"/>
                <w:color w:val="auto"/>
              </w:rPr>
              <w:t>Preliminary allocation:</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FF0FC"/>
          </w:tcPr>
          <w:p>
            <w:pPr>
              <w:spacing w:after="0"/>
              <w:rPr>
                <w:sz w:val="21"/>
                <w:szCs w:val="21"/>
                <w:color w:val="auto"/>
              </w:rPr>
            </w:pPr>
          </w:p>
        </w:tc>
      </w:tr>
      <w:tr>
        <w:trPr>
          <w:trHeight w:val="250"/>
        </w:trPr>
        <w:tc>
          <w:tcPr>
            <w:tcW w:w="828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r>
      <w:tr>
        <w:trPr>
          <w:trHeight w:val="263"/>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22"/>
                <w:szCs w:val="22"/>
                <w:color w:val="auto"/>
              </w:rPr>
            </w:pPr>
          </w:p>
        </w:tc>
      </w:tr>
      <w:tr>
        <w:trPr>
          <w:trHeight w:val="250"/>
        </w:trPr>
        <w:tc>
          <w:tcPr>
            <w:tcW w:w="8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r>
      <w:tr>
        <w:trPr>
          <w:trHeight w:val="263"/>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18,900</w:t>
            </w:r>
          </w:p>
        </w:tc>
        <w:tc>
          <w:tcPr>
            <w:tcW w:w="100" w:type="dxa"/>
            <w:vAlign w:val="bottom"/>
            <w:shd w:val="clear" w:color="auto" w:fill="CFF0FC"/>
          </w:tcPr>
          <w:p>
            <w:pPr>
              <w:spacing w:after="0"/>
              <w:rPr>
                <w:sz w:val="22"/>
                <w:szCs w:val="22"/>
                <w:color w:val="auto"/>
              </w:rPr>
            </w:pPr>
          </w:p>
        </w:tc>
      </w:tr>
      <w:tr>
        <w:trPr>
          <w:trHeight w:val="250"/>
        </w:trPr>
        <w:tc>
          <w:tcPr>
            <w:tcW w:w="82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(2,137 )</w:t>
            </w:r>
          </w:p>
        </w:tc>
      </w:tr>
      <w:tr>
        <w:trPr>
          <w:trHeight w:val="257"/>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(2,884 )</w:t>
            </w:r>
          </w:p>
        </w:tc>
      </w:tr>
      <w:tr>
        <w:trPr>
          <w:trHeight w:val="250"/>
        </w:trPr>
        <w:tc>
          <w:tcPr>
            <w:tcW w:w="8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tcBorders>
              <w:top w:val="single" w:sz="8" w:color="CFF0FC"/>
            </w:tcBorders>
          </w:tcPr>
          <w:p>
            <w:pPr>
              <w:spacing w:after="0"/>
              <w:rPr>
                <w:sz w:val="21"/>
                <w:szCs w:val="21"/>
                <w:color w:val="auto"/>
              </w:rPr>
            </w:pPr>
          </w:p>
        </w:tc>
      </w:tr>
      <w:tr>
        <w:trPr>
          <w:trHeight w:val="257"/>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8280" w:type="dxa"/>
            <w:vAlign w:val="bottom"/>
          </w:tcPr>
          <w:p>
            <w:pPr>
              <w:ind w:left="280"/>
              <w:spacing w:after="0"/>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100" w:type="dxa"/>
            <w:vAlign w:val="bottom"/>
          </w:tcPr>
          <w:p>
            <w:pPr>
              <w:spacing w:after="0"/>
              <w:rPr>
                <w:sz w:val="22"/>
                <w:szCs w:val="22"/>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-527685</wp:posOffset>
            </wp:positionV>
            <wp:extent cx="6032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87"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The Company recorded goodwill, customer relationships, data, technology, and trademark of $28.3 million, $11.9 million, $3.0 million, $2.6 million and $1.4 million, respectively, as of the acquisition date. The goodwill recognized includes the fair value of the assembled workforce and any expected synergies gained through the acquisition. The Company determined that the goodwill resulting from the acquisition is not deductible for tax purposes.</w:t>
      </w:r>
    </w:p>
    <w:p>
      <w:pPr>
        <w:spacing w:after="0" w:line="40" w:lineRule="exact"/>
        <w:rPr>
          <w:sz w:val="20"/>
          <w:szCs w:val="20"/>
          <w:color w:val="auto"/>
        </w:rPr>
      </w:pPr>
    </w:p>
    <w:p>
      <w:pPr>
        <w:ind w:right="460" w:firstLine="509"/>
        <w:spacing w:after="0" w:line="324"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and are amortized using the annual pattern of cash flows (economic value method) over the estimated 14-year life of this asset.</w:t>
      </w:r>
    </w:p>
    <w:p>
      <w:pPr>
        <w:spacing w:after="0" w:line="39" w:lineRule="exact"/>
        <w:rPr>
          <w:sz w:val="20"/>
          <w:szCs w:val="20"/>
          <w:color w:val="auto"/>
        </w:rPr>
      </w:pPr>
    </w:p>
    <w:p>
      <w:pPr>
        <w:ind w:right="240" w:firstLine="509"/>
        <w:spacing w:after="0" w:line="272" w:lineRule="auto"/>
        <w:rPr>
          <w:sz w:val="20"/>
          <w:szCs w:val="20"/>
          <w:color w:val="auto"/>
        </w:rPr>
      </w:pPr>
      <w:r>
        <w:rPr>
          <w:rFonts w:ascii="Arial" w:cs="Arial" w:eastAsia="Arial" w:hAnsi="Arial"/>
          <w:sz w:val="18"/>
          <w:szCs w:val="18"/>
          <w:color w:val="auto"/>
        </w:rPr>
        <w:t>Data includes proprietary data on medical and scientific expert personnel. 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trademark represents the estimated fair value of the registered trademarks, logo and domain names associated with the Monocl</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3" w:name="page14"/>
    <w:bookmarkEnd w:id="13"/>
    <w:p>
      <w:pPr>
        <w:ind w:right="320"/>
        <w:spacing w:after="0" w:line="293" w:lineRule="auto"/>
        <w:rPr>
          <w:sz w:val="20"/>
          <w:szCs w:val="20"/>
          <w:color w:val="auto"/>
        </w:rPr>
      </w:pPr>
      <w:r>
        <w:rPr>
          <w:rFonts w:ascii="Arial" w:cs="Arial" w:eastAsia="Arial" w:hAnsi="Arial"/>
          <w:sz w:val="18"/>
          <w:szCs w:val="18"/>
          <w:color w:val="auto"/>
        </w:rPr>
        <w:t>corporate brand. The data, technology, and trademark are amortized using the straight-line method over the estimated remaining useful life of 3 years, 8 years, and 19 years, respectively.</w:t>
      </w:r>
    </w:p>
    <w:p>
      <w:pPr>
        <w:spacing w:after="0" w:line="62"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income (loss).</w:t>
      </w:r>
    </w:p>
    <w:p>
      <w:pPr>
        <w:spacing w:after="0" w:line="62" w:lineRule="exact"/>
        <w:rPr>
          <w:sz w:val="20"/>
          <w:szCs w:val="20"/>
          <w:color w:val="auto"/>
        </w:rPr>
      </w:pPr>
    </w:p>
    <w:p>
      <w:pPr>
        <w:ind w:right="300" w:firstLine="509"/>
        <w:spacing w:after="0" w:line="359" w:lineRule="auto"/>
        <w:rPr>
          <w:sz w:val="20"/>
          <w:szCs w:val="20"/>
          <w:color w:val="auto"/>
        </w:rPr>
      </w:pPr>
      <w:r>
        <w:rPr>
          <w:rFonts w:ascii="Arial" w:cs="Arial" w:eastAsia="Arial" w:hAnsi="Arial"/>
          <w:sz w:val="16"/>
          <w:szCs w:val="16"/>
          <w:color w:val="auto"/>
        </w:rPr>
        <w:t>The results of operations of Monocl are included in the Company’s consolidated results since the date of acquisition. The revenue and net loss of Monocl reflected in the consolidated statements of operations for the year ended December 31, 2020 were $1.2 million and $1.6 million, respectively.</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Supplementary Data:</w:t>
      </w:r>
    </w:p>
    <w:p>
      <w:pPr>
        <w:spacing w:after="0" w:line="200" w:lineRule="exact"/>
        <w:rPr>
          <w:sz w:val="20"/>
          <w:szCs w:val="20"/>
          <w:color w:val="auto"/>
        </w:rPr>
      </w:pP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September 30, 2020</w:t>
            </w:r>
          </w:p>
        </w:tc>
      </w:tr>
      <w:tr>
        <w:trPr>
          <w:trHeight w:val="203"/>
        </w:trPr>
        <w:tc>
          <w:tcPr>
            <w:tcW w:w="8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91,750</w:t>
            </w:r>
          </w:p>
        </w:tc>
        <w:tc>
          <w:tcPr>
            <w:tcW w:w="120" w:type="dxa"/>
            <w:vAlign w:val="bottom"/>
            <w:shd w:val="clear" w:color="auto" w:fill="CFF0FC"/>
          </w:tcPr>
          <w:p>
            <w:pPr>
              <w:spacing w:after="0"/>
              <w:rPr>
                <w:sz w:val="21"/>
                <w:szCs w:val="21"/>
                <w:color w:val="auto"/>
              </w:rPr>
            </w:pPr>
          </w:p>
        </w:tc>
      </w:tr>
      <w:tr>
        <w:trPr>
          <w:trHeight w:val="243"/>
        </w:trPr>
        <w:tc>
          <w:tcPr>
            <w:tcW w:w="81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(43,763 )</w:t>
            </w:r>
          </w:p>
        </w:tc>
      </w:tr>
    </w:tbl>
    <w:p>
      <w:pPr>
        <w:spacing w:after="0" w:line="121"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The pro forma net loss includes adjustments to amortization expense for the valuation of other intangible assets of $0.6 million and interest expense related to incremental borrowings used to finance the transaction of $0.8 million and for the nine months ended September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35"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62"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three and nine months ended September 30, 2021 and 2020, respectively:</w:t>
      </w: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r>
      <w:tr>
        <w:trPr>
          <w:trHeight w:val="202"/>
        </w:trPr>
        <w:tc>
          <w:tcPr>
            <w:tcW w:w="49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Platform subscriptions</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118,545</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83,814</w:t>
            </w:r>
          </w:p>
        </w:tc>
        <w:tc>
          <w:tcPr>
            <w:tcW w:w="100" w:type="dxa"/>
            <w:vAlign w:val="bottom"/>
            <w:shd w:val="clear" w:color="auto" w:fill="CFF0FC"/>
          </w:tcPr>
          <w:p>
            <w:pPr>
              <w:spacing w:after="0"/>
              <w:rPr>
                <w:sz w:val="21"/>
                <w:szCs w:val="21"/>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r>
      <w:tr>
        <w:trPr>
          <w:trHeight w:val="297"/>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154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1543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contract costs</w:t>
            </w:r>
          </w:p>
        </w:tc>
        <w:tc>
          <w:tcPr>
            <w:tcW w:w="30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revenues</w:t>
            </w: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70,179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580"/>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40" w:type="dxa"/>
            <w:vAlign w:val="bottom"/>
          </w:tcPr>
          <w:p>
            <w:pPr>
              <w:jc w:val="right"/>
              <w:ind w:right="15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activity impacting the deferred contract costs for the nine months ended September 30, 2021 and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is presented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5"/>
                <w:szCs w:val="15"/>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Costs amortized</w:t>
            </w:r>
          </w:p>
        </w:tc>
        <w:tc>
          <w:tcPr>
            <w:tcW w:w="2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(3,195 )</w:t>
            </w:r>
          </w:p>
        </w:tc>
        <w:tc>
          <w:tcPr>
            <w:tcW w:w="2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(1,670 )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Additional amounts deferred</w:t>
            </w:r>
          </w:p>
        </w:tc>
        <w:tc>
          <w:tcPr>
            <w:tcW w:w="24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24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Current</w:t>
            </w:r>
          </w:p>
        </w:tc>
        <w:tc>
          <w:tcPr>
            <w:tcW w:w="2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5,359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Non-current</w:t>
            </w:r>
          </w:p>
        </w:tc>
        <w:tc>
          <w:tcPr>
            <w:tcW w:w="24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14,747</w:t>
            </w:r>
          </w:p>
        </w:tc>
        <w:tc>
          <w:tcPr>
            <w:tcW w:w="2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vMerge w:val="restart"/>
          </w:tcPr>
          <w:p>
            <w:pPr>
              <w:jc w:val="right"/>
              <w:ind w:right="159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-1479550</wp:posOffset>
            </wp:positionV>
            <wp:extent cx="1797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-1479550</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-810895</wp:posOffset>
            </wp:positionV>
            <wp:extent cx="1797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-810895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31" w:lineRule="exact"/>
        <w:rPr>
          <w:sz w:val="20"/>
          <w:szCs w:val="20"/>
          <w:color w:val="auto"/>
        </w:rPr>
      </w:pPr>
    </w:p>
    <w:p>
      <w:pPr>
        <w:ind w:right="40" w:firstLine="509"/>
        <w:spacing w:after="0" w:line="324" w:lineRule="auto"/>
        <w:rPr>
          <w:sz w:val="20"/>
          <w:szCs w:val="20"/>
          <w:color w:val="auto"/>
        </w:rPr>
      </w:pPr>
      <w:r>
        <w:rPr>
          <w:rFonts w:ascii="Arial" w:cs="Arial" w:eastAsia="Arial" w:hAnsi="Arial"/>
          <w:sz w:val="18"/>
          <w:szCs w:val="18"/>
          <w:color w:val="auto"/>
        </w:rPr>
        <w:t>A summary of the activity impacting deferred revenue balances during the nine months ended September 30, 2021 and for the year ended December 31, 2020 is presented below:</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6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46,125</w:t>
            </w:r>
          </w:p>
        </w:tc>
        <w:tc>
          <w:tcPr>
            <w:tcW w:w="120" w:type="dxa"/>
            <w:vAlign w:val="bottom"/>
            <w:shd w:val="clear" w:color="auto" w:fill="CFF0FC"/>
          </w:tcPr>
          <w:p>
            <w:pPr>
              <w:spacing w:after="0"/>
              <w:rPr>
                <w:sz w:val="21"/>
                <w:szCs w:val="21"/>
                <w:color w:val="auto"/>
              </w:rPr>
            </w:pPr>
          </w:p>
        </w:tc>
      </w:tr>
      <w:tr>
        <w:trPr>
          <w:trHeight w:val="250"/>
        </w:trPr>
        <w:tc>
          <w:tcPr>
            <w:tcW w:w="6700" w:type="dxa"/>
            <w:vAlign w:val="bottom"/>
          </w:tcPr>
          <w:p>
            <w:pPr>
              <w:spacing w:after="0"/>
              <w:rPr>
                <w:sz w:val="20"/>
                <w:szCs w:val="20"/>
                <w:color w:val="auto"/>
              </w:rPr>
            </w:pPr>
            <w:r>
              <w:rPr>
                <w:rFonts w:ascii="Arial" w:cs="Arial" w:eastAsia="Arial" w:hAnsi="Arial"/>
                <w:sz w:val="18"/>
                <w:szCs w:val="18"/>
                <w:color w:val="auto"/>
              </w:rPr>
              <w:t>Revenue recognized</w:t>
            </w:r>
          </w:p>
        </w:tc>
        <w:tc>
          <w:tcPr>
            <w:tcW w:w="2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(119,841 )</w:t>
            </w:r>
          </w:p>
        </w:tc>
        <w:tc>
          <w:tcPr>
            <w:tcW w:w="2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(118,317 )</w:t>
            </w:r>
          </w:p>
        </w:tc>
      </w:tr>
      <w:tr>
        <w:trPr>
          <w:trHeight w:val="257"/>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Additional amounts deferred</w:t>
            </w:r>
          </w:p>
        </w:tc>
        <w:tc>
          <w:tcPr>
            <w:tcW w:w="2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128,820</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133,392</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70,179</w:t>
            </w:r>
          </w:p>
        </w:tc>
        <w:tc>
          <w:tcPr>
            <w:tcW w:w="2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20" w:type="dxa"/>
            <w:vAlign w:val="bottom"/>
          </w:tcPr>
          <w:p>
            <w:pPr>
              <w:spacing w:after="0"/>
              <w:rPr>
                <w:sz w:val="22"/>
                <w:szCs w:val="22"/>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-193675</wp:posOffset>
            </wp:positionV>
            <wp:extent cx="17145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5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128,653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114,284</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Non-current</w:t>
            </w:r>
          </w:p>
        </w:tc>
        <w:tc>
          <w:tcPr>
            <w:tcW w:w="23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58,250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6"/>
        </w:trPr>
        <w:tc>
          <w:tcPr>
            <w:tcW w:w="580" w:type="dxa"/>
            <w:vAlign w:val="bottom"/>
          </w:tcPr>
          <w:p>
            <w:pPr>
              <w:spacing w:after="0"/>
              <w:rPr>
                <w:sz w:val="24"/>
                <w:szCs w:val="24"/>
                <w:color w:val="auto"/>
              </w:rPr>
            </w:pPr>
          </w:p>
        </w:tc>
        <w:tc>
          <w:tcPr>
            <w:tcW w:w="44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207,553</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172,534</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8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5. Accounts Receivable</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5000" w:type="dxa"/>
            <w:vAlign w:val="bottom"/>
            <w:gridSpan w:val="2"/>
          </w:tcPr>
          <w:p>
            <w:pPr>
              <w:ind w:left="520"/>
              <w:spacing w:after="0"/>
              <w:rPr>
                <w:sz w:val="20"/>
                <w:szCs w:val="20"/>
                <w:color w:val="auto"/>
              </w:rPr>
            </w:pPr>
            <w:r>
              <w:rPr>
                <w:rFonts w:ascii="Arial" w:cs="Arial" w:eastAsia="Arial" w:hAnsi="Arial"/>
                <w:sz w:val="18"/>
                <w:szCs w:val="18"/>
                <w:color w:val="auto"/>
              </w:rPr>
              <w:t>Accounts receivable consisted of the following:</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Unbilled receivable</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420" w:type="dxa"/>
            <w:vAlign w:val="bottom"/>
            <w:shd w:val="clear" w:color="auto" w:fill="CFF0FC"/>
          </w:tcPr>
          <w:p>
            <w:pPr>
              <w:spacing w:after="0"/>
              <w:rPr>
                <w:sz w:val="22"/>
                <w:szCs w:val="22"/>
                <w:color w:val="auto"/>
              </w:rPr>
            </w:pPr>
          </w:p>
        </w:tc>
        <w:tc>
          <w:tcPr>
            <w:tcW w:w="23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28,739</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33,964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(853 )</w:t>
            </w:r>
          </w:p>
        </w:tc>
        <w:tc>
          <w:tcPr>
            <w:tcW w:w="20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(856 )</w:t>
            </w:r>
          </w:p>
        </w:tc>
        <w:tc>
          <w:tcPr>
            <w:tcW w:w="560" w:type="dxa"/>
            <w:vAlign w:val="bottom"/>
          </w:tcPr>
          <w:p>
            <w:pPr>
              <w:spacing w:after="0"/>
              <w:rPr>
                <w:sz w:val="21"/>
                <w:szCs w:val="21"/>
                <w:color w:val="auto"/>
              </w:rPr>
            </w:pPr>
          </w:p>
        </w:tc>
      </w:tr>
      <w:tr>
        <w:trPr>
          <w:trHeight w:val="296"/>
        </w:trPr>
        <w:tc>
          <w:tcPr>
            <w:tcW w:w="580" w:type="dxa"/>
            <w:vAlign w:val="bottom"/>
          </w:tcPr>
          <w:p>
            <w:pPr>
              <w:spacing w:after="0"/>
              <w:rPr>
                <w:sz w:val="24"/>
                <w:szCs w:val="24"/>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0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27,886</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33,108</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8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8"/>
        </w:trPr>
        <w:tc>
          <w:tcPr>
            <w:tcW w:w="50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consisted of the following:</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Computers and software</w:t>
            </w:r>
          </w:p>
        </w:tc>
        <w:tc>
          <w:tcPr>
            <w:tcW w:w="2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3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Construction and software development in process</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580" w:type="dxa"/>
            <w:vAlign w:val="bottom"/>
          </w:tcPr>
          <w:p>
            <w:pPr>
              <w:spacing w:after="0"/>
              <w:rPr>
                <w:sz w:val="22"/>
                <w:szCs w:val="22"/>
                <w:color w:val="auto"/>
              </w:rPr>
            </w:pPr>
          </w:p>
        </w:tc>
        <w:tc>
          <w:tcPr>
            <w:tcW w:w="4420" w:type="dxa"/>
            <w:vAlign w:val="bottom"/>
            <w:shd w:val="clear" w:color="auto" w:fill="CFF0FC"/>
          </w:tcPr>
          <w:p>
            <w:pPr>
              <w:spacing w:after="0"/>
              <w:rPr>
                <w:sz w:val="22"/>
                <w:szCs w:val="22"/>
                <w:color w:val="auto"/>
              </w:rPr>
            </w:pPr>
          </w:p>
        </w:tc>
        <w:tc>
          <w:tcPr>
            <w:tcW w:w="23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2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(4,104 )</w:t>
            </w:r>
          </w:p>
        </w:tc>
        <w:tc>
          <w:tcPr>
            <w:tcW w:w="20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(2,911 )</w:t>
            </w:r>
          </w:p>
        </w:tc>
        <w:tc>
          <w:tcPr>
            <w:tcW w:w="560" w:type="dxa"/>
            <w:vAlign w:val="bottom"/>
          </w:tcPr>
          <w:p>
            <w:pPr>
              <w:spacing w:after="0"/>
              <w:rPr>
                <w:sz w:val="21"/>
                <w:szCs w:val="21"/>
                <w:color w:val="auto"/>
              </w:rPr>
            </w:pPr>
          </w:p>
        </w:tc>
      </w:tr>
      <w:tr>
        <w:trPr>
          <w:trHeight w:val="296"/>
        </w:trPr>
        <w:tc>
          <w:tcPr>
            <w:tcW w:w="580" w:type="dxa"/>
            <w:vAlign w:val="bottom"/>
          </w:tcPr>
          <w:p>
            <w:pPr>
              <w:spacing w:after="0"/>
              <w:rPr>
                <w:sz w:val="24"/>
                <w:szCs w:val="24"/>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48"/>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80" w:type="dxa"/>
            <w:vAlign w:val="bottom"/>
          </w:tcPr>
          <w:p>
            <w:pPr>
              <w:jc w:val="right"/>
              <w:ind w:right="157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-4551045</wp:posOffset>
            </wp:positionV>
            <wp:extent cx="171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-4533900</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-4551045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-4533900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-2673985</wp:posOffset>
            </wp:positionV>
            <wp:extent cx="1797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-2656840</wp:posOffset>
            </wp:positionV>
            <wp:extent cx="179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-2673985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-2656840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-470535</wp:posOffset>
            </wp:positionV>
            <wp:extent cx="179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-454025</wp:posOffset>
            </wp:positionV>
            <wp:extent cx="1797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-470535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jc w:val="both"/>
        <w:ind w:right="520" w:firstLine="509"/>
        <w:spacing w:after="0" w:line="359" w:lineRule="auto"/>
        <w:rPr>
          <w:sz w:val="20"/>
          <w:szCs w:val="20"/>
          <w:color w:val="auto"/>
        </w:rPr>
      </w:pPr>
      <w:r>
        <w:rPr>
          <w:rFonts w:ascii="Arial" w:cs="Arial" w:eastAsia="Arial" w:hAnsi="Arial"/>
          <w:sz w:val="16"/>
          <w:szCs w:val="16"/>
          <w:color w:val="auto"/>
        </w:rPr>
        <w:t>Depreciation and amortization expense associated with property and equipment was $0.5 million and $0.3 million for the three months ended September 30, 2021 and 2020, respectively, and $1.2 million and $0.8 million for the nine months ended September 30, 2021 and 2020,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goodwill and intangible assets, as of September 30, 2021 and December 31, 2020, consist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5"/>
                <w:szCs w:val="15"/>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5"/>
                <w:szCs w:val="15"/>
                <w:color w:val="auto"/>
              </w:rPr>
            </w:pPr>
          </w:p>
        </w:tc>
      </w:tr>
      <w:tr>
        <w:trPr>
          <w:trHeight w:val="198"/>
        </w:trPr>
        <w:tc>
          <w:tcPr>
            <w:tcW w:w="5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r>
      <w:tr>
        <w:trPr>
          <w:trHeight w:val="25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7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370,030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(84,159 )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285,871</w:t>
            </w:r>
          </w:p>
        </w:tc>
        <w:tc>
          <w:tcPr>
            <w:tcW w:w="80" w:type="dxa"/>
            <w:vAlign w:val="bottom"/>
          </w:tcPr>
          <w:p>
            <w:pPr>
              <w:spacing w:after="0"/>
              <w:rPr>
                <w:sz w:val="21"/>
                <w:szCs w:val="21"/>
                <w:color w:val="auto"/>
              </w:rPr>
            </w:pPr>
          </w:p>
        </w:tc>
      </w:tr>
      <w:tr>
        <w:trPr>
          <w:trHeight w:val="263"/>
        </w:trPr>
        <w:tc>
          <w:tcPr>
            <w:tcW w:w="5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(15,648 )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35,452</w:t>
            </w:r>
          </w:p>
        </w:tc>
        <w:tc>
          <w:tcPr>
            <w:tcW w:w="80" w:type="dxa"/>
            <w:vAlign w:val="bottom"/>
            <w:shd w:val="clear" w:color="auto" w:fill="CFF0FC"/>
          </w:tcPr>
          <w:p>
            <w:pPr>
              <w:spacing w:after="0"/>
              <w:rPr>
                <w:sz w:val="22"/>
                <w:szCs w:val="22"/>
                <w:color w:val="auto"/>
              </w:rPr>
            </w:pPr>
          </w:p>
        </w:tc>
      </w:tr>
      <w:tr>
        <w:trPr>
          <w:trHeight w:val="250"/>
        </w:trPr>
        <w:tc>
          <w:tcPr>
            <w:tcW w:w="570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(4,510 )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30,990</w:t>
            </w:r>
          </w:p>
        </w:tc>
        <w:tc>
          <w:tcPr>
            <w:tcW w:w="80" w:type="dxa"/>
            <w:vAlign w:val="bottom"/>
          </w:tcPr>
          <w:p>
            <w:pPr>
              <w:spacing w:after="0"/>
              <w:rPr>
                <w:sz w:val="21"/>
                <w:szCs w:val="21"/>
                <w:color w:val="auto"/>
              </w:rPr>
            </w:pPr>
          </w:p>
        </w:tc>
      </w:tr>
      <w:tr>
        <w:trPr>
          <w:trHeight w:val="256"/>
        </w:trPr>
        <w:tc>
          <w:tcPr>
            <w:tcW w:w="5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(28,246 )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w:t>
            </w:r>
          </w:p>
        </w:tc>
        <w:tc>
          <w:tcPr>
            <w:tcW w:w="80" w:type="dxa"/>
            <w:vAlign w:val="bottom"/>
            <w:shd w:val="clear" w:color="auto" w:fill="CFF0FC"/>
          </w:tcPr>
          <w:p>
            <w:pPr>
              <w:spacing w:after="0"/>
              <w:rPr>
                <w:sz w:val="22"/>
                <w:szCs w:val="22"/>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499,286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(132,563 )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366,723</w:t>
            </w:r>
          </w:p>
        </w:tc>
        <w:tc>
          <w:tcPr>
            <w:tcW w:w="80" w:type="dxa"/>
            <w:vAlign w:val="bottom"/>
          </w:tcPr>
          <w:p>
            <w:pPr>
              <w:spacing w:after="0"/>
              <w:rPr>
                <w:sz w:val="21"/>
                <w:szCs w:val="21"/>
                <w:color w:val="auto"/>
              </w:rPr>
            </w:pPr>
          </w:p>
        </w:tc>
      </w:tr>
      <w:tr>
        <w:trPr>
          <w:trHeight w:val="257"/>
        </w:trPr>
        <w:tc>
          <w:tcPr>
            <w:tcW w:w="57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1,760,730</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(132,563 )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1,628,167</w:t>
            </w:r>
          </w:p>
        </w:tc>
        <w:tc>
          <w:tcPr>
            <w:tcW w:w="80" w:type="dxa"/>
            <w:vAlign w:val="bottom"/>
          </w:tcPr>
          <w:p>
            <w:pPr>
              <w:spacing w:after="0"/>
              <w:rPr>
                <w:sz w:val="22"/>
                <w:szCs w:val="22"/>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7"/>
        </w:trPr>
        <w:tc>
          <w:tcPr>
            <w:tcW w:w="5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5"/>
                <w:szCs w:val="15"/>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5"/>
                <w:szCs w:val="15"/>
                <w:color w:val="auto"/>
              </w:rPr>
            </w:pPr>
          </w:p>
        </w:tc>
      </w:tr>
      <w:tr>
        <w:trPr>
          <w:trHeight w:val="198"/>
        </w:trPr>
        <w:tc>
          <w:tcPr>
            <w:tcW w:w="5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r>
      <w:tr>
        <w:trPr>
          <w:trHeight w:val="25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7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370,030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(58,097 )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311,933</w:t>
            </w:r>
          </w:p>
        </w:tc>
        <w:tc>
          <w:tcPr>
            <w:tcW w:w="80" w:type="dxa"/>
            <w:vAlign w:val="bottom"/>
          </w:tcPr>
          <w:p>
            <w:pPr>
              <w:spacing w:after="0"/>
              <w:rPr>
                <w:sz w:val="21"/>
                <w:szCs w:val="21"/>
                <w:color w:val="auto"/>
              </w:rPr>
            </w:pPr>
          </w:p>
        </w:tc>
      </w:tr>
      <w:tr>
        <w:trPr>
          <w:trHeight w:val="263"/>
        </w:trPr>
        <w:tc>
          <w:tcPr>
            <w:tcW w:w="5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(10,218 )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40,882</w:t>
            </w:r>
          </w:p>
        </w:tc>
        <w:tc>
          <w:tcPr>
            <w:tcW w:w="80" w:type="dxa"/>
            <w:vAlign w:val="bottom"/>
            <w:shd w:val="clear" w:color="auto" w:fill="CFF0FC"/>
          </w:tcPr>
          <w:p>
            <w:pPr>
              <w:spacing w:after="0"/>
              <w:rPr>
                <w:sz w:val="22"/>
                <w:szCs w:val="22"/>
                <w:color w:val="auto"/>
              </w:rPr>
            </w:pPr>
          </w:p>
        </w:tc>
      </w:tr>
      <w:tr>
        <w:trPr>
          <w:trHeight w:val="250"/>
        </w:trPr>
        <w:tc>
          <w:tcPr>
            <w:tcW w:w="570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(2,952 )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32,548</w:t>
            </w:r>
          </w:p>
        </w:tc>
        <w:tc>
          <w:tcPr>
            <w:tcW w:w="80" w:type="dxa"/>
            <w:vAlign w:val="bottom"/>
          </w:tcPr>
          <w:p>
            <w:pPr>
              <w:spacing w:after="0"/>
              <w:rPr>
                <w:sz w:val="21"/>
                <w:szCs w:val="21"/>
                <w:color w:val="auto"/>
              </w:rPr>
            </w:pPr>
          </w:p>
        </w:tc>
      </w:tr>
      <w:tr>
        <w:trPr>
          <w:trHeight w:val="257"/>
        </w:trPr>
        <w:tc>
          <w:tcPr>
            <w:tcW w:w="5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(17,782 )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24,874</w:t>
            </w:r>
          </w:p>
        </w:tc>
        <w:tc>
          <w:tcPr>
            <w:tcW w:w="80" w:type="dxa"/>
            <w:vAlign w:val="bottom"/>
            <w:shd w:val="clear" w:color="auto" w:fill="CFF0FC"/>
          </w:tcPr>
          <w:p>
            <w:pPr>
              <w:spacing w:after="0"/>
              <w:rPr>
                <w:sz w:val="22"/>
                <w:szCs w:val="22"/>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7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499,286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(89,049 )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410,237</w:t>
            </w:r>
          </w:p>
        </w:tc>
        <w:tc>
          <w:tcPr>
            <w:tcW w:w="80" w:type="dxa"/>
            <w:vAlign w:val="bottom"/>
          </w:tcPr>
          <w:p>
            <w:pPr>
              <w:spacing w:after="0"/>
              <w:rPr>
                <w:sz w:val="21"/>
                <w:szCs w:val="21"/>
                <w:color w:val="auto"/>
              </w:rPr>
            </w:pPr>
          </w:p>
        </w:tc>
      </w:tr>
      <w:tr>
        <w:trPr>
          <w:trHeight w:val="257"/>
        </w:trPr>
        <w:tc>
          <w:tcPr>
            <w:tcW w:w="57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6"/>
        </w:trPr>
        <w:tc>
          <w:tcPr>
            <w:tcW w:w="570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1,760,730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(89,049 )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1,671,681</w:t>
            </w:r>
          </w:p>
        </w:tc>
        <w:tc>
          <w:tcPr>
            <w:tcW w:w="80" w:type="dxa"/>
            <w:vAlign w:val="bottom"/>
          </w:tcPr>
          <w:p>
            <w:pPr>
              <w:spacing w:after="0"/>
              <w:rPr>
                <w:sz w:val="22"/>
                <w:szCs w:val="22"/>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-2542540</wp:posOffset>
            </wp:positionV>
            <wp:extent cx="15430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-2542540</wp:posOffset>
            </wp:positionV>
            <wp:extent cx="1454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-2542540</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-2207895</wp:posOffset>
            </wp:positionV>
            <wp:extent cx="15430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-2207895</wp:posOffset>
            </wp:positionV>
            <wp:extent cx="1454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-2207895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-527685</wp:posOffset>
            </wp:positionV>
            <wp:extent cx="1543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-527685</wp:posOffset>
            </wp:positionV>
            <wp:extent cx="1454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-527685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-193675</wp:posOffset>
            </wp:positionV>
            <wp:extent cx="15430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wp:posOffset>
            </wp:positionV>
            <wp:extent cx="1454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Amortization expense associated with finite-lived intangible assets was $14.7 million and $14.6 million for the three months ended September 30, 2021 and 2020, respectively, of which $5.4 million and $4.8 million was included in cost of revenue for the respective periods. Amortization expense associated with finite-lived intangible assets was $43.5 million for both the nine months ended September 30, 2021 and 2020, of which $15.9 million and $14.3 million was included in cost of revenue for the respective periods.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changes to the carrying amount of goodwill in the nine months ended September 30, 2021.</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determined it had one reporting unit. There was no impairment of goodwill in the nine months ended September 30, 2021 or 2020.</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 as of September 30, 2021 and December 31, 2020,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Unamortized debt</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issuance costs /</w:t>
            </w:r>
          </w:p>
        </w:tc>
        <w:tc>
          <w:tcPr>
            <w:tcW w:w="220" w:type="dxa"/>
            <w:vAlign w:val="bottom"/>
          </w:tcPr>
          <w:p>
            <w:pPr>
              <w:spacing w:after="0"/>
              <w:rPr>
                <w:sz w:val="15"/>
                <w:szCs w:val="15"/>
                <w:color w:val="auto"/>
              </w:rPr>
            </w:pPr>
          </w:p>
        </w:tc>
        <w:tc>
          <w:tcPr>
            <w:tcW w:w="1120" w:type="dxa"/>
            <w:vAlign w:val="bottom"/>
          </w:tcPr>
          <w:p>
            <w:pPr>
              <w:jc w:val="right"/>
              <w:ind w:right="257"/>
              <w:spacing w:after="0"/>
              <w:rPr>
                <w:sz w:val="20"/>
                <w:szCs w:val="20"/>
                <w:color w:val="auto"/>
              </w:rPr>
            </w:pPr>
            <w:r>
              <w:rPr>
                <w:rFonts w:ascii="Arial" w:cs="Arial" w:eastAsia="Arial" w:hAnsi="Arial"/>
                <w:sz w:val="14"/>
                <w:szCs w:val="14"/>
                <w:b w:val="1"/>
                <w:bCs w:val="1"/>
                <w:color w:val="auto"/>
              </w:rPr>
              <w:t>Total debt,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7"/>
              </w:rPr>
              <w:t>financing costs</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(2,737 )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272,263</w:t>
            </w:r>
          </w:p>
        </w:tc>
        <w:tc>
          <w:tcPr>
            <w:tcW w:w="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6"/>
        </w:trPr>
        <w:tc>
          <w:tcPr>
            <w:tcW w:w="580" w:type="dxa"/>
            <w:vAlign w:val="bottom"/>
          </w:tcPr>
          <w:p>
            <w:pPr>
              <w:spacing w:after="0"/>
              <w:rPr>
                <w:sz w:val="24"/>
                <w:szCs w:val="24"/>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265,388</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-471170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-453390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Unamortized debt</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issuance costs /</w:t>
            </w:r>
          </w:p>
        </w:tc>
        <w:tc>
          <w:tcPr>
            <w:tcW w:w="220" w:type="dxa"/>
            <w:vAlign w:val="bottom"/>
          </w:tcPr>
          <w:p>
            <w:pPr>
              <w:spacing w:after="0"/>
              <w:rPr>
                <w:sz w:val="15"/>
                <w:szCs w:val="15"/>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Total debt,</w:t>
            </w:r>
          </w:p>
        </w:tc>
        <w:tc>
          <w:tcPr>
            <w:tcW w:w="100" w:type="dxa"/>
            <w:vAlign w:val="bottom"/>
          </w:tcPr>
          <w:p>
            <w:pPr>
              <w:spacing w:after="0"/>
              <w:rPr>
                <w:sz w:val="15"/>
                <w:szCs w:val="15"/>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7"/>
              </w:rPr>
              <w:t>financing costs</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7"/>
                <w:szCs w:val="17"/>
                <w:color w:val="auto"/>
              </w:rPr>
            </w:pPr>
          </w:p>
        </w:tc>
      </w:tr>
      <w:tr>
        <w:trPr>
          <w:trHeight w:val="25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2019 Term Loan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444,375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(10,865 )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433,510</w:t>
            </w:r>
          </w:p>
        </w:tc>
        <w:tc>
          <w:tcPr>
            <w:tcW w:w="100" w:type="dxa"/>
            <w:vAlign w:val="bottom"/>
            <w:shd w:val="clear" w:color="auto" w:fill="CFF0FC"/>
          </w:tcPr>
          <w:p>
            <w:pPr>
              <w:spacing w:after="0"/>
              <w:rPr>
                <w:sz w:val="21"/>
                <w:szCs w:val="2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Paid in kind interest on 2019 Term Loan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Pr>
          <w:p>
            <w:pPr>
              <w:spacing w:after="0"/>
              <w:rPr>
                <w:sz w:val="21"/>
                <w:szCs w:val="21"/>
                <w:color w:val="auto"/>
              </w:rPr>
            </w:pPr>
          </w:p>
        </w:tc>
      </w:tr>
      <w:tr>
        <w:trPr>
          <w:trHeight w:val="257"/>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Delayed Draw Term Loan</w:t>
            </w: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472,742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(10,865 )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461,877</w:t>
            </w:r>
          </w:p>
        </w:tc>
        <w:tc>
          <w:tcPr>
            <w:tcW w:w="100" w:type="dxa"/>
            <w:vAlign w:val="bottom"/>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100" w:type="dxa"/>
            <w:vAlign w:val="bottom"/>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-553720</wp:posOffset>
            </wp:positionV>
            <wp:extent cx="1543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-553720</wp:posOffset>
            </wp:positionV>
            <wp:extent cx="16319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-553720</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5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On September 17, 2021, the Company repaid the outstanding principal balances of the 2019 Term Loan, as described below, of $442.1 million, paid in kind interest, as described below, of $10.4 million, 2019 Delayed Draw Term Loan, as described below, of $17.9 million and related accrued interest payable of $4.2 million totaling $474.6 million using the proceeds from the 2021 Term Loan, as described below, of $275.0 million and net proceeds of the IPO of $199.6 million, inclusive of accrued interest expense. The effective interest rate for these loans under the 2019 Credit Agreement, as described below, was 6.25% as of the repayment date. The Company recognized a $9.9 million loss on the extinguishment of debt relating to the write off of unamortized debt issuance costs.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2021 Credit Agreement</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On September 17, 2021, Definitive Healthcare Holdings, LLC, a Delaware limited liability company ("DH Holdings"), an indirect subsidiary of Definitive Healthcare Corp.,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the 2019 Credit Agreement (as described below). Both the 2021 Term Loan and the 2021 Revolving Line of Credit mature on September 17, 2026. The 2021 Credit Facilities include customary affirmative, negative and financial covenants. The 2021 Credit Facilities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4"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$275.0 million outstanding on the 2021 Term Loan at September 30, 2021.</w:t>
      </w:r>
    </w:p>
    <w:p>
      <w:pPr>
        <w:spacing w:after="0" w:line="66"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September 30, 2021.</w:t>
      </w:r>
    </w:p>
    <w:p>
      <w:pPr>
        <w:spacing w:after="0" w:line="77"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For both the 2021 Term Loan and 2021 Revolving Line of Credit, DH Holdings may elect from several interest rate options based on the LIBO Rate or the Base Rate plus an applicable margin. The applicable margin will be based on the total leverage ratio beginning in the fiscal year ended December 31, 2022. As of September 30, 2021, the effective interest rate was 2.37%.</w:t>
      </w:r>
    </w:p>
    <w:p>
      <w:pPr>
        <w:spacing w:after="0" w:line="75"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are amortized over the life of the arrangement.</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2019 Credit Agreement</w:t>
      </w:r>
    </w:p>
    <w:p>
      <w:pPr>
        <w:spacing w:after="0" w:line="131"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On July 16, 2019, DH Holdings entered into a credit agreement (the “2019 Credit Agreement”) by and among DH Holdings, the lenders party thereto and Owl Rock Capital Corporation, as administrative agent. Under the 2019 Credit Agreement, a $450.0 million term loan facility (the “2019 Term Loan”), a $100.0 million delayed draw term loan facility (the “2019 Delayed Draw Term Loan”) and a $25.0 million revolving line of credit (the “2019 Revolving Line of Credit”) were made available to DH Holdings. The 2019 Credit Agreement included customary affirmative, negative and financial covenants. All facilities under the 2019 Credit Agreement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8" w:name="page19"/>
    <w:bookmarkEnd w:id="18"/>
    <w:p>
      <w:pPr>
        <w:jc w:val="both"/>
        <w:ind w:right="180"/>
        <w:spacing w:after="0" w:line="329" w:lineRule="auto"/>
        <w:rPr>
          <w:sz w:val="20"/>
          <w:szCs w:val="20"/>
          <w:color w:val="auto"/>
        </w:rPr>
      </w:pPr>
      <w:r>
        <w:rPr>
          <w:rFonts w:ascii="Arial" w:cs="Arial" w:eastAsia="Arial" w:hAnsi="Arial"/>
          <w:sz w:val="16"/>
          <w:szCs w:val="16"/>
          <w:color w:val="auto"/>
        </w:rPr>
        <w:t>were guaranteed, by DH Holdings’s wholly-owned domestic restricted subsidiary, Definitive Healthcare LLC, a Massachusetts limited liability company and AIDH Buyer, LLC, a Delaware limited liability company and the direct parent company of DH Holdings, and were secured by a lien on substantially all of the assets of DH Holdings and the guarantors, including a pledge of the equity of DH Holdings, in each case, subject to customary exceptions.</w:t>
      </w:r>
    </w:p>
    <w:p>
      <w:pPr>
        <w:spacing w:after="0" w:line="40"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The 2019 Term Loan had a maturity date of July 16, 2026 and was issued with an original issue discount of $11.3 million and amortized to interest expense over the term of the agreement using the effective interest method. Interest on a portion of the loan ($100.0 million of the $450.0 million principal amount) was treated as paid in kind and added to the principal balance to be paid off at maturity. DH Holdings could elect from several interest rate options based on the Eurodollar Rate or the Base Rate plus an applicable margin. Quarterly principal payments of $1.1 million began in December 2019 and were required through the 2019 Term Loan's maturity, at which time a balloon payment of $419.6 million, excluding the paid in kind portion, was due. The paid in kind interest was payable on the maturity date. 2019 Term Loan was subject to excess cash flow payments annually beginning in the fiscal year ended December 31, 2020 based on the total leverage ratio. There was $454.8 million outstanding on the 2019 Term Loan at December 31, 2020, including $10.4 million of paid in kind interest. The effective interest rate for the 2019 Term Loan and paid in kind effective interest was 6.50% at December 31, 2020.</w:t>
      </w:r>
    </w:p>
    <w:p>
      <w:pPr>
        <w:spacing w:after="0" w:line="55"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The 2019 Delayed Draw Term Loan had a maturity of July 16, 2026. The 2019 Delayed Draw Term Loan was issued with an original issue discount of $1.3 million. DH Holdings could draw down funds under the 2019 Delayed Draw Term Loan until July 16, 2021. As of December 31, 2020, DH Holdings drew $18.0 million on the 2019 Delayed Draw Term Loan, in connection with the Monocl acquisition. DH Holdings could elect from several interest rate options based on the Eurodollar Rate or the Base Rate plus an applicable margin. Quarterly in arrears through July 16, 2021, DH Holdings was required to pay the bank a fee equal to 1% per annum of the amount of the 2019 Delayed Draw Term Loan unused capacity. Quarterly principal payments began in December 2020 in quarterly installments equal to 0.25% of the aggregate amount outstanding on the 2019 Delayed Draw Term Loan, and are required through the note’s maturity, at which time a payment of the entire outstanding principal balance will be due. The outstanding balance on the 2019 Delayed Draw Term Loan was $18.0 million at December 31, 2020. The effective interest rate for the 2019 Delayed Draw Term Loan was 6.50% at December 31, 2020.</w:t>
      </w:r>
    </w:p>
    <w:p>
      <w:pPr>
        <w:spacing w:after="0" w:line="86"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2019 Revolving Line of Credit had a maturity of July 16, 2024. DH Holdings could elect from several interest rate options based on the Eurodollar Rate or the Base Rate plus an applicable margin. During 2020, $25.0 million was drawn on the 2019 Revolving Line of Credit and subsequently paid back in 2020. There was no outstanding balance on the 2019 Revolving Line of Credit at December 31, 2020. No draws on the 2019 Revolving Line of Credit were made in 2021 and the 2019 Credit Agreement was terminated on September 17, 2021.</w:t>
      </w:r>
    </w:p>
    <w:p>
      <w:pPr>
        <w:spacing w:after="0" w:line="77"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In connection with the 2019 Credit Agreement, the Company originally capitalized financing costs totaling $14.1 million, $13.4 million for the 2019 Term Loan and $0.7 million for the 2019 Revolving Line of Credit. In October 2020, the Company capitalized an additional $0.2 million in financing costs associated with the 2019 Delayed Draw Term Loan borrowing. These financing costs were recorded as deferred financing costs in the condensed consolidated balance sheets and amortized over the remaining lives of the respective borrowing using the effective interest method. The Company expensed capitalized financing costs for the 2019 Credit Agreement through interest expense of $0.4 million and $0.5 million for the three months ended September 30, 2021 and 2020, respectively, and $1.5 million for the nine months ended September 30, 2021 and 2020, respectively. At December 31, 2020, the unamortized financing costs for the 2019 Revolving Line of Credit of $0.5 million was classified in other assets in the consolidated balance sheet.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35"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75" w:lineRule="exact"/>
        <w:rPr>
          <w:sz w:val="20"/>
          <w:szCs w:val="20"/>
          <w:color w:val="auto"/>
        </w:rPr>
      </w:pPr>
    </w:p>
    <w:p>
      <w:pPr>
        <w:ind w:right="320" w:firstLine="509"/>
        <w:spacing w:after="0" w:line="329"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40" w:lineRule="exact"/>
        <w:rPr>
          <w:sz w:val="20"/>
          <w:szCs w:val="20"/>
          <w:color w:val="auto"/>
        </w:rPr>
      </w:pPr>
    </w:p>
    <w:p>
      <w:pPr>
        <w:ind w:right="260" w:firstLine="509"/>
        <w:spacing w:after="0" w:line="303"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56"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9" w:name="page20"/>
    <w:bookmarkEnd w:id="19"/>
    <w:p>
      <w:pPr>
        <w:ind w:right="40"/>
        <w:spacing w:after="0" w:line="314" w:lineRule="auto"/>
        <w:rPr>
          <w:sz w:val="20"/>
          <w:szCs w:val="20"/>
          <w:color w:val="auto"/>
        </w:rPr>
      </w:pPr>
      <w:r>
        <w:rPr>
          <w:rFonts w:ascii="Arial" w:cs="Arial" w:eastAsia="Arial" w:hAnsi="Arial"/>
          <w:sz w:val="16"/>
          <w:szCs w:val="16"/>
          <w:color w:val="auto"/>
        </w:rPr>
        <w:t>(probability-weighted) earnout payments were then calculated based on simulation results. An increase to a probability of achievement would result in a higher fair value measurement. At September 30, 2021 and December 31, 2020, the fair value of the contingent consideration was estimated at $6.9 million and $5.2 million, respectively. The current portion of the earn-out liability ($6.9 million and $1.5 million at September 30, 2021 and December 31, 2020, respectively) is included in accrued expenses and other current liabilities on the consolidated balance sheets, and the non-current portion (nil at September 30, 2021 and $3.7 million at December 31, 2020) in other long-term liabilities. A payment of $1.5 million was made in April 2021.</w:t>
      </w:r>
    </w:p>
    <w:p>
      <w:pPr>
        <w:spacing w:after="0" w:line="52" w:lineRule="exact"/>
        <w:rPr>
          <w:sz w:val="20"/>
          <w:szCs w:val="20"/>
          <w:color w:val="auto"/>
        </w:rPr>
      </w:pPr>
    </w:p>
    <w:p>
      <w:pPr>
        <w:ind w:right="180" w:firstLine="554"/>
        <w:spacing w:after="0" w:line="303" w:lineRule="auto"/>
        <w:rPr>
          <w:sz w:val="20"/>
          <w:szCs w:val="20"/>
          <w:color w:val="auto"/>
        </w:rPr>
      </w:pPr>
      <w:r>
        <w:rPr>
          <w:rFonts w:ascii="Arial" w:cs="Arial" w:eastAsia="Arial" w:hAnsi="Arial"/>
          <w:sz w:val="17"/>
          <w:szCs w:val="17"/>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September 30, 2021 and December 31, 2020:</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8"/>
        </w:trPr>
        <w:tc>
          <w:tcPr>
            <w:tcW w:w="1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7"/>
                <w:szCs w:val="17"/>
                <w:color w:val="auto"/>
              </w:rPr>
            </w:pPr>
          </w:p>
        </w:tc>
        <w:tc>
          <w:tcPr>
            <w:tcW w:w="33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Valuation Technique</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7"/>
                <w:szCs w:val="17"/>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Discount Rate</w:t>
            </w:r>
          </w:p>
        </w:tc>
        <w:tc>
          <w:tcPr>
            <w:tcW w:w="260" w:type="dxa"/>
            <w:vAlign w:val="bottom"/>
          </w:tcPr>
          <w:p>
            <w:pPr>
              <w:spacing w:after="0"/>
              <w:rPr>
                <w:sz w:val="17"/>
                <w:szCs w:val="17"/>
                <w:color w:val="auto"/>
              </w:rPr>
            </w:pPr>
          </w:p>
        </w:tc>
      </w:tr>
      <w:tr>
        <w:trPr>
          <w:trHeight w:val="250"/>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6,905</w:t>
            </w:r>
          </w:p>
        </w:tc>
        <w:tc>
          <w:tcPr>
            <w:tcW w:w="280" w:type="dxa"/>
            <w:vAlign w:val="bottom"/>
            <w:shd w:val="clear" w:color="auto" w:fill="CFF0FC"/>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Approach (Real Option Method)</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15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2.38 %</w:t>
            </w:r>
          </w:p>
        </w:tc>
      </w:tr>
    </w:tbl>
    <w:p>
      <w:pPr>
        <w:spacing w:after="0" w:line="229"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5"/>
                <w:szCs w:val="15"/>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5"/>
                <w:szCs w:val="15"/>
                <w:color w:val="auto"/>
              </w:rPr>
            </w:pPr>
          </w:p>
        </w:tc>
      </w:tr>
      <w:tr>
        <w:trPr>
          <w:trHeight w:val="198"/>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21"/>
                <w:szCs w:val="21"/>
                <w:color w:val="auto"/>
              </w:rPr>
            </w:pPr>
          </w:p>
        </w:tc>
      </w:tr>
      <w:tr>
        <w:trPr>
          <w:trHeight w:val="263"/>
        </w:trPr>
        <w:tc>
          <w:tcPr>
            <w:tcW w:w="6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change in fair value and other adjustments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FF0FC"/>
          </w:tcPr>
          <w:p>
            <w:pPr>
              <w:spacing w:after="0"/>
              <w:rPr>
                <w:sz w:val="22"/>
                <w:szCs w:val="22"/>
                <w:color w:val="auto"/>
              </w:rPr>
            </w:pPr>
          </w:p>
        </w:tc>
      </w:tr>
      <w:tr>
        <w:trPr>
          <w:trHeight w:val="250"/>
        </w:trPr>
        <w:tc>
          <w:tcPr>
            <w:tcW w:w="682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(1,500 )</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7"/>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1797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1797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September 30, 2021, the Company had the potential to make a maximum of $10.0 million and a minimum of $0.0 million (undiscounted) in earn-out payments. Assuming the achievement of the applicable performance criteria, these earn-out payments will be made in April 2022.</w:t>
      </w:r>
    </w:p>
    <w:p>
      <w:pPr>
        <w:spacing w:after="0" w:line="62"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Notes to the Consolidated Financial Statements in the Company’s IPO Prospectus.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8"/>
        </w:trPr>
        <w:tc>
          <w:tcPr>
            <w:tcW w:w="58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payroll-related</w:t>
            </w:r>
          </w:p>
        </w:tc>
        <w:tc>
          <w:tcPr>
            <w:tcW w:w="2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Accrued interest</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current</w:t>
            </w:r>
          </w:p>
        </w:tc>
        <w:tc>
          <w:tcPr>
            <w:tcW w:w="2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Sales taxes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6"/>
        </w:trPr>
        <w:tc>
          <w:tcPr>
            <w:tcW w:w="580" w:type="dxa"/>
            <w:vAlign w:val="bottom"/>
          </w:tcPr>
          <w:p>
            <w:pPr>
              <w:spacing w:after="0"/>
              <w:rPr>
                <w:sz w:val="24"/>
                <w:szCs w:val="24"/>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17,321</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18"/>
        </w:trPr>
        <w:tc>
          <w:tcPr>
            <w:tcW w:w="580" w:type="dxa"/>
            <w:vAlign w:val="bottom"/>
          </w:tcPr>
          <w:p>
            <w:pPr>
              <w:spacing w:after="0"/>
              <w:rPr>
                <w:sz w:val="24"/>
                <w:szCs w:val="24"/>
                <w:color w:val="auto"/>
              </w:rPr>
            </w:pPr>
          </w:p>
        </w:tc>
        <w:tc>
          <w:tcPr>
            <w:tcW w:w="412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151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-642620</wp:posOffset>
            </wp:positionV>
            <wp:extent cx="1631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-624840</wp:posOffset>
            </wp:positionV>
            <wp:extent cx="1631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-642620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-624840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3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The Company leases office facilities in Massachusetts, Vermont and Sweden, the terms of which expire at various times through the year 2030. In 2019, the Company signed a new office lease agreement which commenced in 2020 and will continue through 2027.</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Total rent expense for the three and nine months ended September 30, 2021 was $0.7 million and $2.1 million, respectively, and rent expense for the three and nine months ended September 30, 2020 was $0.5 million and $1.4 million, respectively. Rent expense was classified in selling, general, and administrative expense in the condensed consolidated statements of operations for all periods presented.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and Members' Equity</w:t>
      </w:r>
    </w:p>
    <w:p>
      <w:pPr>
        <w:spacing w:after="0" w:line="135" w:lineRule="exact"/>
        <w:rPr>
          <w:sz w:val="20"/>
          <w:szCs w:val="20"/>
          <w:color w:val="auto"/>
        </w:rPr>
      </w:pPr>
    </w:p>
    <w:p>
      <w:pPr>
        <w:jc w:val="both"/>
        <w:ind w:right="100" w:firstLine="509"/>
        <w:spacing w:after="0" w:line="275" w:lineRule="auto"/>
        <w:rPr>
          <w:sz w:val="20"/>
          <w:szCs w:val="20"/>
          <w:color w:val="auto"/>
        </w:rPr>
      </w:pPr>
      <w:r>
        <w:rPr>
          <w:rFonts w:ascii="Arial" w:cs="Arial" w:eastAsia="Arial" w:hAnsi="Arial"/>
          <w:sz w:val="18"/>
          <w:szCs w:val="18"/>
          <w:color w:val="auto"/>
        </w:rPr>
        <w:t>The Company has Class A Common Stock, Class B Common Stock and Preferred Stock. Holders of outstanding shares of Class A Common Stock and Class B Common Stock will vote as a single class on all matters on which stockholders are entitled to vote generally, except as otherwise required by law. Class B Common Stock issued to holders of Definitive OpCo Units that are unvested shall have no vote per share until such time as such Units have vested.</w:t>
      </w:r>
    </w:p>
    <w:p>
      <w:pPr>
        <w:spacing w:after="0" w:line="7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7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62" w:lineRule="exact"/>
        <w:rPr>
          <w:sz w:val="20"/>
          <w:szCs w:val="20"/>
          <w:color w:val="auto"/>
        </w:rPr>
      </w:pPr>
    </w:p>
    <w:p>
      <w:pPr>
        <w:ind w:right="100" w:firstLine="554"/>
        <w:spacing w:after="0" w:line="279" w:lineRule="auto"/>
        <w:rPr>
          <w:sz w:val="20"/>
          <w:szCs w:val="20"/>
          <w:color w:val="auto"/>
        </w:rPr>
      </w:pPr>
      <w:r>
        <w:rPr>
          <w:rFonts w:ascii="Arial" w:cs="Arial" w:eastAsia="Arial" w:hAnsi="Arial"/>
          <w:sz w:val="18"/>
          <w:szCs w:val="18"/>
          <w:color w:val="auto"/>
        </w:rPr>
        <w:t>Shares of Preferred Stock have not been issued at September 30, 2021. The board of directors may authorize one or more series of Preferred Stock (including convertible Preferred Stock) and will determine, with respect to any series of Preferred Stock, the voting rights, preferences, participation, or other special rights and limitations.</w:t>
      </w:r>
    </w:p>
    <w:p>
      <w:pPr>
        <w:spacing w:after="0" w:line="75"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Under the Amended Definitive OpCo LLC Agreement, the holders of LLC Units have the right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Shares of Class B Common Stock and their corresponding LLC Units will be canceled on a one-for-one basis once an exchange has been completed.</w:t>
      </w:r>
    </w:p>
    <w:p>
      <w:pPr>
        <w:spacing w:after="0" w:line="7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Description of Business</w:t>
      </w:r>
      <w:r>
        <w:rPr>
          <w:rFonts w:ascii="Arial" w:cs="Arial" w:eastAsia="Arial" w:hAnsi="Arial"/>
          <w:sz w:val="18"/>
          <w:szCs w:val="18"/>
          <w:color w:val="auto"/>
        </w:rPr>
        <w:t>, the Company was formed by Advent International ("Advent") for the purpose of acquiring Definitive Holdco. Upon formation of the Company, two classes of units were established: Class A Units (“Class A Units”) and Class B Units (“Class B Units”), collectively "the Units".</w:t>
      </w:r>
    </w:p>
    <w:p>
      <w:pPr>
        <w:spacing w:after="0" w:line="75" w:lineRule="exact"/>
        <w:rPr>
          <w:sz w:val="20"/>
          <w:szCs w:val="20"/>
          <w:color w:val="auto"/>
        </w:rPr>
      </w:pPr>
    </w:p>
    <w:p>
      <w:pPr>
        <w:ind w:right="380" w:firstLine="554"/>
        <w:spacing w:after="0" w:line="293" w:lineRule="auto"/>
        <w:rPr>
          <w:sz w:val="20"/>
          <w:szCs w:val="20"/>
          <w:color w:val="auto"/>
        </w:rPr>
      </w:pPr>
      <w:r>
        <w:rPr>
          <w:rFonts w:ascii="Arial" w:cs="Arial" w:eastAsia="Arial" w:hAnsi="Arial"/>
          <w:sz w:val="18"/>
          <w:szCs w:val="18"/>
          <w:color w:val="auto"/>
        </w:rPr>
        <w:t>The table below provides a summary of the number of Class A and Class B units authorized, issued and outstanding as of December 31, 2020, respectively.</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84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2"/>
        </w:trPr>
        <w:tc>
          <w:tcPr>
            <w:tcW w:w="8180" w:type="dxa"/>
            <w:vAlign w:val="bottom"/>
          </w:tcPr>
          <w:p>
            <w:pPr>
              <w:spacing w:after="0"/>
              <w:rPr>
                <w:sz w:val="16"/>
                <w:szCs w:val="16"/>
                <w:color w:val="auto"/>
              </w:rPr>
            </w:pPr>
          </w:p>
        </w:tc>
        <w:tc>
          <w:tcPr>
            <w:tcW w:w="18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Class A units:</w:t>
            </w:r>
          </w:p>
        </w:tc>
        <w:tc>
          <w:tcPr>
            <w:tcW w:w="1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Authorized, issued and outstanding Class A units</w:t>
            </w:r>
          </w:p>
        </w:tc>
        <w:tc>
          <w:tcPr>
            <w:tcW w:w="1840" w:type="dxa"/>
            <w:vAlign w:val="bottom"/>
          </w:tcPr>
          <w:p>
            <w:pPr>
              <w:jc w:val="right"/>
              <w:spacing w:after="0"/>
              <w:rPr>
                <w:sz w:val="20"/>
                <w:szCs w:val="20"/>
                <w:color w:val="auto"/>
              </w:rPr>
            </w:pPr>
            <w:r>
              <w:rPr>
                <w:rFonts w:ascii="Arial" w:cs="Arial" w:eastAsia="Arial" w:hAnsi="Arial"/>
                <w:sz w:val="18"/>
                <w:szCs w:val="18"/>
                <w:color w:val="auto"/>
              </w:rPr>
              <w:t>130,245,990</w:t>
            </w:r>
          </w:p>
        </w:tc>
        <w:tc>
          <w:tcPr>
            <w:tcW w:w="80" w:type="dxa"/>
            <w:vAlign w:val="bottom"/>
          </w:tcPr>
          <w:p>
            <w:pPr>
              <w:spacing w:after="0"/>
              <w:rPr>
                <w:sz w:val="21"/>
                <w:szCs w:val="21"/>
                <w:color w:val="auto"/>
              </w:rPr>
            </w:pPr>
          </w:p>
        </w:tc>
      </w:tr>
      <w:tr>
        <w:trPr>
          <w:trHeight w:val="263"/>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Class B units:</w:t>
            </w:r>
          </w:p>
        </w:tc>
        <w:tc>
          <w:tcPr>
            <w:tcW w:w="1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Authorized Class B units</w:t>
            </w:r>
          </w:p>
        </w:tc>
        <w:tc>
          <w:tcPr>
            <w:tcW w:w="1840" w:type="dxa"/>
            <w:vAlign w:val="bottom"/>
          </w:tcPr>
          <w:p>
            <w:pPr>
              <w:jc w:val="right"/>
              <w:spacing w:after="0"/>
              <w:rPr>
                <w:sz w:val="20"/>
                <w:szCs w:val="20"/>
                <w:color w:val="auto"/>
              </w:rPr>
            </w:pPr>
            <w:r>
              <w:rPr>
                <w:rFonts w:ascii="Arial" w:cs="Arial" w:eastAsia="Arial" w:hAnsi="Arial"/>
                <w:sz w:val="18"/>
                <w:szCs w:val="18"/>
                <w:color w:val="auto"/>
              </w:rPr>
              <w:t>8,088,877</w:t>
            </w:r>
          </w:p>
        </w:tc>
        <w:tc>
          <w:tcPr>
            <w:tcW w:w="80" w:type="dxa"/>
            <w:vAlign w:val="bottom"/>
          </w:tcPr>
          <w:p>
            <w:pPr>
              <w:spacing w:after="0"/>
              <w:rPr>
                <w:sz w:val="21"/>
                <w:szCs w:val="21"/>
                <w:color w:val="auto"/>
              </w:rPr>
            </w:pPr>
          </w:p>
        </w:tc>
      </w:tr>
      <w:tr>
        <w:trPr>
          <w:trHeight w:val="263"/>
        </w:trPr>
        <w:tc>
          <w:tcPr>
            <w:tcW w:w="8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Issued Class B units</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3,720,063</w:t>
            </w:r>
          </w:p>
        </w:tc>
        <w:tc>
          <w:tcPr>
            <w:tcW w:w="80" w:type="dxa"/>
            <w:vAlign w:val="bottom"/>
            <w:shd w:val="clear" w:color="auto" w:fill="CFF0FC"/>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Outstanding Class B units (Vested Class B units)</w:t>
            </w:r>
          </w:p>
        </w:tc>
        <w:tc>
          <w:tcPr>
            <w:tcW w:w="1840" w:type="dxa"/>
            <w:vAlign w:val="bottom"/>
          </w:tcPr>
          <w:p>
            <w:pPr>
              <w:jc w:val="right"/>
              <w:spacing w:after="0"/>
              <w:rPr>
                <w:sz w:val="20"/>
                <w:szCs w:val="20"/>
                <w:color w:val="auto"/>
              </w:rPr>
            </w:pPr>
            <w:r>
              <w:rPr>
                <w:rFonts w:ascii="Arial" w:cs="Arial" w:eastAsia="Arial" w:hAnsi="Arial"/>
                <w:sz w:val="18"/>
                <w:szCs w:val="18"/>
                <w:color w:val="auto"/>
              </w:rPr>
              <w:t>474,920</w:t>
            </w:r>
          </w:p>
        </w:tc>
        <w:tc>
          <w:tcPr>
            <w:tcW w:w="80" w:type="dxa"/>
            <w:vAlign w:val="bottom"/>
          </w:tcPr>
          <w:p>
            <w:pPr>
              <w:spacing w:after="0"/>
              <w:rPr>
                <w:sz w:val="21"/>
                <w:szCs w:val="21"/>
                <w:color w:val="auto"/>
              </w:rPr>
            </w:pPr>
          </w:p>
        </w:tc>
      </w:tr>
    </w:tbl>
    <w:p>
      <w:pPr>
        <w:spacing w:after="0" w:line="229"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 xml:space="preserve">During 2021, the Company issued 363,516 new Class A units worth $5.8 million, consisting of a capital contribution of $5.5 million and equity-based compensation expense of $0.3 million. Refer to Note 13.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xml:space="preserve"> for more detail on Class B units.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Equity-Based Compensation</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Equity-based compensation expense is allocated to all departments in the accompanying condensed consolidated statements of operations based on the recipients of the compensation. A summary of the expense by line item in the consolidated statements of operations for the three and nine months ended September 30, 2021 and 2020, respectively, is provided in the following table.</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6"/>
              </w:rPr>
              <w:t>Nine Months Ended September 30,</w:t>
            </w:r>
          </w:p>
        </w:tc>
        <w:tc>
          <w:tcPr>
            <w:tcW w:w="80" w:type="dxa"/>
            <w:vAlign w:val="bottom"/>
          </w:tcPr>
          <w:p>
            <w:pPr>
              <w:spacing w:after="0"/>
              <w:rPr>
                <w:sz w:val="16"/>
                <w:szCs w:val="16"/>
                <w:color w:val="auto"/>
              </w:rPr>
            </w:pPr>
          </w:p>
        </w:tc>
      </w:tr>
      <w:tr>
        <w:trPr>
          <w:trHeight w:val="196"/>
        </w:trPr>
        <w:tc>
          <w:tcPr>
            <w:tcW w:w="4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22"/>
                <w:szCs w:val="22"/>
                <w:color w:val="auto"/>
              </w:rPr>
            </w:pP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1"/>
                <w:szCs w:val="21"/>
                <w:color w:val="auto"/>
              </w:rPr>
            </w:pPr>
          </w:p>
        </w:tc>
      </w:tr>
      <w:tr>
        <w:trPr>
          <w:trHeight w:val="26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2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22"/>
                <w:szCs w:val="22"/>
                <w:color w:val="auto"/>
              </w:rPr>
            </w:pP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1,756</w:t>
            </w:r>
          </w:p>
        </w:tc>
        <w:tc>
          <w:tcPr>
            <w:tcW w:w="2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217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1"/>
                <w:szCs w:val="21"/>
                <w:color w:val="auto"/>
              </w:rPr>
            </w:pPr>
          </w:p>
        </w:tc>
      </w:tr>
      <w:tr>
        <w:trPr>
          <w:trHeight w:val="296"/>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compensation expense</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2,317</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458</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1543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5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1460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1460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Plan</w:t>
      </w:r>
    </w:p>
    <w:p>
      <w:pPr>
        <w:spacing w:after="0" w:line="158" w:lineRule="exact"/>
        <w:rPr>
          <w:sz w:val="20"/>
          <w:szCs w:val="20"/>
          <w:color w:val="auto"/>
        </w:rPr>
      </w:pPr>
    </w:p>
    <w:p>
      <w:pPr>
        <w:ind w:right="20" w:firstLine="563"/>
        <w:spacing w:after="0" w:line="287" w:lineRule="auto"/>
        <w:rPr>
          <w:sz w:val="20"/>
          <w:szCs w:val="20"/>
          <w:color w:val="auto"/>
        </w:rPr>
      </w:pPr>
      <w:r>
        <w:rPr>
          <w:rFonts w:ascii="Arial" w:cs="Arial" w:eastAsia="Arial" w:hAnsi="Arial"/>
          <w:sz w:val="18"/>
          <w:szCs w:val="18"/>
          <w:color w:val="auto"/>
        </w:rPr>
        <w:t>As of September 15, 2021, in connection with its IPO, the Company adopted the Definitive Healthcare Corp. 2021 Equity Incentive Plan (the "2021 Plan"). The types of grants available under the 2021 Plan include stock options (both incentive and non-qualified), stock appreciation rights ("SARs"), restricted stock awards ("RSAs"), restricted stock units ("RSUs"), and stock-based awards.</w:t>
      </w:r>
    </w:p>
    <w:p>
      <w:pPr>
        <w:spacing w:after="0" w:line="67" w:lineRule="exact"/>
        <w:rPr>
          <w:sz w:val="20"/>
          <w:szCs w:val="20"/>
          <w:color w:val="auto"/>
        </w:rPr>
      </w:pPr>
    </w:p>
    <w:p>
      <w:pPr>
        <w:ind w:firstLine="554"/>
        <w:spacing w:after="0" w:line="271" w:lineRule="auto"/>
        <w:rPr>
          <w:sz w:val="20"/>
          <w:szCs w:val="20"/>
          <w:color w:val="auto"/>
        </w:rPr>
      </w:pPr>
      <w:r>
        <w:rPr>
          <w:rFonts w:ascii="Arial" w:cs="Arial" w:eastAsia="Arial" w:hAnsi="Arial"/>
          <w:sz w:val="18"/>
          <w:szCs w:val="18"/>
          <w:color w:val="auto"/>
        </w:rPr>
        <w:t>The aggregate number of shares of Class A Common Stock available for grant under the 2021 Plan was 8,989,039 shares at September 30, 2021. As of September 30, 2021, 1,464,681 RSUs have been granted under the 2021 Plan. The outstanding RSUs have time-based and/or performance-based vesting criteria. Outstanding time-based RSUs generally vest partially on the one year anniversary of each grant and quarterly over the subsequent two- or three-year period. Outstanding performance-based RSUs vest annually over three years upon the achievement of certain performance targets and continued service, the measurement period for which begins January 1, 2022. As such, no stock-based compensation expense associated with performance-based RSUs was recorded in the third quarter of 2021.</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Company’s unvested time-based and performance-based RSU activity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Time-Based</w:t>
            </w:r>
          </w:p>
        </w:tc>
        <w:tc>
          <w:tcPr>
            <w:tcW w:w="2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Performance-Based</w:t>
            </w:r>
          </w:p>
        </w:tc>
        <w:tc>
          <w:tcPr>
            <w:tcW w:w="80" w:type="dxa"/>
            <w:vAlign w:val="bottom"/>
          </w:tcPr>
          <w:p>
            <w:pPr>
              <w:spacing w:after="0"/>
              <w:rPr>
                <w:sz w:val="16"/>
                <w:szCs w:val="16"/>
                <w:color w:val="auto"/>
              </w:rPr>
            </w:pPr>
          </w:p>
        </w:tc>
      </w:tr>
      <w:tr>
        <w:trPr>
          <w:trHeight w:val="190"/>
        </w:trPr>
        <w:tc>
          <w:tcPr>
            <w:tcW w:w="4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7"/>
                <w:szCs w:val="17"/>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Average Grant</w:t>
            </w:r>
          </w:p>
        </w:tc>
        <w:tc>
          <w:tcPr>
            <w:tcW w:w="220" w:type="dxa"/>
            <w:vAlign w:val="bottom"/>
          </w:tcPr>
          <w:p>
            <w:pPr>
              <w:spacing w:after="0"/>
              <w:rPr>
                <w:sz w:val="17"/>
                <w:szCs w:val="17"/>
                <w:color w:val="auto"/>
              </w:rPr>
            </w:pPr>
          </w:p>
        </w:tc>
        <w:tc>
          <w:tcPr>
            <w:tcW w:w="1280" w:type="dxa"/>
            <w:vAlign w:val="bottom"/>
          </w:tcPr>
          <w:p>
            <w:pPr>
              <w:jc w:val="right"/>
              <w:ind w:right="238"/>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7"/>
                <w:szCs w:val="17"/>
                <w:color w:val="auto"/>
              </w:rPr>
            </w:pPr>
          </w:p>
        </w:tc>
      </w:tr>
      <w:tr>
        <w:trPr>
          <w:trHeight w:val="208"/>
        </w:trPr>
        <w:tc>
          <w:tcPr>
            <w:tcW w:w="4160" w:type="dxa"/>
            <w:vAlign w:val="bottom"/>
          </w:tcPr>
          <w:p>
            <w:pPr>
              <w:spacing w:after="0"/>
              <w:rPr>
                <w:sz w:val="18"/>
                <w:szCs w:val="18"/>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Date Fair Value</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Stock Units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8"/>
                <w:szCs w:val="18"/>
                <w:color w:val="auto"/>
              </w:rPr>
            </w:pPr>
          </w:p>
        </w:tc>
      </w:tr>
      <w:tr>
        <w:trPr>
          <w:trHeight w:val="25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Unvested at beginning of period</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1,300,328</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164,353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21"/>
                <w:szCs w:val="21"/>
                <w:color w:val="auto"/>
              </w:rPr>
            </w:pPr>
          </w:p>
        </w:tc>
      </w:tr>
      <w:tr>
        <w:trPr>
          <w:trHeight w:val="26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6"/>
        </w:trPr>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(2,656 )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90"/>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1,297,672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164,353</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-25400</wp:posOffset>
            </wp:positionV>
            <wp:extent cx="171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1714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145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1454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49"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The Company recognized $0.4 million in stock-based compensation expense associated with RSUs granted in 2021. Total unrecognized expense was estimated to be $39.1 million for both time-based vesting and performance-based vesting awards at September 30, 2021, to be recognized over a weighted-average period of approximately 4.0 years.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Equity Incentive Plan</w:t>
      </w:r>
    </w:p>
    <w:p>
      <w:pPr>
        <w:spacing w:after="0" w:line="131"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In July 2019, the Company and its Board of Members approved the 2019 Equity Incentive Plan ("the 2019 Plan") under which the Parent Company had reserved approximately 8,088,877 Class B Units (the “2019 Incentive Equity Pool”). The 2019 Incentive Equity Pool was utilized for the issuance of units to employees, consultants, directors, managers, or others providing services to the Company pursuant to Board of Members approval. These interests were considered profit interests, which, in general, entitle the holder of the unit to a pro rata share of the increase in value of the unit over the base value determined at the award date and were subject to such vesting and other restrictions as the Board of Members deemed appropriate. Any units forfeited or repurchased were available for future grants under the 2019 Incentive Equity Pool.</w:t>
      </w:r>
    </w:p>
    <w:p>
      <w:pPr>
        <w:spacing w:after="0" w:line="6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units had time-based and/or performance-based vesting criteria. Generally, the time-based units vested in equal annual installments over a four-year period on the anniversary date of the vest date. The performance-based units vested based on the achievement of specified returns on investments upon a change of control or qualifying event, as defined in the agreement. In connection with the IPO, performance-based forfeiture conditions for unvested units were waived through a modification of the awards and, after the IPO, all such unvested awards became subjected to time-vesting over three years from the IPO Date. As a result of the modification of the terms of such performance-vesting awards, we recorded compensation expense based on the fair value of the units that otherwise would have been forfeited, using the IPO price of $27.00 per share. The total compensation expense related to</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2" w:name="page23"/>
    <w:bookmarkEnd w:id="22"/>
    <w:p>
      <w:pPr>
        <w:ind w:right="60"/>
        <w:spacing w:after="0" w:line="293" w:lineRule="auto"/>
        <w:rPr>
          <w:sz w:val="20"/>
          <w:szCs w:val="20"/>
          <w:color w:val="auto"/>
        </w:rPr>
      </w:pPr>
      <w:r>
        <w:rPr>
          <w:rFonts w:ascii="Arial" w:cs="Arial" w:eastAsia="Arial" w:hAnsi="Arial"/>
          <w:sz w:val="18"/>
          <w:szCs w:val="18"/>
          <w:color w:val="auto"/>
        </w:rPr>
        <w:t>modification was $9.0 million, which will be recognized over the respective remaining service periods. The Company recorded $0.2 million in stock-based compensation expense associated with these performance-vesting units in the third quarter of 2021.</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retirement of an executive officer, the Company accelerated the vesting of 24,049 unvested time-vesting Class B units and 48,099 of his unvested performance-vesting Class B units. The Company recorded incremental compensation expense of approximately $1.9 million during the third quarter 2021. Upon separation, the remaining 72,149 in Class B units were forfeited.</w:t>
      </w:r>
    </w:p>
    <w:p>
      <w:pPr>
        <w:spacing w:after="0" w:line="7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Effective September 15, 2021, the Company will no longer grant any awards under the 2019 Plan, though previously granted awards under the 2019 Plan remain outstanding and governed by the 2019 Plan, except for the modifications discussed above.</w:t>
      </w:r>
    </w:p>
    <w:p>
      <w:pPr>
        <w:spacing w:after="0" w:line="62"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color w:val="auto"/>
        </w:rPr>
        <w:t>For awards granted in the 2019 Plan, the Company assessed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15, 2021</w:t>
            </w:r>
          </w:p>
        </w:tc>
        <w:tc>
          <w:tcPr>
            <w:tcW w:w="22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2020</w:t>
            </w:r>
          </w:p>
        </w:tc>
      </w:tr>
      <w:tr>
        <w:trPr>
          <w:trHeight w:val="25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w:t>
            </w: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0.30 - 0.70 years</w:t>
            </w:r>
          </w:p>
        </w:tc>
        <w:tc>
          <w:tcPr>
            <w:tcW w:w="220" w:type="dxa"/>
            <w:vAlign w:val="bottom"/>
            <w:shd w:val="clear" w:color="auto" w:fill="CFF0FC"/>
          </w:tcPr>
          <w:p>
            <w:pPr>
              <w:spacing w:after="0"/>
              <w:rPr>
                <w:sz w:val="22"/>
                <w:szCs w:val="22"/>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5.5 years</w:t>
            </w: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180" w:type="dxa"/>
            <w:vAlign w:val="bottom"/>
          </w:tcPr>
          <w:p>
            <w:pPr>
              <w:jc w:val="right"/>
              <w:ind w:right="450"/>
              <w:spacing w:after="0"/>
              <w:rPr>
                <w:sz w:val="20"/>
                <w:szCs w:val="20"/>
                <w:color w:val="auto"/>
              </w:rPr>
            </w:pPr>
            <w:r>
              <w:rPr>
                <w:rFonts w:ascii="Arial" w:cs="Arial" w:eastAsia="Arial" w:hAnsi="Arial"/>
                <w:sz w:val="18"/>
                <w:szCs w:val="18"/>
                <w:color w:val="auto"/>
              </w:rPr>
              <w:t>0.01% - 0.06%</w:t>
            </w:r>
          </w:p>
        </w:tc>
        <w:tc>
          <w:tcPr>
            <w:tcW w:w="2420" w:type="dxa"/>
            <w:vAlign w:val="bottom"/>
            <w:gridSpan w:val="2"/>
          </w:tcPr>
          <w:p>
            <w:pPr>
              <w:jc w:val="right"/>
              <w:ind w:right="770"/>
              <w:spacing w:after="0"/>
              <w:rPr>
                <w:sz w:val="20"/>
                <w:szCs w:val="20"/>
                <w:color w:val="auto"/>
              </w:rPr>
            </w:pPr>
            <w:r>
              <w:rPr>
                <w:rFonts w:ascii="Arial" w:cs="Arial" w:eastAsia="Arial" w:hAnsi="Arial"/>
                <w:sz w:val="18"/>
                <w:szCs w:val="18"/>
                <w:color w:val="auto"/>
              </w:rPr>
              <w:t>1.73%</w:t>
            </w:r>
          </w:p>
        </w:tc>
      </w:tr>
      <w:tr>
        <w:trPr>
          <w:trHeight w:val="26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Applied volatility</w:t>
            </w:r>
          </w:p>
        </w:tc>
        <w:tc>
          <w:tcPr>
            <w:tcW w:w="218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30%</w:t>
            </w:r>
          </w:p>
        </w:tc>
        <w:tc>
          <w:tcPr>
            <w:tcW w:w="242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unvested Class B Units held directly by employees of the Company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through Definitive OpCo, were exchanged for unvested Definitive OpCo units based on their respective participation thresholds and the IPO price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$27.00 per share. The time-based units issued upon the exchange remain subject to the same service vesting requirements as the original Class B Units.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pre-IPO performance-based units were exchanged for time-based units and will vest over a three-year period beginning on the date of the IPO.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summarizes the Company’s unvested time-based and performance-based unit activity from January 1, 2021 through September 30, 2021.</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Time-Based</w:t>
            </w:r>
          </w:p>
        </w:tc>
        <w:tc>
          <w:tcPr>
            <w:tcW w:w="2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Performance-Based</w:t>
            </w:r>
          </w:p>
        </w:tc>
        <w:tc>
          <w:tcPr>
            <w:tcW w:w="80" w:type="dxa"/>
            <w:vAlign w:val="bottom"/>
          </w:tcPr>
          <w:p>
            <w:pPr>
              <w:spacing w:after="0"/>
              <w:rPr>
                <w:sz w:val="16"/>
                <w:szCs w:val="16"/>
                <w:color w:val="auto"/>
              </w:rPr>
            </w:pPr>
          </w:p>
        </w:tc>
      </w:tr>
      <w:tr>
        <w:trPr>
          <w:trHeight w:val="190"/>
        </w:trPr>
        <w:tc>
          <w:tcPr>
            <w:tcW w:w="4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Non-Vested</w:t>
            </w:r>
          </w:p>
        </w:tc>
        <w:tc>
          <w:tcPr>
            <w:tcW w:w="120" w:type="dxa"/>
            <w:vAlign w:val="bottom"/>
          </w:tcPr>
          <w:p>
            <w:pPr>
              <w:spacing w:after="0"/>
              <w:rPr>
                <w:sz w:val="17"/>
                <w:szCs w:val="17"/>
                <w:color w:val="auto"/>
              </w:rPr>
            </w:pPr>
          </w:p>
        </w:tc>
        <w:tc>
          <w:tcPr>
            <w:tcW w:w="116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Average Grant</w:t>
            </w:r>
          </w:p>
        </w:tc>
        <w:tc>
          <w:tcPr>
            <w:tcW w:w="240" w:type="dxa"/>
            <w:vAlign w:val="bottom"/>
          </w:tcPr>
          <w:p>
            <w:pPr>
              <w:spacing w:after="0"/>
              <w:rPr>
                <w:sz w:val="17"/>
                <w:szCs w:val="17"/>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Non-Vested</w:t>
            </w:r>
          </w:p>
        </w:tc>
        <w:tc>
          <w:tcPr>
            <w:tcW w:w="14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7"/>
                <w:szCs w:val="17"/>
                <w:color w:val="auto"/>
              </w:rPr>
            </w:pPr>
          </w:p>
        </w:tc>
      </w:tr>
      <w:tr>
        <w:trPr>
          <w:trHeight w:val="208"/>
        </w:trPr>
        <w:tc>
          <w:tcPr>
            <w:tcW w:w="4160" w:type="dxa"/>
            <w:vAlign w:val="bottom"/>
          </w:tcPr>
          <w:p>
            <w:pPr>
              <w:spacing w:after="0"/>
              <w:rPr>
                <w:sz w:val="18"/>
                <w:szCs w:val="18"/>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Date Fair Value</w:t>
            </w: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8"/>
                <w:szCs w:val="18"/>
                <w:color w:val="auto"/>
              </w:rPr>
            </w:pPr>
          </w:p>
        </w:tc>
      </w:tr>
      <w:tr>
        <w:trPr>
          <w:trHeight w:val="25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1,404,720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1,840,423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22"/>
                <w:szCs w:val="22"/>
                <w:color w:val="auto"/>
              </w:rPr>
            </w:pPr>
          </w:p>
        </w:tc>
      </w:tr>
      <w:tr>
        <w:trPr>
          <w:trHeight w:val="250"/>
        </w:trPr>
        <w:tc>
          <w:tcPr>
            <w:tcW w:w="4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1,477,323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1,177,308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1"/>
                <w:szCs w:val="21"/>
                <w:color w:val="auto"/>
              </w:rPr>
            </w:pPr>
          </w:p>
        </w:tc>
      </w:tr>
      <w:tr>
        <w:trPr>
          <w:trHeight w:val="263"/>
        </w:trPr>
        <w:tc>
          <w:tcPr>
            <w:tcW w:w="4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(437,731 )</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1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(13,770 )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(18,361 )</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1"/>
                <w:szCs w:val="21"/>
                <w:color w:val="auto"/>
              </w:rPr>
            </w:pPr>
          </w:p>
        </w:tc>
      </w:tr>
      <w:tr>
        <w:trPr>
          <w:trHeight w:val="250"/>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September 15, 2021</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2,430,542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2,999,370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4160" w:type="dxa"/>
            <w:vAlign w:val="bottom"/>
          </w:tcPr>
          <w:p>
            <w:pPr>
              <w:ind w:left="100"/>
              <w:spacing w:after="0"/>
              <w:rPr>
                <w:sz w:val="20"/>
                <w:szCs w:val="20"/>
                <w:color w:val="auto"/>
              </w:rPr>
            </w:pPr>
            <w:r>
              <w:rPr>
                <w:rFonts w:ascii="Arial" w:cs="Arial" w:eastAsia="Arial" w:hAnsi="Arial"/>
                <w:sz w:val="18"/>
                <w:szCs w:val="18"/>
                <w:color w:val="auto"/>
              </w:rPr>
              <w:t>Effect of Reorganization Transactions and IPO</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(1,165,679 )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(1,318,171 )</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1"/>
                <w:szCs w:val="21"/>
                <w:color w:val="auto"/>
              </w:rPr>
            </w:pPr>
          </w:p>
        </w:tc>
      </w:tr>
      <w:tr>
        <w:trPr>
          <w:trHeight w:val="249"/>
        </w:trPr>
        <w:tc>
          <w:tcPr>
            <w:tcW w:w="41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Performance-based units exchanged for time-based</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4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units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1,681,199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7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(1,681,199 )</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21"/>
                <w:szCs w:val="21"/>
                <w:color w:val="auto"/>
              </w:rPr>
            </w:pPr>
          </w:p>
        </w:tc>
      </w:tr>
      <w:tr>
        <w:trPr>
          <w:trHeight w:val="250"/>
        </w:trPr>
        <w:tc>
          <w:tcPr>
            <w:tcW w:w="4160" w:type="dxa"/>
            <w:vAlign w:val="bottom"/>
          </w:tcPr>
          <w:p>
            <w:pPr>
              <w:ind w:left="100"/>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(74,049 )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7"/>
        </w:trPr>
        <w:tc>
          <w:tcPr>
            <w:tcW w:w="4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(72,149 )</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6"/>
        </w:trPr>
        <w:tc>
          <w:tcPr>
            <w:tcW w:w="41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Non-vested at September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2,799,864</w:t>
            </w:r>
          </w:p>
        </w:tc>
        <w:tc>
          <w:tcPr>
            <w:tcW w:w="260" w:type="dxa"/>
            <w:vAlign w:val="bottom"/>
            <w:tcBorders>
              <w:top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top w:val="single" w:sz="8" w:color="CFF0FC"/>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-999490</wp:posOffset>
            </wp:positionV>
            <wp:extent cx="16256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-999490</wp:posOffset>
            </wp:positionV>
            <wp:extent cx="1460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-999490</wp:posOffset>
            </wp:positionV>
            <wp:extent cx="15430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-999490</wp:posOffset>
            </wp:positionV>
            <wp:extent cx="431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-193675</wp:posOffset>
            </wp:positionV>
            <wp:extent cx="16256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-193675</wp:posOffset>
            </wp:positionV>
            <wp:extent cx="1460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-193675</wp:posOffset>
            </wp:positionV>
            <wp:extent cx="15430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-193675</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In connection with the Reorganization Transactions and the IPO, 912,651 vested Class B Units held directly by employees of the Company or indirectly through Definitive OpCo were exchanged into 578,217 vested Definitive OpCo units based on their respective participation thresholds and the IPO price of $27.00 per share.</w:t>
      </w:r>
    </w:p>
    <w:p>
      <w:pPr>
        <w:spacing w:after="0" w:line="75"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Company recorded $0.6 million and $1.5 million in stock-based compensation expense associated with time-based units in the three and nine months ended September 30, 2021, respectively. The Company recorded $0.5 million and $1.3 million in stock-based compensation expense associated with unexchanged time-based units in the three and nine months ended September 30, 2020, respectively. At September 30, 2021, the Company had approximately $18.4 million of unrecognized unit-based compensation expense for unvested time-based units, including those that were exchanged for time-based units at IPO. The expense, which will be recorded under the terms of the 2019 Plan, is expected to be recognized over a weighted-average period of approximately 2.8 years.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Retirement Plan</w:t>
      </w:r>
    </w:p>
    <w:p>
      <w:pPr>
        <w:spacing w:after="0" w:line="135"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incurred $0.6 million and $1.7 million in employer matching contributions during the three and nine months ended September 30, 2021, respectively, and $0.4 million and $1.1 million during the three and nine months ended September 30, 2020, respectively .</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3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Business Organization</w:t>
      </w:r>
      <w:r>
        <w:rPr>
          <w:rFonts w:ascii="Arial" w:cs="Arial" w:eastAsia="Arial" w:hAnsi="Arial"/>
          <w:sz w:val="17"/>
          <w:szCs w:val="17"/>
          <w:color w:val="auto"/>
        </w:rPr>
        <w:t xml:space="preserve"> and Note 12. </w:t>
      </w:r>
      <w:r>
        <w:rPr>
          <w:rFonts w:ascii="Arial" w:cs="Arial" w:eastAsia="Arial" w:hAnsi="Arial"/>
          <w:sz w:val="17"/>
          <w:szCs w:val="17"/>
          <w:i w:val="1"/>
          <w:iCs w:val="1"/>
          <w:color w:val="auto"/>
        </w:rPr>
        <w:t>Stockholders' Equity and Members' Equity</w:t>
      </w:r>
      <w:r>
        <w:rPr>
          <w:rFonts w:ascii="Arial" w:cs="Arial" w:eastAsia="Arial" w:hAnsi="Arial"/>
          <w:sz w:val="17"/>
          <w:szCs w:val="17"/>
          <w:color w:val="auto"/>
        </w:rPr>
        <w:t>, as a result of the IPO, Definitive Healthcare Corp. began consolidating the financial results of Definitive OpCo. Definitive OpCo is treated as a partnership for U.S. federal and most applicable state and local income tax purposes. As a partnership, Definitive OpCo is not subject to U.S. federal and certain state and local income taxes. Any taxable income or loss generated by Definitive OpCo is passed through to and included in the taxable income or loss of its members, including Definitive Healthcare Corp., based on its economic interest held in Definitive OpCo. Definitive Healthcare Corp. was formed on May 5, 2021 and did not engage in any operations prior to the IPO. Definitive Healthcare Corp. is taxed as a corporation and is subject to U.S. federal, state, and local income taxes with respect to its allocable share of any taxable income or loss of Definitive OpCo, as well as such taxes on any stand-alone income or loss generated by Definitive Healthcare Corp. The Company has recorded an immaterial amount of tax expense associated with corporations owned by Definitive OpCo within general and administrative expense.</w:t>
      </w:r>
    </w:p>
    <w:p>
      <w:pPr>
        <w:spacing w:after="0" w:line="70"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As of September 30, 2021, management performed an assessment of the recoverability of deferred tax assets. Management determined, based on the accounting standards applicable to such assessment, that sufficient negative evidence to conclude it was more likely than not that its deferred tax assets would not be realized and has recorded a valuation allowance against substantially all of its deferred tax assets. In the event that management determines the Company would be able to realize its deferred tax assets in the future in excess of their net recorded amount, an adjustment to the valuation allowance would be made which would reduce the provision for income taxes.</w:t>
      </w:r>
    </w:p>
    <w:p>
      <w:pPr>
        <w:spacing w:after="0" w:line="66"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As of September 30, 2021 the Company has a net deferred tax liability of $71.3 million which was recorded through equity as part of the Reorganization Transactions. The net deferred tax liability principally relates to taxable temporary differences that cannot be considered a source of income to recover the deferred tax assets due to attribute limitation rules.</w:t>
      </w:r>
    </w:p>
    <w:p>
      <w:pPr>
        <w:spacing w:after="0" w:line="7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The Company recognizes uncertain income tax positions when it is more-likely-than-not the position will be sustained upon examination. As of September 30, 2021 and December 31, 2020, the Company has not identified any uncertain tax positions and has not recognized any related reserves. The Company's effective tax rate was (0.3)% and 0.0% for the three months ended September 30, 2021 and 2020, respectively, and (0.3)% and 0.0% for the nine months ended September 30, 2021 and 2020, respectively.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31"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plans to 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assets to the extent tax basis is allocated to those assets.</w:t>
      </w:r>
    </w:p>
    <w:p>
      <w:pPr>
        <w:spacing w:after="0" w:line="6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connection with the IPO, the Company entered into a Tax Receivable Agreement ("TRA") and recorded a liability under the TRA of $146.1 million as of September 30, 2021 through equity as part of the Reorganization Transactions. Under the TRA, the Company generally will be required to pay certain of our pre-IPO owners 85% of the amount of cash savings, if any, in U.S. federal, state, or local tax that the Company actually realizes directly or indirectly (or is deemed to realize in certain circumstances) as a result of (i) certain tax attributes created as a result of any sales or exchanges (as determined for U.S. federal income tax purposes) to or with the Company of their interests in Definitive OpCo, including any basis adjustment relating to the assets of Definitive OpCo, (ii) certain favorable tax attributes acquired by the Company from the Blocker Companies in the Reorganization Transactions (including net operating losses and the unamortized portion of the increase in tax basis in the tangible and intangible assets of Definitive OpCo resulting from the prior acquisitions of interests in Definitive OpCo by the Blocker Companies), and (iii) tax benefits attributable to payments made under the TRA. The Company expects to benefit from the remaining 15% of any tax benefits that it may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Loss Per Share</w:t>
      </w:r>
    </w:p>
    <w:p>
      <w:pPr>
        <w:spacing w:after="0" w:line="135"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4" w:name="page25"/>
    <w:bookmarkEnd w:id="24"/>
    <w:p>
      <w:pPr>
        <w:ind w:right="320"/>
        <w:spacing w:after="0" w:line="293" w:lineRule="auto"/>
        <w:rPr>
          <w:sz w:val="20"/>
          <w:szCs w:val="20"/>
          <w:color w:val="auto"/>
        </w:rPr>
      </w:pPr>
      <w:r>
        <w:rPr>
          <w:rFonts w:ascii="Arial" w:cs="Arial" w:eastAsia="Arial" w:hAnsi="Arial"/>
          <w:sz w:val="18"/>
          <w:szCs w:val="18"/>
          <w:color w:val="auto"/>
        </w:rPr>
        <w:t>net income attributable to Definitive Healthcare Corp, adjusted for the assumed exchange of all potentially dilutive securities by the weighted-average number of shares of Class A Common Stock outstanding.</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Prior to the IPO, the Definitive OpCo membership structure included Class A and Class B member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nine months ended September 30, 2020.</w:t>
      </w:r>
    </w:p>
    <w:p>
      <w:pPr>
        <w:spacing w:after="0" w:line="77"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net loss per share of Class A Common Stock for the three- and nine-months ended September 30, 2021. The basic and diluted earnings per share for the three- and nine-months ended September 30, 2021 reflects only the period from September 15, 2021 to September 30, 2021, which represents the period wherein the Company had outstanding Class A Common Stock.</w:t>
      </w:r>
    </w:p>
    <w:p>
      <w:pPr>
        <w:sectPr>
          <w:pgSz w:w="11900" w:h="16838" w:orient="portrait"/>
          <w:cols w:equalWidth="0" w:num="1">
            <w:col w:w="11140"/>
          </w:cols>
          <w:pgMar w:left="320" w:top="5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20955</wp:posOffset>
            </wp:positionV>
            <wp:extent cx="641223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Numerator:</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1223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Less: Net loss attributable to Definitive OpCo before Reorganization Transactions</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Less: Net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641223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2230" cy="188595"/>
                    </a:xfrm>
                    <a:prstGeom prst="rect">
                      <a:avLst/>
                    </a:prstGeom>
                    <a:noFill/>
                  </pic:spPr>
                </pic:pic>
              </a:graphicData>
            </a:graphic>
          </wp:anchor>
        </w:drawing>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 attributable to Definitive Healthcare Corp.</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Nine Months</w:t>
            </w:r>
          </w:p>
        </w:tc>
      </w:tr>
      <w:tr>
        <w:trPr>
          <w:trHeight w:val="230"/>
        </w:trPr>
        <w:tc>
          <w:tcPr>
            <w:tcW w:w="16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29"/>
        </w:trPr>
        <w:tc>
          <w:tcPr>
            <w:tcW w:w="16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r>
      <w:tr>
        <w:trPr>
          <w:trHeight w:val="268"/>
        </w:trPr>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3"/>
                <w:szCs w:val="23"/>
                <w:color w:val="auto"/>
              </w:rPr>
            </w:pPr>
          </w:p>
        </w:tc>
      </w:tr>
      <w:tr>
        <w:trPr>
          <w:trHeight w:val="50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(20,966 )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(46,493 )</w:t>
            </w:r>
          </w:p>
        </w:tc>
      </w:tr>
      <w:tr>
        <w:trPr>
          <w:trHeight w:val="257"/>
        </w:trPr>
        <w:tc>
          <w:tcPr>
            <w:tcW w:w="16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(7,816 )</w:t>
            </w:r>
          </w:p>
        </w:tc>
        <w:tc>
          <w:tcPr>
            <w:tcW w:w="1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(33,343 )</w:t>
            </w:r>
          </w:p>
        </w:tc>
      </w:tr>
      <w:tr>
        <w:trPr>
          <w:trHeight w:val="263"/>
        </w:trPr>
        <w:tc>
          <w:tcPr>
            <w:tcW w:w="16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(5,172 )</w:t>
            </w:r>
          </w:p>
        </w:tc>
        <w:tc>
          <w:tcPr>
            <w:tcW w:w="1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(5,172 )</w:t>
            </w:r>
          </w:p>
        </w:tc>
      </w:tr>
      <w:tr>
        <w:trPr>
          <w:trHeight w:val="20"/>
        </w:trPr>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(7,978 )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(7,978 )</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680"/>
            <w:col w:w="3920"/>
          </w:cols>
          <w:pgMar w:left="320" w:top="517" w:right="439" w:bottom="1440" w:gutter="0" w:footer="0" w:header="0"/>
          <w:type w:val="continuous"/>
        </w:sectPr>
      </w:pPr>
    </w:p>
    <w:p>
      <w:pPr>
        <w:spacing w:after="0" w:line="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computation of basic and diluted net loss per share of Class A Common Stock (per share amounts unaudited):</w:t>
      </w:r>
    </w:p>
    <w:p>
      <w:pPr>
        <w:sectPr>
          <w:pgSz w:w="11900" w:h="16838" w:orient="portrait"/>
          <w:cols w:equalWidth="0" w:num="1">
            <w:col w:w="11140"/>
          </w:cols>
          <w:pgMar w:left="320" w:top="51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thousands, except number of shares and per share amounts)</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Basic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47625</wp:posOffset>
            </wp:positionV>
            <wp:extent cx="641223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6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Numerator:</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Allocation of net loss attributable to 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38100</wp:posOffset>
            </wp:positionV>
            <wp:extent cx="641223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Weighted average number of shares of Class A outstanding</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Three Months</w:t>
            </w:r>
          </w:p>
        </w:tc>
        <w:tc>
          <w:tcPr>
            <w:tcW w:w="20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Nine Months</w:t>
            </w:r>
          </w:p>
        </w:tc>
      </w:tr>
      <w:tr>
        <w:trPr>
          <w:trHeight w:val="230"/>
        </w:trPr>
        <w:tc>
          <w:tcPr>
            <w:tcW w:w="200" w:type="dxa"/>
            <w:vAlign w:val="bottom"/>
          </w:tcPr>
          <w:p>
            <w:pPr>
              <w:spacing w:after="0"/>
              <w:rPr>
                <w:sz w:val="19"/>
                <w:szCs w:val="19"/>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29"/>
        </w:trPr>
        <w:tc>
          <w:tcPr>
            <w:tcW w:w="200" w:type="dxa"/>
            <w:vAlign w:val="bottom"/>
          </w:tcPr>
          <w:p>
            <w:pPr>
              <w:spacing w:after="0"/>
              <w:rPr>
                <w:sz w:val="19"/>
                <w:szCs w:val="19"/>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68"/>
        </w:trPr>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3"/>
                <w:szCs w:val="23"/>
                <w:color w:val="auto"/>
              </w:rPr>
            </w:pPr>
          </w:p>
        </w:tc>
      </w:tr>
      <w:tr>
        <w:trPr>
          <w:trHeight w:val="75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(7,978 )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(7,978 )</w:t>
            </w:r>
          </w:p>
        </w:tc>
      </w:tr>
      <w:tr>
        <w:trPr>
          <w:trHeight w:val="263"/>
        </w:trPr>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88,263,333</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88,263,333</w:t>
            </w:r>
          </w:p>
        </w:tc>
        <w:tc>
          <w:tcPr>
            <w:tcW w:w="80" w:type="dxa"/>
            <w:vAlign w:val="bottom"/>
          </w:tcPr>
          <w:p>
            <w:pPr>
              <w:spacing w:after="0"/>
              <w:rPr>
                <w:sz w:val="22"/>
                <w:szCs w:val="22"/>
                <w:color w:val="auto"/>
              </w:rPr>
            </w:pPr>
          </w:p>
        </w:tc>
      </w:tr>
      <w:tr>
        <w:trPr>
          <w:trHeight w:val="25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(0.09 )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(0.09 )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360"/>
          </w:cols>
          <w:pgMar w:left="320" w:top="517" w:right="439" w:bottom="1440" w:gutter="0" w:footer="0" w:header="0"/>
          <w:type w:val="continuous"/>
        </w:sectPr>
      </w:pPr>
    </w:p>
    <w:p>
      <w:pPr>
        <w:spacing w:after="0" w:line="69"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7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Nine Months</w:t>
            </w:r>
          </w:p>
        </w:tc>
        <w:tc>
          <w:tcPr>
            <w:tcW w:w="80" w:type="dxa"/>
            <w:vAlign w:val="bottom"/>
          </w:tcPr>
          <w:p>
            <w:pPr>
              <w:spacing w:after="0"/>
              <w:rPr>
                <w:sz w:val="19"/>
                <w:szCs w:val="19"/>
                <w:color w:val="auto"/>
              </w:rPr>
            </w:pPr>
          </w:p>
        </w:tc>
      </w:tr>
      <w:tr>
        <w:trPr>
          <w:trHeight w:val="230"/>
        </w:trPr>
        <w:tc>
          <w:tcPr>
            <w:tcW w:w="78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r>
      <w:tr>
        <w:trPr>
          <w:trHeight w:val="229"/>
        </w:trPr>
        <w:tc>
          <w:tcPr>
            <w:tcW w:w="78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r>
      <w:tr>
        <w:trPr>
          <w:trHeight w:val="268"/>
        </w:trPr>
        <w:tc>
          <w:tcPr>
            <w:tcW w:w="786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3"/>
                <w:szCs w:val="23"/>
                <w:color w:val="auto"/>
              </w:rPr>
            </w:pPr>
          </w:p>
        </w:tc>
      </w:tr>
      <w:tr>
        <w:trPr>
          <w:trHeight w:val="25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Definitive OpCo Units</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57,192,893</w:t>
            </w:r>
          </w:p>
        </w:tc>
        <w:tc>
          <w:tcPr>
            <w:tcW w:w="8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Data</w:t>
      </w:r>
    </w:p>
    <w:p>
      <w:pPr>
        <w:spacing w:after="0" w:line="135"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7" w:right="439" w:bottom="1440" w:gutter="0" w:footer="0" w:header="0"/>
          <w:type w:val="continuous"/>
        </w:sectPr>
      </w:pPr>
    </w:p>
    <w:bookmarkStart w:id="25" w:name="page26"/>
    <w:bookmarkEnd w:id="25"/>
    <w:p>
      <w:pPr>
        <w:ind w:left="520"/>
        <w:spacing w:after="0"/>
        <w:rPr>
          <w:sz w:val="20"/>
          <w:szCs w:val="20"/>
          <w:color w:val="auto"/>
        </w:rPr>
      </w:pPr>
      <w:r>
        <w:rPr>
          <w:rFonts w:ascii="Arial" w:cs="Arial" w:eastAsia="Arial" w:hAnsi="Arial"/>
          <w:sz w:val="18"/>
          <w:szCs w:val="18"/>
          <w:color w:val="auto"/>
        </w:rPr>
        <w:t>Revenues by geographic area presented based upon the location of the customer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6"/>
              </w:rPr>
              <w:t>For the Three Months Ended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7"/>
              </w:rPr>
              <w:t>For the Nine Months Ended</w:t>
            </w:r>
          </w:p>
        </w:tc>
        <w:tc>
          <w:tcPr>
            <w:tcW w:w="80" w:type="dxa"/>
            <w:vAlign w:val="bottom"/>
          </w:tcPr>
          <w:p>
            <w:pPr>
              <w:spacing w:after="0"/>
              <w:rPr>
                <w:sz w:val="15"/>
                <w:szCs w:val="15"/>
                <w:color w:val="auto"/>
              </w:rPr>
            </w:pPr>
          </w:p>
        </w:tc>
      </w:tr>
      <w:tr>
        <w:trPr>
          <w:trHeight w:val="192"/>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40,863</w:t>
            </w:r>
          </w:p>
        </w:tc>
        <w:tc>
          <w:tcPr>
            <w:tcW w:w="5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114,339</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80" w:type="dxa"/>
            <w:vAlign w:val="bottom"/>
            <w:shd w:val="clear" w:color="auto" w:fill="CFF0FC"/>
          </w:tcPr>
          <w:p>
            <w:pPr>
              <w:spacing w:after="0"/>
              <w:rPr>
                <w:sz w:val="21"/>
                <w:szCs w:val="2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7"/>
        </w:trPr>
        <w:tc>
          <w:tcPr>
            <w:tcW w:w="48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6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3943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3943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31"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98"/>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FF0FC"/>
          </w:tcPr>
          <w:p>
            <w:pPr>
              <w:spacing w:after="0"/>
              <w:rPr>
                <w:sz w:val="21"/>
                <w:szCs w:val="2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r>
      <w:tr>
        <w:trPr>
          <w:trHeight w:val="296"/>
        </w:trPr>
        <w:tc>
          <w:tcPr>
            <w:tcW w:w="68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1631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1631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135"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8"/>
          <w:szCs w:val="18"/>
          <w:color w:val="231F20"/>
        </w:rPr>
        <w:t>The Company has engaged in revenue transactions within the ordinary course of business with entities affiliated with its private equity sponsors and with members of the Company’s board of directors. During each of the nine months ended September 30, 2021 and 2020 the Company recorded revenue of $0.7 million and $0.6 million, respectively. The associated receivable for the revenue transactions amounted to $0.1 million and $0.7 million at September 30, 2021 and December 31, 2020, respectively.</w:t>
      </w:r>
    </w:p>
    <w:p>
      <w:pPr>
        <w:spacing w:after="0" w:line="77" w:lineRule="exact"/>
        <w:rPr>
          <w:sz w:val="20"/>
          <w:szCs w:val="20"/>
          <w:color w:val="auto"/>
        </w:rPr>
      </w:pPr>
    </w:p>
    <w:p>
      <w:pPr>
        <w:jc w:val="both"/>
        <w:ind w:right="160" w:firstLine="509"/>
        <w:spacing w:after="0" w:line="275" w:lineRule="auto"/>
        <w:rPr>
          <w:sz w:val="20"/>
          <w:szCs w:val="20"/>
          <w:color w:val="auto"/>
        </w:rPr>
      </w:pPr>
      <w:r>
        <w:rPr>
          <w:rFonts w:ascii="Arial" w:cs="Arial" w:eastAsia="Arial" w:hAnsi="Arial"/>
          <w:sz w:val="18"/>
          <w:szCs w:val="18"/>
          <w:color w:val="231F20"/>
        </w:rPr>
        <w:t xml:space="preserve">The Company reimburses its private equity sponsors for services and any related travel and out-of-pocket expenses. During the </w:t>
      </w:r>
      <w:r>
        <w:rPr>
          <w:rFonts w:ascii="Arial" w:cs="Arial" w:eastAsia="Arial" w:hAnsi="Arial"/>
          <w:sz w:val="18"/>
          <w:szCs w:val="18"/>
          <w:color w:val="000000"/>
        </w:rPr>
        <w:t>nine</w:t>
      </w:r>
      <w:r>
        <w:rPr>
          <w:rFonts w:ascii="Arial" w:cs="Arial" w:eastAsia="Arial" w:hAnsi="Arial"/>
          <w:sz w:val="18"/>
          <w:szCs w:val="18"/>
          <w:color w:val="231F20"/>
        </w:rPr>
        <w:t xml:space="preserve"> months ended September 30, 2021, the Company had expenses for services, travel and out-of-pocket expenses to its private equity sponsors of $0.2 million and was not material for the </w:t>
      </w:r>
      <w:r>
        <w:rPr>
          <w:rFonts w:ascii="Arial" w:cs="Arial" w:eastAsia="Arial" w:hAnsi="Arial"/>
          <w:sz w:val="18"/>
          <w:szCs w:val="18"/>
          <w:color w:val="000000"/>
        </w:rPr>
        <w:t>nine</w:t>
      </w:r>
      <w:r>
        <w:rPr>
          <w:rFonts w:ascii="Arial" w:cs="Arial" w:eastAsia="Arial" w:hAnsi="Arial"/>
          <w:sz w:val="18"/>
          <w:szCs w:val="18"/>
          <w:color w:val="231F20"/>
        </w:rPr>
        <w:t xml:space="preserve"> months ended September 30, 2020. The associated payable for the service transactions was not material at September 30, 2021 and December 31, 2020.</w:t>
      </w:r>
    </w:p>
    <w:p>
      <w:pPr>
        <w:spacing w:after="0" w:line="77" w:lineRule="exact"/>
        <w:rPr>
          <w:sz w:val="20"/>
          <w:szCs w:val="20"/>
          <w:color w:val="auto"/>
        </w:rPr>
      </w:pPr>
    </w:p>
    <w:p>
      <w:pPr>
        <w:jc w:val="both"/>
        <w:ind w:right="160" w:firstLine="509"/>
        <w:spacing w:after="0" w:line="275" w:lineRule="auto"/>
        <w:rPr>
          <w:sz w:val="20"/>
          <w:szCs w:val="20"/>
          <w:color w:val="auto"/>
        </w:rPr>
      </w:pPr>
      <w:r>
        <w:rPr>
          <w:rFonts w:ascii="Arial" w:cs="Arial" w:eastAsia="Arial" w:hAnsi="Arial"/>
          <w:sz w:val="18"/>
          <w:szCs w:val="18"/>
          <w:color w:val="231F20"/>
        </w:rPr>
        <w:t>On September 17, 2021, Definitive OpCo entered into an agreement to reim</w:t>
      </w:r>
      <w:r>
        <w:rPr>
          <w:rFonts w:ascii="Arial" w:cs="Arial" w:eastAsia="Arial" w:hAnsi="Arial"/>
          <w:sz w:val="18"/>
          <w:szCs w:val="18"/>
          <w:color w:val="000000"/>
        </w:rPr>
        <w:t>burse approximately $0.9 million in aggregate documented expenses</w:t>
      </w:r>
      <w:r>
        <w:rPr>
          <w:rFonts w:ascii="Arial" w:cs="Arial" w:eastAsia="Arial" w:hAnsi="Arial"/>
          <w:sz w:val="18"/>
          <w:szCs w:val="18"/>
          <w:color w:val="231F20"/>
        </w:rPr>
        <w:t xml:space="preserve"> </w:t>
      </w:r>
      <w:r>
        <w:rPr>
          <w:rFonts w:ascii="Arial" w:cs="Arial" w:eastAsia="Arial" w:hAnsi="Arial"/>
          <w:sz w:val="18"/>
          <w:szCs w:val="18"/>
          <w:color w:val="000000"/>
        </w:rPr>
        <w:t xml:space="preserve">incurred by Advent International, 22C Capital LLC ("22C Capital"), Spectrum Equity Management, L.P. ("Spectrum Equity"), Jason Krantz and MHDH AB and in connection with the Reorganization </w:t>
      </w:r>
      <w:r>
        <w:rPr>
          <w:rFonts w:ascii="Arial" w:cs="Arial" w:eastAsia="Arial" w:hAnsi="Arial"/>
          <w:sz w:val="18"/>
          <w:szCs w:val="18"/>
          <w:color w:val="231F20"/>
        </w:rPr>
        <w:t>Transactions. The amounts were included in accrued expenses and other current liabilities as of September</w:t>
      </w:r>
      <w:r>
        <w:rPr>
          <w:rFonts w:ascii="Arial" w:cs="Arial" w:eastAsia="Arial" w:hAnsi="Arial"/>
          <w:sz w:val="18"/>
          <w:szCs w:val="18"/>
          <w:color w:val="000000"/>
        </w:rPr>
        <w:t xml:space="preserve"> </w:t>
      </w:r>
      <w:r>
        <w:rPr>
          <w:rFonts w:ascii="Arial" w:cs="Arial" w:eastAsia="Arial" w:hAnsi="Arial"/>
          <w:sz w:val="18"/>
          <w:szCs w:val="18"/>
          <w:color w:val="231F20"/>
        </w:rPr>
        <w:t>30, 2021 and are expected to be paid in the fourth quarter of 2021.</w:t>
      </w:r>
    </w:p>
    <w:p>
      <w:pPr>
        <w:spacing w:after="0" w:line="77"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231F20"/>
        </w:rPr>
        <w:t xml:space="preserve">During the second quarter </w:t>
      </w:r>
      <w:r>
        <w:rPr>
          <w:rFonts w:ascii="Arial" w:cs="Arial" w:eastAsia="Arial" w:hAnsi="Arial"/>
          <w:sz w:val="17"/>
          <w:szCs w:val="17"/>
          <w:color w:val="000000"/>
        </w:rPr>
        <w:t>of 2021, the Company issued 363,516 new Class A units worth $5.8 million to members of the Company's board of</w:t>
      </w:r>
      <w:r>
        <w:rPr>
          <w:rFonts w:ascii="Arial" w:cs="Arial" w:eastAsia="Arial" w:hAnsi="Arial"/>
          <w:sz w:val="17"/>
          <w:szCs w:val="17"/>
          <w:color w:val="231F20"/>
        </w:rPr>
        <w:t xml:space="preserve"> </w:t>
      </w:r>
      <w:r>
        <w:rPr>
          <w:rFonts w:ascii="Arial" w:cs="Arial" w:eastAsia="Arial" w:hAnsi="Arial"/>
          <w:sz w:val="17"/>
          <w:szCs w:val="17"/>
          <w:color w:val="000000"/>
        </w:rPr>
        <w:t>directors. Further, in connection with Definitive Healthcare’s IPO, the underwriters reserved 5% of the common shares for sale at the initial offering price to the Company’s directors, officers and selected senior managers (the “Directed Share Program”). Richard Booth and Samuel A. Hamood participated in the Directed Share Program and purchased 7,407 and 37,037 shares of Class A Common Stock,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Noncontrolling Interest</w:t>
      </w:r>
    </w:p>
    <w:p>
      <w:pPr>
        <w:spacing w:after="0" w:line="364"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OpCo Units by Continuing LLC Members will result in a change in ownership and reduce or increase the amount recorded as Noncontrolling interests and increase or decrease Additional paid-in capital in the Company’s Condensed Consolidated Balance Sheets.</w:t>
      </w:r>
    </w:p>
    <w:p>
      <w:pPr>
        <w:spacing w:after="0" w:line="47" w:lineRule="exact"/>
        <w:rPr>
          <w:sz w:val="20"/>
          <w:szCs w:val="20"/>
          <w:color w:val="auto"/>
        </w:rPr>
      </w:pPr>
    </w:p>
    <w:p>
      <w:pPr>
        <w:jc w:val="center"/>
        <w:ind w:left="600" w:right="240"/>
        <w:spacing w:after="0" w:line="405" w:lineRule="auto"/>
        <w:rPr>
          <w:sz w:val="20"/>
          <w:szCs w:val="20"/>
          <w:color w:val="auto"/>
        </w:rPr>
      </w:pPr>
      <w:r>
        <w:rPr>
          <w:rFonts w:ascii="Arial" w:cs="Arial" w:eastAsia="Arial" w:hAnsi="Arial"/>
          <w:sz w:val="18"/>
          <w:szCs w:val="18"/>
          <w:color w:val="auto"/>
        </w:rPr>
        <w:t>As of September 30, 2021, Definitive Healthcare Corp. held 88,263,333 units in the Definitive OpCo resulting in an ownership interest of 60.7%</w:t>
      </w:r>
      <w:r>
        <w:rPr>
          <w:rFonts w:ascii="Arial" w:cs="Arial" w:eastAsia="Arial" w:hAnsi="Arial"/>
          <w:sz w:val="21"/>
          <w:szCs w:val="21"/>
          <w:color w:val="auto"/>
        </w:rPr>
        <w:t>.</w:t>
      </w:r>
      <w:r>
        <w:rPr>
          <w:rFonts w:ascii="Arial" w:cs="Arial" w:eastAsia="Arial" w:hAnsi="Arial"/>
          <w:sz w:val="18"/>
          <w:szCs w:val="18"/>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20. Subsequent Events</w:t>
      </w:r>
    </w:p>
    <w:p>
      <w:pPr>
        <w:spacing w:after="0" w:line="135"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Robert Musslewhite was appointed as President of Definitive Healthcare Corp. effective October 7, 2021. In connection with his appointment, Mr. Musslewhite entered into an employment agreement pursuant to which, he will be paid an annual base salary of $0.4 million. Mr. Musslewhite's annual bonus will equal 68% of his pro-rated base salary calculated from the effective date of his employment agreement. In future years, Mr. Musslewhite will be eligible to receive an annual bonus of up to 68% of his base salary, determined in the sole discretion of the Board, and will be able to participate in the Company's exective incentive plan on the same terms as similarly situated executives.</w:t>
      </w:r>
    </w:p>
    <w:p>
      <w:pPr>
        <w:spacing w:after="0" w:line="66"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addition, pursuant to his employment agreement, Mr. Musslewhite will be granted a restricted stock unit award of 433,550 shares of the Company's Class A common stock, which will vest 25% on the one-year anniversary of the grant, followed by quarterly vesting of 6.25% per quarter until fully vested over the subsequent three years. Further, Mr. Musslewhite will be granted a second restricted stock unit award in the amount of 216,450 shares of Class A common stock, 33% of which will vest on the one-year anniversary of the grant, followed by quarterly vesting of 8.33% per quarter until fully vested over the subsequent two years.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35"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final prospectus dated September 14, 2021, filed with the Securities and Exchange Commission (“SEC”) pursuant to Rule 424(b) of the Securities Act of 1933, as amended, on September 16, 2021, in connection with our IPO (the “IPO Prospectus”).</w:t>
      </w:r>
    </w:p>
    <w:p>
      <w:pPr>
        <w:spacing w:after="0" w:line="6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our IPO Prospectus.</w:t>
      </w:r>
    </w:p>
    <w:p>
      <w:pPr>
        <w:spacing w:after="0" w:line="77" w:lineRule="exact"/>
        <w:rPr>
          <w:sz w:val="20"/>
          <w:szCs w:val="20"/>
          <w:color w:val="auto"/>
        </w:rPr>
      </w:pPr>
    </w:p>
    <w:p>
      <w:pPr>
        <w:ind w:right="280" w:firstLine="509"/>
        <w:spacing w:after="0" w:line="296" w:lineRule="auto"/>
        <w:rPr>
          <w:sz w:val="20"/>
          <w:szCs w:val="20"/>
          <w:color w:val="auto"/>
        </w:rPr>
      </w:pPr>
      <w:r>
        <w:rPr>
          <w:rFonts w:ascii="Arial" w:cs="Arial" w:eastAsia="Arial" w:hAnsi="Arial"/>
          <w:sz w:val="17"/>
          <w:szCs w:val="17"/>
          <w:i w:val="1"/>
          <w:iCs w:val="1"/>
          <w:color w:val="auto"/>
        </w:rPr>
        <w:t>References in this Form 10-Q to “Definitive Healthcare Corp.” refer to Definitive Healthcare Corp. and not to any of its subsidiaries unless the context indicates otherwise. References in this Form 10-Q to “Definitive Healthcare,”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20" w:firstLine="509"/>
        <w:spacing w:after="0" w:line="319" w:lineRule="auto"/>
        <w:rPr>
          <w:sz w:val="20"/>
          <w:szCs w:val="20"/>
          <w:color w:val="auto"/>
        </w:rPr>
      </w:pPr>
      <w:r>
        <w:rPr>
          <w:rFonts w:ascii="Arial" w:cs="Arial" w:eastAsia="Arial" w:hAnsi="Arial"/>
          <w:sz w:val="16"/>
          <w:szCs w:val="16"/>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2,700 customers as of September 30, 2021. We define a customer as a company that maintains one or more active paid subscriptions to our platform.</w:t>
      </w:r>
    </w:p>
    <w:p>
      <w:pPr>
        <w:spacing w:after="0" w:line="4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 which accounted for 99% of revenue for the first nine months of 2021.</w:t>
      </w:r>
    </w:p>
    <w:p>
      <w:pPr>
        <w:spacing w:after="0" w:line="83"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56" w:lineRule="exact"/>
        <w:rPr>
          <w:sz w:val="20"/>
          <w:szCs w:val="20"/>
          <w:color w:val="auto"/>
        </w:rPr>
      </w:pPr>
    </w:p>
    <w:p>
      <w:pPr>
        <w:ind w:firstLine="509"/>
        <w:spacing w:after="0" w:line="359" w:lineRule="auto"/>
        <w:rPr>
          <w:sz w:val="20"/>
          <w:szCs w:val="20"/>
          <w:color w:val="auto"/>
        </w:rPr>
      </w:pPr>
      <w:r>
        <w:rPr>
          <w:rFonts w:ascii="Arial" w:cs="Arial" w:eastAsia="Arial" w:hAnsi="Arial"/>
          <w:sz w:val="16"/>
          <w:szCs w:val="16"/>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Definitive Healthcare Corp. was incorporated in May 2021 with no operating assets or operations for the purposes of facilitating an IPO of its Class A Common Stock (the “IPO”) and other related transactions in order to carry on the business of Definitive OpCo following the consummation of the Reorganization Transactions.</w:t>
      </w:r>
    </w:p>
    <w:p>
      <w:pPr>
        <w:spacing w:after="0" w:line="75" w:lineRule="exact"/>
        <w:rPr>
          <w:sz w:val="20"/>
          <w:szCs w:val="20"/>
          <w:color w:val="auto"/>
        </w:rPr>
      </w:pPr>
    </w:p>
    <w:p>
      <w:pPr>
        <w:ind w:right="140" w:firstLine="509"/>
        <w:spacing w:after="0" w:line="296" w:lineRule="auto"/>
        <w:rPr>
          <w:sz w:val="20"/>
          <w:szCs w:val="20"/>
          <w:color w:val="auto"/>
        </w:rPr>
      </w:pPr>
      <w:r>
        <w:rPr>
          <w:rFonts w:ascii="Arial" w:cs="Arial" w:eastAsia="Arial" w:hAnsi="Arial"/>
          <w:sz w:val="17"/>
          <w:szCs w:val="17"/>
          <w:color w:val="auto"/>
        </w:rPr>
        <w:t>Following the completion of the Reorganization Transactions, Definitive Healthcare Corp. became a holding company, with its sole material asset being a controlling equity interest in Definitive OpCo. Definitive Healthcare Corp. operates and controls all of our business and affairs, and consolidates the financial results of Definitive OpCo. Accordingly, Definitive Healthcare Corp. reports a non-controlling interest related to the LLC Units held by certain pre-IPO members that continue to hold LLC Units in Definitive OpCo in our consolidated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On September 17, 2021, Definitive Healthcare Corp. completed the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28" w:name="page29"/>
    <w:bookmarkEnd w:id="28"/>
    <w:p>
      <w:pPr>
        <w:ind w:right="460"/>
        <w:spacing w:after="0" w:line="293" w:lineRule="auto"/>
        <w:rPr>
          <w:sz w:val="20"/>
          <w:szCs w:val="20"/>
          <w:color w:val="auto"/>
        </w:rPr>
      </w:pPr>
      <w:r>
        <w:rPr>
          <w:rFonts w:ascii="Arial" w:cs="Arial" w:eastAsia="Arial" w:hAnsi="Arial"/>
          <w:sz w:val="18"/>
          <w:szCs w:val="18"/>
          <w:color w:val="auto"/>
        </w:rPr>
        <w:t>excluding other offering expenses as of September 30, 2021). The IPO was registered pursuant to a registration statement on Form S-1 (File No. 333-258990) that was declared effective by the SEC on September 14, 2021.</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As contemplated in the IPO Prospectus, Definitive Healthcare Corp. used the net proceeds from the IPO to (i) acquire 14,222,222 newly issued LLC Units from Definitive OpCo, (ii) acquire 1,169,378 LLC Units from certain holders who hold their ownership in Definitive OpCo in the form of LLC Units (the holders of all outstanding LLC Units in Definitive OpCo are collectively referred to herein as the "Unitholders") and (iii) repurchase 2,497,288 shares of Class A Common Stock received by certain of our stockholders in the Reorganization Transactions at a purchase price per LLC Unit and share of Class A Common Stock, in each case equal to the IPO price of Class A Common Stock, after deducting the underwriting discounts and commissions. Definitive OpCo used the proceeds from the issuance of the LLC Units to Definitive Healthcare Corp. to pay fees and expenses of approximately $11.4 million in connection with the IPO and the Reorganization Transactions and to repay $199.6 million, inclusive of accrued interest expense, of the outstanding borrowings under our 2019 Credit Agreement; and used the remainder for general corporate purposes.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Definitive OpCo Units and Common Stock</w:t>
      </w:r>
    </w:p>
    <w:p>
      <w:pPr>
        <w:spacing w:after="0" w:line="131"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In connection with the Reorganization Transactions, the limited liability company agreement of Definitive OpCo was amended and restated to, among other things, give holders of LLC Units prior to the IPO who continued holding LLC Units after the IPO, the right to require Definitive OpCo to exchange all or a portion of their LLC Units for newly issued shares of Class A Common Stock, on a one-for-one basis (subject to customary adjustments, including for stock splits, stock dividends and reclassifications) in accordance with the terms of the Amended LLC. The Amended LLC Agreement also authorizes the cancellation of shares of Class B Common Stock following an exchange by a holder of LLC Units. The holders of vested Reclassified Management Holdings Class B Units (as defined below)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would exchange such Reclassified Class B LLC Units for newly issued shares of Class A Common Stock on a one-for-one basis pursuant to the terms of the Amended LLC Agreement.</w:t>
      </w:r>
    </w:p>
    <w:p>
      <w:pPr>
        <w:spacing w:after="0" w:line="70"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Prior to the Reorganization Transactions, in addition to Class A LLC Units in AIDH Management Holdings, LLC (the “Management LLC Class A Units”) that correspond to Class A Units in Definitive OpCo (the “Topco Class A Units”) on a one-for-one basis, AIDH Management Holdings, LLC granted Class B Units (the “Management LLC Class B Units”) intended to be treated as “profits interests” for U.S. federal income tax purposes which have economic characteristics similar to SARs and which are subject to vesting. Such Management LLC Class B Units corresponded on a one-for-one basis to Class B Units issued to AIDH Management Holdings, LLC by Definitive OpCo, also intended to be treated as “profits interests” for U.S. federal income tax purposes. Management LLC Class B Units only had value to the extent there was appreciation in the value of Definitive OpCo above an applicable floor amount from and after the applicable grant date. In connection with the Reorganization Transactions, the Management LLC Class B Units were exchanged and reclassified into Management LLC Class A Units (the “Reclassified Management Holdings Class B Units”) and the Class B Units issued to AIDH Management Holdings, LLC by Definitive OpCo were exchanged and reclassified into LLC Units (the “Reclassified Class B LLC Units”) subject to vesting. In connection with the Reorganization Transactions, Class B Common Stock was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is not entitled to any voting rights until such time as such Reclassified Management Holdings Class B Units vest.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effects of the COVID-19 pandemic continue to evolve and its impact on the economy and healthcare ecosystem have been vast. However, other than a brief slowdown in new bookings during the second quarter of 2020 at the outset of the pandemic, the pandemic has not adversely affected our business, results of operations or financial condition. We continued to invest in our sales force and the business and have not experienced any known business disruptions as a result of the pandemic. Most of our services are already delivered remotely or are capable of being delivered remotely. We have demonstrated our agility to respond to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September 30, 2021 and December 31, 2020, we had over 2,700 and 2,600 customers, respectively.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there is a significant opportunity to generate additional revenue from our existing customer base.</w:t>
      </w:r>
    </w:p>
    <w:p>
      <w:pPr>
        <w:spacing w:after="0" w:line="239" w:lineRule="exact"/>
        <w:rPr>
          <w:sz w:val="20"/>
          <w:szCs w:val="20"/>
          <w:color w:val="auto"/>
        </w:rPr>
      </w:pPr>
    </w:p>
    <w:p>
      <w:pPr>
        <w:ind w:right="280" w:firstLine="509"/>
        <w:spacing w:after="0" w:line="272" w:lineRule="auto"/>
        <w:rPr>
          <w:sz w:val="20"/>
          <w:szCs w:val="20"/>
          <w:color w:val="auto"/>
        </w:rPr>
      </w:pPr>
      <w:r>
        <w:rPr>
          <w:rFonts w:ascii="Arial" w:cs="Arial" w:eastAsia="Arial" w:hAnsi="Arial"/>
          <w:sz w:val="18"/>
          <w:szCs w:val="18"/>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91"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Our platform currently offers 13 intelligence modules. Our success in expanding usage of our platform with our existing customers is demonstrated by our net dollar retention rate ("NDR"), which is further described below. For the year ended December 31, 2020, our NDR for customers generating more than $100,000 in ARR ("Enterprise Customers") was 124% and our NDR for all customers over $17,500 ARR was 108%.</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31"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3" w:lineRule="exact"/>
        <w:rPr>
          <w:sz w:val="20"/>
          <w:szCs w:val="20"/>
          <w:color w:val="auto"/>
        </w:rPr>
      </w:pPr>
    </w:p>
    <w:p>
      <w:pPr>
        <w:ind w:right="300" w:firstLine="509"/>
        <w:spacing w:after="0" w:line="292"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174" w:lineRule="exact"/>
        <w:rPr>
          <w:sz w:val="20"/>
          <w:szCs w:val="20"/>
          <w:color w:val="auto"/>
        </w:rPr>
      </w:pPr>
    </w:p>
    <w:p>
      <w:pPr>
        <w:ind w:right="40" w:firstLine="509"/>
        <w:spacing w:after="0" w:line="303" w:lineRule="auto"/>
        <w:rPr>
          <w:sz w:val="20"/>
          <w:szCs w:val="20"/>
          <w:color w:val="auto"/>
        </w:rPr>
      </w:pPr>
      <w:r>
        <w:rPr>
          <w:rFonts w:ascii="Arial" w:cs="Arial" w:eastAsia="Arial" w:hAnsi="Arial"/>
          <w:sz w:val="17"/>
          <w:szCs w:val="17"/>
          <w:color w:val="auto"/>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spacing w:after="0" w:line="16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30" w:name="page31"/>
    <w:bookmarkEnd w:id="30"/>
    <w:p>
      <w:pPr>
        <w:ind w:right="40"/>
        <w:spacing w:after="0" w:line="293" w:lineRule="auto"/>
        <w:rPr>
          <w:sz w:val="20"/>
          <w:szCs w:val="20"/>
          <w:color w:val="auto"/>
        </w:rPr>
      </w:pPr>
      <w:r>
        <w:rPr>
          <w:rFonts w:ascii="Arial" w:cs="Arial" w:eastAsia="Arial" w:hAnsi="Arial"/>
          <w:sz w:val="18"/>
          <w:szCs w:val="18"/>
          <w:color w:val="auto"/>
        </w:rPr>
        <w:t>tools for comparison. A reconciliation is provided below for each non-GAAP financial measure to the most directly comparable financial measure stated in accordance with GAAP.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3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These are key metrics used by management and our board of directors to assess our operations.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a reconciliation of Gross Profit to Adjusted Gross Profit and Adjusted Gross Margin for the periods presented:</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6"/>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256"/>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Reported 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22,660</w:t>
            </w:r>
          </w:p>
        </w:tc>
        <w:tc>
          <w:tcPr>
            <w:tcW w:w="3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90,050</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62,505</w:t>
            </w:r>
          </w:p>
        </w:tc>
        <w:tc>
          <w:tcPr>
            <w:tcW w:w="260" w:type="dxa"/>
            <w:vAlign w:val="bottom"/>
            <w:shd w:val="clear" w:color="auto" w:fill="CFF0FC"/>
          </w:tcPr>
          <w:p>
            <w:pPr>
              <w:spacing w:after="0"/>
              <w:rPr>
                <w:sz w:val="22"/>
                <w:szCs w:val="22"/>
                <w:color w:val="auto"/>
              </w:rPr>
            </w:pPr>
          </w:p>
        </w:tc>
      </w:tr>
      <w:tr>
        <w:trPr>
          <w:trHeight w:val="242"/>
        </w:trPr>
        <w:tc>
          <w:tcPr>
            <w:tcW w:w="4280" w:type="dxa"/>
            <w:vAlign w:val="bottom"/>
          </w:tcPr>
          <w:p>
            <w:pPr>
              <w:spacing w:after="0"/>
              <w:rPr>
                <w:sz w:val="20"/>
                <w:szCs w:val="20"/>
                <w:color w:val="auto"/>
              </w:rPr>
            </w:pPr>
            <w:r>
              <w:rPr>
                <w:rFonts w:ascii="Arial" w:cs="Arial" w:eastAsia="Arial" w:hAnsi="Arial"/>
                <w:sz w:val="18"/>
                <w:szCs w:val="18"/>
                <w:color w:val="auto"/>
              </w:rPr>
              <w:t>Amortization of intangible assets resulting from</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7"/>
        </w:trPr>
        <w:tc>
          <w:tcPr>
            <w:tcW w:w="4280" w:type="dxa"/>
            <w:vAlign w:val="bottom"/>
          </w:tcPr>
          <w:p>
            <w:pPr>
              <w:spacing w:after="0"/>
              <w:rPr>
                <w:sz w:val="20"/>
                <w:szCs w:val="20"/>
                <w:color w:val="auto"/>
              </w:rPr>
            </w:pPr>
            <w:r>
              <w:rPr>
                <w:rFonts w:ascii="Arial" w:cs="Arial" w:eastAsia="Arial" w:hAnsi="Arial"/>
                <w:sz w:val="18"/>
                <w:szCs w:val="18"/>
                <w:color w:val="auto"/>
              </w:rPr>
              <w:t>acquisition-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66"/>
        </w:trPr>
        <w:tc>
          <w:tcPr>
            <w:tcW w:w="4280" w:type="dxa"/>
            <w:vAlign w:val="bottom"/>
          </w:tcPr>
          <w:p>
            <w:pPr>
              <w:ind w:left="140"/>
              <w:spacing w:after="0" w:line="266" w:lineRule="exact"/>
              <w:rPr>
                <w:sz w:val="20"/>
                <w:szCs w:val="20"/>
                <w:color w:val="auto"/>
              </w:rPr>
            </w:pPr>
            <w:r>
              <w:rPr>
                <w:rFonts w:ascii="Arial" w:cs="Arial" w:eastAsia="Arial" w:hAnsi="Arial"/>
                <w:sz w:val="18"/>
                <w:szCs w:val="18"/>
                <w:color w:val="auto"/>
              </w:rPr>
              <w:t xml:space="preserve">related purchase accounting adjustments </w:t>
            </w:r>
            <w:r>
              <w:rPr>
                <w:rFonts w:ascii="Arial" w:cs="Arial" w:eastAsia="Arial" w:hAnsi="Arial"/>
                <w:sz w:val="24"/>
                <w:szCs w:val="24"/>
                <w:color w:val="auto"/>
                <w:vertAlign w:val="superscript"/>
              </w:rPr>
              <w:t>(a)</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5,096</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4,759</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15,125</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14,175</w:t>
            </w:r>
          </w:p>
        </w:tc>
        <w:tc>
          <w:tcPr>
            <w:tcW w:w="260" w:type="dxa"/>
            <w:vAlign w:val="bottom"/>
          </w:tcPr>
          <w:p>
            <w:pPr>
              <w:spacing w:after="0"/>
              <w:rPr>
                <w:sz w:val="23"/>
                <w:szCs w:val="23"/>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costs</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37,743</w:t>
            </w:r>
          </w:p>
        </w:tc>
        <w:tc>
          <w:tcPr>
            <w:tcW w:w="3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27,435</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105,254</w:t>
            </w:r>
          </w:p>
        </w:tc>
        <w:tc>
          <w:tcPr>
            <w:tcW w:w="3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76,726</w:t>
            </w:r>
          </w:p>
        </w:tc>
        <w:tc>
          <w:tcPr>
            <w:tcW w:w="260" w:type="dxa"/>
            <w:vAlign w:val="bottom"/>
          </w:tcPr>
          <w:p>
            <w:pPr>
              <w:spacing w:after="0"/>
              <w:rPr>
                <w:sz w:val="21"/>
                <w:szCs w:val="21"/>
                <w:color w:val="auto"/>
              </w:rPr>
            </w:pPr>
          </w:p>
        </w:tc>
      </w:tr>
      <w:tr>
        <w:trPr>
          <w:trHeight w:val="26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3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3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260" w:type="dxa"/>
            <w:vAlign w:val="bottom"/>
            <w:shd w:val="clear" w:color="auto" w:fill="CFF0FC"/>
          </w:tcPr>
          <w:p>
            <w:pPr>
              <w:spacing w:after="0"/>
              <w:rPr>
                <w:sz w:val="22"/>
                <w:szCs w:val="22"/>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88 %</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88 %</w:t>
            </w: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91 %</w:t>
            </w: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-519430</wp:posOffset>
            </wp:positionV>
            <wp:extent cx="24003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-519430</wp:posOffset>
            </wp:positionV>
            <wp:extent cx="23177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-519430</wp:posOffset>
            </wp:positionV>
            <wp:extent cx="2311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-519430</wp:posOffset>
            </wp:positionV>
            <wp:extent cx="16319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249" w:lineRule="exact"/>
        <w:rPr>
          <w:sz w:val="20"/>
          <w:szCs w:val="20"/>
          <w:color w:val="auto"/>
        </w:rPr>
      </w:pPr>
    </w:p>
    <w:p>
      <w:pPr>
        <w:ind w:left="440" w:right="160" w:hanging="432"/>
        <w:spacing w:after="0" w:line="293"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depreciation expense and the amortization of acquired intangibles, primarily resulting from the Advent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stock-based compensation, (iii) acquisition-related expenses and (iv) other non-recurring and one-time expenses. We exclude these items because they are non-cash or non-recurring in nature,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6"/>
                <w:szCs w:val="16"/>
                <w:color w:val="auto"/>
              </w:rPr>
            </w:pPr>
          </w:p>
        </w:tc>
        <w:tc>
          <w:tcPr>
            <w:tcW w:w="2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Nine Months Ended September 30,</w:t>
            </w:r>
          </w:p>
        </w:tc>
        <w:tc>
          <w:tcPr>
            <w:tcW w:w="560" w:type="dxa"/>
            <w:vAlign w:val="bottom"/>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(20,966 )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(9,962 )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(46,493 )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(35,295 )</w:t>
            </w: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7,186</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9,022</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23,956</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27,802</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Loss from extinguishment of debt</w:t>
            </w: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w:t>
            </w: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44,710</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44,315</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580" w:type="dxa"/>
            <w:vAlign w:val="bottom"/>
          </w:tcPr>
          <w:p>
            <w:pPr>
              <w:spacing w:after="0"/>
              <w:rPr>
                <w:sz w:val="22"/>
                <w:szCs w:val="22"/>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32,046</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36,822</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420" w:type="dxa"/>
            <w:vAlign w:val="bottom"/>
          </w:tcPr>
          <w:p>
            <w:pPr>
              <w:spacing w:after="0" w:line="257"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4"/>
                <w:szCs w:val="24"/>
                <w:color w:val="auto"/>
                <w:vertAlign w:val="superscript"/>
              </w:rPr>
              <w:t>(a)</w:t>
            </w:r>
          </w:p>
        </w:tc>
        <w:tc>
          <w:tcPr>
            <w:tcW w:w="14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(119 )</w:t>
            </w:r>
          </w:p>
        </w:tc>
        <w:tc>
          <w:tcPr>
            <w:tcW w:w="24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(143 )</w:t>
            </w:r>
          </w:p>
        </w:tc>
        <w:tc>
          <w:tcPr>
            <w:tcW w:w="24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420" w:type="dxa"/>
            <w:vAlign w:val="bottom"/>
            <w:shd w:val="clear" w:color="auto" w:fill="CFF0FC"/>
          </w:tcPr>
          <w:p>
            <w:pPr>
              <w:spacing w:after="0" w:line="257" w:lineRule="exact"/>
              <w:rPr>
                <w:sz w:val="20"/>
                <w:szCs w:val="20"/>
                <w:color w:val="auto"/>
              </w:rPr>
            </w:pPr>
            <w:r>
              <w:rPr>
                <w:rFonts w:ascii="Arial" w:cs="Arial" w:eastAsia="Arial" w:hAnsi="Arial"/>
                <w:sz w:val="18"/>
                <w:szCs w:val="18"/>
                <w:color w:val="auto"/>
              </w:rPr>
              <w:t xml:space="preserve">Equity Compensation costs </w:t>
            </w:r>
            <w:r>
              <w:rPr>
                <w:rFonts w:ascii="Arial" w:cs="Arial" w:eastAsia="Arial" w:hAnsi="Arial"/>
                <w:sz w:val="24"/>
                <w:szCs w:val="24"/>
                <w:color w:val="auto"/>
                <w:vertAlign w:val="superscript"/>
              </w:rPr>
              <w:t>(b)</w:t>
            </w: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w:t>
            </w: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420" w:type="dxa"/>
            <w:vAlign w:val="bottom"/>
          </w:tcPr>
          <w:p>
            <w:pPr>
              <w:spacing w:after="0" w:line="257" w:lineRule="exact"/>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24"/>
                <w:szCs w:val="24"/>
                <w:color w:val="auto"/>
                <w:vertAlign w:val="superscript"/>
              </w:rPr>
              <w:t>(c )</w:t>
            </w:r>
          </w:p>
        </w:tc>
        <w:tc>
          <w:tcPr>
            <w:tcW w:w="14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(137 )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3,332</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420" w:type="dxa"/>
            <w:vAlign w:val="bottom"/>
            <w:tcBorders>
              <w:bottom w:val="single" w:sz="8" w:color="CFF0FC"/>
            </w:tcBorders>
            <w:shd w:val="clear" w:color="auto" w:fill="CFF0FC"/>
          </w:tcPr>
          <w:p>
            <w:pPr>
              <w:spacing w:after="0" w:line="257" w:lineRule="exact"/>
              <w:rPr>
                <w:sz w:val="20"/>
                <w:szCs w:val="20"/>
                <w:color w:val="auto"/>
              </w:rPr>
            </w:pPr>
            <w:r>
              <w:rPr>
                <w:rFonts w:ascii="Arial" w:cs="Arial" w:eastAsia="Arial" w:hAnsi="Arial"/>
                <w:sz w:val="18"/>
                <w:szCs w:val="18"/>
                <w:color w:val="auto"/>
              </w:rPr>
              <w:t xml:space="preserve">Non-recurring and one-time adjustments </w:t>
            </w:r>
            <w:r>
              <w:rPr>
                <w:rFonts w:ascii="Arial" w:cs="Arial" w:eastAsia="Arial" w:hAnsi="Arial"/>
                <w:sz w:val="24"/>
                <w:szCs w:val="24"/>
                <w:color w:val="auto"/>
                <w:vertAlign w:val="superscript"/>
              </w:rPr>
              <w:t>(d)</w:t>
            </w: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4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14,419</w:t>
            </w:r>
          </w:p>
        </w:tc>
        <w:tc>
          <w:tcPr>
            <w:tcW w:w="4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14,501</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42,886</w:t>
            </w:r>
          </w:p>
        </w:tc>
        <w:tc>
          <w:tcPr>
            <w:tcW w:w="3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40,704</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26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33 %</w:t>
            </w:r>
          </w:p>
        </w:tc>
        <w:tc>
          <w:tcPr>
            <w:tcW w:w="2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36 %</w:t>
            </w:r>
          </w:p>
        </w:tc>
        <w:tc>
          <w:tcPr>
            <w:tcW w:w="2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48 %</w:t>
            </w:r>
          </w:p>
        </w:tc>
        <w:tc>
          <w:tcPr>
            <w:tcW w:w="560" w:type="dxa"/>
            <w:vAlign w:val="bottom"/>
          </w:tcPr>
          <w:p>
            <w:pPr>
              <w:spacing w:after="0"/>
              <w:rPr>
                <w:sz w:val="22"/>
                <w:szCs w:val="22"/>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48"/>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-965200</wp:posOffset>
            </wp:positionV>
            <wp:extent cx="26543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-965200</wp:posOffset>
            </wp:positionV>
            <wp:extent cx="24828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-965200</wp:posOffset>
            </wp:positionV>
            <wp:extent cx="24892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-965200</wp:posOffset>
            </wp:positionV>
            <wp:extent cx="16319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1" w:name="page32"/>
    <w:bookmarkEnd w:id="31"/>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440" w:right="700" w:hanging="432"/>
        <w:spacing w:after="0" w:line="266"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440" w:right="660" w:hanging="432"/>
        <w:spacing w:after="0" w:line="266"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along with fair value adjustments for contingent consideration related to our acquisitions.</w:t>
      </w:r>
    </w:p>
    <w:p>
      <w:pPr>
        <w:ind w:left="440" w:right="480" w:hanging="432"/>
        <w:spacing w:after="0" w:line="323"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professional fees and other costs related to IPO readiness in the three and nine months ended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351"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 ("NDR")</w:t>
      </w:r>
    </w:p>
    <w:p>
      <w:pPr>
        <w:spacing w:after="0" w:line="13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Remaining Performance Obligations ("cRPO")</w:t>
      </w:r>
    </w:p>
    <w:p>
      <w:pPr>
        <w:spacing w:after="0" w:line="131" w:lineRule="exact"/>
        <w:rPr>
          <w:sz w:val="20"/>
          <w:szCs w:val="20"/>
          <w:color w:val="auto"/>
        </w:rPr>
      </w:pPr>
    </w:p>
    <w:p>
      <w:pPr>
        <w:ind w:right="260" w:firstLine="509"/>
        <w:spacing w:after="0" w:line="292" w:lineRule="auto"/>
        <w:rPr>
          <w:sz w:val="20"/>
          <w:szCs w:val="20"/>
          <w:color w:val="auto"/>
        </w:rPr>
      </w:pPr>
      <w:r>
        <w:rPr>
          <w:rFonts w:ascii="Arial" w:cs="Arial" w:eastAsia="Arial" w:hAnsi="Arial"/>
          <w:sz w:val="17"/>
          <w:szCs w:val="17"/>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cRPO as of September 30,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8"/>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128,653</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114,284</w:t>
            </w:r>
          </w:p>
        </w:tc>
        <w:tc>
          <w:tcPr>
            <w:tcW w:w="80" w:type="dxa"/>
            <w:vAlign w:val="bottom"/>
            <w:shd w:val="clear" w:color="auto" w:fill="CFF0FC"/>
          </w:tcPr>
          <w:p>
            <w:pPr>
              <w:spacing w:after="0"/>
              <w:rPr>
                <w:sz w:val="21"/>
                <w:szCs w:val="21"/>
                <w:color w:val="auto"/>
              </w:rPr>
            </w:pPr>
          </w:p>
        </w:tc>
      </w:tr>
      <w:tr>
        <w:trPr>
          <w:trHeight w:val="250"/>
        </w:trPr>
        <w:tc>
          <w:tcPr>
            <w:tcW w:w="6820" w:type="dxa"/>
            <w:vAlign w:val="bottom"/>
          </w:tcPr>
          <w:p>
            <w:pPr>
              <w:spacing w:after="0"/>
              <w:rPr>
                <w:sz w:val="20"/>
                <w:szCs w:val="20"/>
                <w:color w:val="auto"/>
              </w:rPr>
            </w:pPr>
            <w:r>
              <w:rPr>
                <w:rFonts w:ascii="Arial" w:cs="Arial" w:eastAsia="Arial" w:hAnsi="Arial"/>
                <w:sz w:val="18"/>
                <w:szCs w:val="18"/>
                <w:color w:val="auto"/>
              </w:rPr>
              <w:t>Non-current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58,250</w:t>
            </w:r>
          </w:p>
        </w:tc>
        <w:tc>
          <w:tcPr>
            <w:tcW w:w="80" w:type="dxa"/>
            <w:vAlign w:val="bottom"/>
          </w:tcPr>
          <w:p>
            <w:pPr>
              <w:spacing w:after="0"/>
              <w:rPr>
                <w:sz w:val="21"/>
                <w:szCs w:val="21"/>
                <w:color w:val="auto"/>
              </w:rPr>
            </w:pPr>
          </w:p>
        </w:tc>
      </w:tr>
      <w:tr>
        <w:trPr>
          <w:trHeight w:val="297"/>
        </w:trPr>
        <w:tc>
          <w:tcPr>
            <w:tcW w:w="68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207,553</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1631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1631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w:t>
      </w:r>
    </w:p>
    <w:p>
      <w:pPr>
        <w:spacing w:after="0" w:line="135"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For the nine months ended September 30, 2021, we derived approximately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60" w:lineRule="exact"/>
        <w:rPr>
          <w:sz w:val="20"/>
          <w:szCs w:val="20"/>
          <w:color w:val="auto"/>
        </w:rPr>
      </w:pPr>
    </w:p>
    <w:p>
      <w:pPr>
        <w:ind w:right="660" w:firstLine="509"/>
        <w:spacing w:after="0" w:line="293"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83" w:lineRule="exact"/>
        <w:rPr>
          <w:sz w:val="20"/>
          <w:szCs w:val="20"/>
          <w:color w:val="auto"/>
        </w:rPr>
      </w:pPr>
    </w:p>
    <w:p>
      <w:pPr>
        <w:ind w:right="80" w:firstLine="509"/>
        <w:spacing w:after="0" w:line="31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primarily consist of personnel costs such as salaries, bonuses, sales commissions,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60"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Product development expenses primarily consist of personnel costs such as salaries, bonuses, stock-based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63"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primarily consist of personnel costs such as salaries, bonuses,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including expenses associated with preparation for the IPO. We anticipate that general and administrative costs will significantly increase relative to prior periods due to the incremental costs associated with operating as a public company, including corporate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3" w:name="page34"/>
    <w:bookmarkEnd w:id="33"/>
    <w:p>
      <w:pPr>
        <w:jc w:val="both"/>
        <w:ind w:right="20"/>
        <w:spacing w:after="0" w:line="303" w:lineRule="auto"/>
        <w:rPr>
          <w:sz w:val="20"/>
          <w:szCs w:val="20"/>
          <w:color w:val="auto"/>
        </w:rPr>
      </w:pPr>
      <w:r>
        <w:rPr>
          <w:rFonts w:ascii="Arial" w:cs="Arial" w:eastAsia="Arial" w:hAnsi="Arial"/>
          <w:sz w:val="17"/>
          <w:szCs w:val="17"/>
          <w:color w:val="auto"/>
        </w:rPr>
        <w:t>insurance costs, additional accounting and legal expenses, and additional resources associated with controls, reporting, and disclosure. Due primarily to the costs associated with operating as a public company, we expect general and administrative costs as a percentage of revenue to increase in 2021 and again in 2022, and then stay consistent or modestly decrease thereafter, as we realize operating leverage in the business.</w:t>
      </w:r>
    </w:p>
    <w:p>
      <w:pPr>
        <w:spacing w:after="0" w:line="164"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expenses consist primarily of amortization of customer relationships and trade names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as a result of the accounting for the Advent acquisition, as well as depreciation of property and equipment. We anticipate depreciation of property and equipment as a percentage of revenue to moderately decrease, although amortization will increase if we make additional acquisitions in the future.</w:t>
      </w:r>
    </w:p>
    <w:p>
      <w:pPr>
        <w:spacing w:after="0" w:line="148"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i w:val="1"/>
          <w:iCs w:val="1"/>
          <w:color w:val="auto"/>
        </w:rPr>
        <w:t>Transaction expenses</w:t>
      </w:r>
      <w:r>
        <w:rPr>
          <w:rFonts w:ascii="Arial" w:cs="Arial" w:eastAsia="Arial" w:hAnsi="Arial"/>
          <w:sz w:val="18"/>
          <w:szCs w:val="18"/>
          <w:color w:val="auto"/>
        </w:rPr>
        <w:t>. Transaction expenses are costs directly associated with various acquisition and integration activities we have undertaken,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accounting and legal due diligence, and consulting and advisory fees.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net consists primarily of interest expense, net, loss on extinguishment of debt, and foreign currency transaction gains or loss.</w:t>
      </w:r>
    </w:p>
    <w:p>
      <w:pPr>
        <w:spacing w:after="0" w:line="250"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consists primarily of interest expense on our debt obligations and the amortization of debt discounts and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interest income. We expect to realize a reduction in our interest expense during 2021 over prior periods resulting from the repayment of a portion of our outstanding indebtedness with the proceeds from the IPO.</w:t>
      </w:r>
    </w:p>
    <w:p>
      <w:pPr>
        <w:spacing w:after="0" w:line="183"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consists of realized losses resulting from the write-off of unamortized deferred financing costs associated with loan</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refinancing.</w:t>
      </w:r>
    </w:p>
    <w:p>
      <w:pPr>
        <w:spacing w:after="0" w:line="170"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i w:val="1"/>
          <w:iCs w:val="1"/>
          <w:color w:val="auto"/>
        </w:rPr>
        <w:t xml:space="preserve">Foreign currency transaction loss </w:t>
      </w:r>
      <w:r>
        <w:rPr>
          <w:rFonts w:ascii="Arial" w:cs="Arial" w:eastAsia="Arial" w:hAnsi="Arial"/>
          <w:sz w:val="18"/>
          <w:szCs w:val="18"/>
          <w:color w:val="auto"/>
        </w:rPr>
        <w:t>consists primarily of realized and unrealized gains and losses related to the impact of transactions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a foreign currency. We do not have significant exposure to foreign exchange volatility and do not anticipate foreign currency transaction gains or losses to materially impact our results of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Nine Months Ended September</w:t>
            </w:r>
          </w:p>
        </w:tc>
      </w:tr>
      <w:tr>
        <w:trPr>
          <w:trHeight w:val="192"/>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5"/>
          </w:tcPr>
          <w:p>
            <w:pPr>
              <w:jc w:val="right"/>
              <w:ind w:right="18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30,073</w:t>
            </w: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84,659</w:t>
            </w:r>
          </w:p>
        </w:tc>
        <w:tc>
          <w:tcPr>
            <w:tcW w:w="80" w:type="dxa"/>
            <w:vAlign w:val="bottom"/>
            <w:shd w:val="clear" w:color="auto" w:fill="CFF0FC"/>
          </w:tcPr>
          <w:p>
            <w:pPr>
              <w:spacing w:after="0"/>
              <w:rPr>
                <w:sz w:val="21"/>
                <w:szCs w:val="2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7,876</w:t>
            </w:r>
          </w:p>
        </w:tc>
        <w:tc>
          <w:tcPr>
            <w:tcW w:w="80" w:type="dxa"/>
            <w:vAlign w:val="bottom"/>
            <w:shd w:val="clear" w:color="auto" w:fill="CFF0FC"/>
          </w:tcPr>
          <w:p>
            <w:pPr>
              <w:spacing w:after="0"/>
              <w:rPr>
                <w:sz w:val="22"/>
                <w:szCs w:val="22"/>
                <w:color w:val="auto"/>
              </w:rPr>
            </w:pPr>
          </w:p>
        </w:tc>
      </w:tr>
      <w:tr>
        <w:trPr>
          <w:trHeight w:val="256"/>
        </w:trPr>
        <w:tc>
          <w:tcPr>
            <w:tcW w:w="47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1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80" w:type="dxa"/>
            <w:vAlign w:val="bottom"/>
          </w:tcPr>
          <w:p>
            <w:pPr>
              <w:spacing w:after="0"/>
              <w:rPr>
                <w:sz w:val="22"/>
                <w:szCs w:val="22"/>
                <w:color w:val="auto"/>
              </w:rPr>
            </w:pPr>
          </w:p>
        </w:tc>
      </w:tr>
      <w:tr>
        <w:trPr>
          <w:trHeight w:val="250"/>
        </w:trPr>
        <w:tc>
          <w:tcPr>
            <w:tcW w:w="47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1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29,791</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72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32,599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22,660</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90,050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62,505</w:t>
            </w:r>
          </w:p>
        </w:tc>
        <w:tc>
          <w:tcPr>
            <w:tcW w:w="80" w:type="dxa"/>
            <w:vAlign w:val="bottom"/>
          </w:tcPr>
          <w:p>
            <w:pPr>
              <w:spacing w:after="0"/>
              <w:rPr>
                <w:sz w:val="21"/>
                <w:szCs w:val="21"/>
                <w:color w:val="auto"/>
              </w:rPr>
            </w:pP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7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8,292</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39,003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23,542</w:t>
            </w:r>
          </w:p>
        </w:tc>
        <w:tc>
          <w:tcPr>
            <w:tcW w:w="80" w:type="dxa"/>
            <w:vAlign w:val="bottom"/>
          </w:tcPr>
          <w:p>
            <w:pPr>
              <w:spacing w:after="0"/>
              <w:rPr>
                <w:sz w:val="21"/>
                <w:szCs w:val="21"/>
                <w:color w:val="auto"/>
              </w:rPr>
            </w:pPr>
          </w:p>
        </w:tc>
      </w:tr>
      <w:tr>
        <w:trPr>
          <w:trHeight w:val="263"/>
        </w:trPr>
        <w:tc>
          <w:tcPr>
            <w:tcW w:w="4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1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12,817</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w:t>
            </w:r>
          </w:p>
        </w:tc>
        <w:tc>
          <w:tcPr>
            <w:tcW w:w="80" w:type="dxa"/>
            <w:vAlign w:val="bottom"/>
            <w:shd w:val="clear" w:color="auto" w:fill="CFF0FC"/>
          </w:tcPr>
          <w:p>
            <w:pPr>
              <w:spacing w:after="0"/>
              <w:rPr>
                <w:sz w:val="22"/>
                <w:szCs w:val="22"/>
                <w:color w:val="auto"/>
              </w:rPr>
            </w:pPr>
          </w:p>
        </w:tc>
      </w:tr>
      <w:tr>
        <w:trPr>
          <w:trHeight w:val="250"/>
        </w:trPr>
        <w:tc>
          <w:tcPr>
            <w:tcW w:w="47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2,538</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18,891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8,105</w:t>
            </w:r>
          </w:p>
        </w:tc>
        <w:tc>
          <w:tcPr>
            <w:tcW w:w="80" w:type="dxa"/>
            <w:vAlign w:val="bottom"/>
          </w:tcPr>
          <w:p>
            <w:pPr>
              <w:spacing w:after="0"/>
              <w:rPr>
                <w:sz w:val="21"/>
                <w:szCs w:val="21"/>
                <w:color w:val="auto"/>
              </w:rPr>
            </w:pPr>
          </w:p>
        </w:tc>
      </w:tr>
      <w:tr>
        <w:trPr>
          <w:trHeight w:val="263"/>
        </w:trPr>
        <w:tc>
          <w:tcPr>
            <w:tcW w:w="4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10,112</w:t>
            </w:r>
          </w:p>
        </w:tc>
        <w:tc>
          <w:tcPr>
            <w:tcW w:w="1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28,814</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30,037</w:t>
            </w:r>
          </w:p>
        </w:tc>
        <w:tc>
          <w:tcPr>
            <w:tcW w:w="80" w:type="dxa"/>
            <w:vAlign w:val="bottom"/>
            <w:shd w:val="clear" w:color="auto" w:fill="CFF0FC"/>
          </w:tcPr>
          <w:p>
            <w:pPr>
              <w:spacing w:after="0"/>
              <w:rPr>
                <w:sz w:val="22"/>
                <w:szCs w:val="22"/>
                <w:color w:val="auto"/>
              </w:rPr>
            </w:pPr>
          </w:p>
        </w:tc>
      </w:tr>
      <w:tr>
        <w:trPr>
          <w:trHeight w:val="257"/>
        </w:trPr>
        <w:tc>
          <w:tcPr>
            <w:tcW w:w="4720" w:type="dxa"/>
            <w:vAlign w:val="bottom"/>
          </w:tcPr>
          <w:p>
            <w:pPr>
              <w:ind w:left="360"/>
              <w:spacing w:after="0"/>
              <w:rPr>
                <w:sz w:val="20"/>
                <w:szCs w:val="20"/>
                <w:color w:val="auto"/>
              </w:rPr>
            </w:pPr>
            <w:r>
              <w:rPr>
                <w:rFonts w:ascii="Arial" w:cs="Arial" w:eastAsia="Arial" w:hAnsi="Arial"/>
                <w:sz w:val="18"/>
                <w:szCs w:val="18"/>
                <w:color w:val="auto"/>
              </w:rPr>
              <w:t>Transaction expenses</w:t>
            </w: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(137 )</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22"/>
                <w:szCs w:val="22"/>
                <w:color w:val="auto"/>
              </w:rPr>
            </w:pPr>
          </w:p>
        </w:tc>
      </w:tr>
      <w:tr>
        <w:trPr>
          <w:trHeight w:val="250"/>
        </w:trPr>
        <w:tc>
          <w:tcPr>
            <w:tcW w:w="47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36,625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23,600</w:t>
            </w:r>
          </w:p>
        </w:tc>
        <w:tc>
          <w:tcPr>
            <w:tcW w:w="1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102,857</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720" w:type="dxa"/>
            <w:vAlign w:val="bottom"/>
          </w:tcPr>
          <w:p>
            <w:pPr>
              <w:ind w:left="100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(4,026 )</w:t>
            </w:r>
          </w:p>
        </w:tc>
        <w:tc>
          <w:tcPr>
            <w:tcW w:w="200" w:type="dxa"/>
            <w:vAlign w:val="bottom"/>
          </w:tcPr>
          <w:p>
            <w:pPr>
              <w:spacing w:after="0"/>
              <w:rPr>
                <w:sz w:val="21"/>
                <w:szCs w:val="21"/>
                <w:color w:val="auto"/>
              </w:rPr>
            </w:pPr>
          </w:p>
        </w:tc>
        <w:tc>
          <w:tcPr>
            <w:tcW w:w="1920" w:type="dxa"/>
            <w:vAlign w:val="bottom"/>
            <w:gridSpan w:val="2"/>
          </w:tcPr>
          <w:p>
            <w:pPr>
              <w:jc w:val="right"/>
              <w:ind w:right="1160"/>
              <w:spacing w:after="0"/>
              <w:rPr>
                <w:sz w:val="20"/>
                <w:szCs w:val="20"/>
                <w:color w:val="auto"/>
              </w:rPr>
            </w:pPr>
            <w:r>
              <w:rPr>
                <w:rFonts w:ascii="Arial" w:cs="Arial" w:eastAsia="Arial" w:hAnsi="Arial"/>
                <w:sz w:val="18"/>
                <w:szCs w:val="18"/>
                <w:color w:val="auto"/>
              </w:rPr>
              <w:t>(940 )</w:t>
            </w:r>
          </w:p>
        </w:tc>
        <w:tc>
          <w:tcPr>
            <w:tcW w:w="2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(12,807 )</w:t>
            </w: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(7,493 )</w:t>
            </w: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720" w:type="dxa"/>
            <w:vAlign w:val="bottom"/>
          </w:tcPr>
          <w:p>
            <w:pPr>
              <w:ind w:left="360"/>
              <w:spacing w:after="0"/>
              <w:rPr>
                <w:sz w:val="20"/>
                <w:szCs w:val="20"/>
                <w:color w:val="auto"/>
              </w:rPr>
            </w:pPr>
            <w:r>
              <w:rPr>
                <w:rFonts w:ascii="Arial" w:cs="Arial" w:eastAsia="Arial" w:hAnsi="Arial"/>
                <w:sz w:val="18"/>
                <w:szCs w:val="18"/>
                <w:color w:val="auto"/>
              </w:rPr>
              <w:t>Foreign currency transaction (loss) gain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(9,873 )</w:t>
            </w:r>
          </w:p>
        </w:tc>
        <w:tc>
          <w:tcPr>
            <w:tcW w:w="20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1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(9,873 )</w:t>
            </w:r>
          </w:p>
        </w:tc>
        <w:tc>
          <w:tcPr>
            <w:tcW w:w="2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(7,186 )</w:t>
            </w:r>
          </w:p>
        </w:tc>
        <w:tc>
          <w:tcPr>
            <w:tcW w:w="200" w:type="dxa"/>
            <w:vAlign w:val="bottom"/>
          </w:tcPr>
          <w:p>
            <w:pPr>
              <w:spacing w:after="0"/>
              <w:rPr>
                <w:sz w:val="22"/>
                <w:szCs w:val="22"/>
                <w:color w:val="auto"/>
              </w:rPr>
            </w:pPr>
          </w:p>
        </w:tc>
        <w:tc>
          <w:tcPr>
            <w:tcW w:w="1920" w:type="dxa"/>
            <w:vAlign w:val="bottom"/>
            <w:gridSpan w:val="2"/>
          </w:tcPr>
          <w:p>
            <w:pPr>
              <w:jc w:val="right"/>
              <w:ind w:right="1160"/>
              <w:spacing w:after="0"/>
              <w:rPr>
                <w:sz w:val="20"/>
                <w:szCs w:val="20"/>
                <w:color w:val="auto"/>
              </w:rPr>
            </w:pPr>
            <w:r>
              <w:rPr>
                <w:rFonts w:ascii="Arial" w:cs="Arial" w:eastAsia="Arial" w:hAnsi="Arial"/>
                <w:sz w:val="18"/>
                <w:szCs w:val="18"/>
                <w:color w:val="auto"/>
              </w:rPr>
              <w:t>(9,022 )</w:t>
            </w:r>
          </w:p>
        </w:tc>
        <w:tc>
          <w:tcPr>
            <w:tcW w:w="2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(23,956 )</w:t>
            </w:r>
          </w:p>
        </w:tc>
        <w:tc>
          <w:tcPr>
            <w:tcW w:w="2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(27,802 )</w:t>
            </w:r>
          </w:p>
        </w:tc>
      </w:tr>
      <w:tr>
        <w:trPr>
          <w:trHeight w:val="20"/>
        </w:trPr>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Total other expense, net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(16,940 )</w:t>
            </w:r>
          </w:p>
        </w:tc>
        <w:tc>
          <w:tcPr>
            <w:tcW w:w="2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1160"/>
              <w:spacing w:after="0"/>
              <w:rPr>
                <w:sz w:val="20"/>
                <w:szCs w:val="20"/>
                <w:color w:val="auto"/>
              </w:rPr>
            </w:pPr>
            <w:r>
              <w:rPr>
                <w:rFonts w:ascii="Arial" w:cs="Arial" w:eastAsia="Arial" w:hAnsi="Arial"/>
                <w:sz w:val="18"/>
                <w:szCs w:val="18"/>
                <w:color w:val="auto"/>
              </w:rPr>
              <w:t>(9,022 )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(33,686 )</w:t>
            </w: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(27,802 )</w:t>
            </w:r>
          </w:p>
        </w:tc>
      </w:tr>
      <w:tr>
        <w:trPr>
          <w:trHeight w:val="20"/>
        </w:trPr>
        <w:tc>
          <w:tcPr>
            <w:tcW w:w="47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7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(20,966 )</w:t>
            </w:r>
          </w:p>
        </w:tc>
        <w:tc>
          <w:tcPr>
            <w:tcW w:w="200" w:type="dxa"/>
            <w:vAlign w:val="bottom"/>
          </w:tcPr>
          <w:p>
            <w:pPr>
              <w:spacing w:after="0"/>
              <w:rPr>
                <w:sz w:val="21"/>
                <w:szCs w:val="21"/>
                <w:color w:val="auto"/>
              </w:rPr>
            </w:pPr>
          </w:p>
        </w:tc>
        <w:tc>
          <w:tcPr>
            <w:tcW w:w="1920" w:type="dxa"/>
            <w:vAlign w:val="bottom"/>
            <w:gridSpan w:val="2"/>
          </w:tcPr>
          <w:p>
            <w:pPr>
              <w:jc w:val="right"/>
              <w:ind w:right="1160"/>
              <w:spacing w:after="0"/>
              <w:rPr>
                <w:sz w:val="20"/>
                <w:szCs w:val="20"/>
                <w:color w:val="auto"/>
              </w:rPr>
            </w:pPr>
            <w:r>
              <w:rPr>
                <w:rFonts w:ascii="Arial" w:cs="Arial" w:eastAsia="Arial" w:hAnsi="Arial"/>
                <w:sz w:val="18"/>
                <w:szCs w:val="18"/>
                <w:color w:val="auto"/>
              </w:rPr>
              <w:t>(9,962 )</w:t>
            </w:r>
          </w:p>
        </w:tc>
        <w:tc>
          <w:tcPr>
            <w:tcW w:w="2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(46,493 )</w:t>
            </w: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(35,295 )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-2482215</wp:posOffset>
            </wp:positionV>
            <wp:extent cx="13716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-2482215</wp:posOffset>
            </wp:positionV>
            <wp:extent cx="7886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8867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-2482215</wp:posOffset>
            </wp:positionV>
            <wp:extent cx="12001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-2482215</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-1162050</wp:posOffset>
            </wp:positionV>
            <wp:extent cx="13716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-1162050</wp:posOffset>
            </wp:positionV>
            <wp:extent cx="78867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867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-1162050</wp:posOffset>
            </wp:positionV>
            <wp:extent cx="12001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-1162050</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-167640</wp:posOffset>
            </wp:positionV>
            <wp:extent cx="13716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-167640</wp:posOffset>
            </wp:positionV>
            <wp:extent cx="78867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8867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-167640</wp:posOffset>
            </wp:positionV>
            <wp:extent cx="1200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-167640</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4629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462915"/>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sectPr>
      </w:pPr>
    </w:p>
    <w:p>
      <w:pPr>
        <w:spacing w:after="0" w:line="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Less: Net loss attributable to Definitive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OpCo prior to the Reorganization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Transactions</w:t>
      </w:r>
    </w:p>
    <w:p>
      <w:pPr>
        <w:spacing w:after="0" w:line="49" w:lineRule="exact"/>
        <w:rPr>
          <w:sz w:val="20"/>
          <w:szCs w:val="20"/>
          <w:color w:val="auto"/>
        </w:rPr>
      </w:pPr>
    </w:p>
    <w:p>
      <w:pPr>
        <w:ind w:left="760" w:right="1080"/>
        <w:spacing w:after="0" w:line="278" w:lineRule="auto"/>
        <w:rPr>
          <w:sz w:val="20"/>
          <w:szCs w:val="20"/>
          <w:color w:val="auto"/>
        </w:rPr>
      </w:pPr>
      <w:r>
        <w:rPr>
          <w:rFonts w:ascii="Arial" w:cs="Arial" w:eastAsia="Arial" w:hAnsi="Arial"/>
          <w:sz w:val="18"/>
          <w:szCs w:val="18"/>
          <w:color w:val="auto"/>
        </w:rPr>
        <w:t>Less: Net loss attributable to noncontrolling interests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70"/>
              <w:spacing w:after="0"/>
              <w:rPr>
                <w:sz w:val="20"/>
                <w:szCs w:val="20"/>
                <w:color w:val="auto"/>
              </w:rPr>
            </w:pPr>
            <w:r>
              <w:rPr>
                <w:rFonts w:ascii="Arial" w:cs="Arial" w:eastAsia="Arial" w:hAnsi="Arial"/>
                <w:sz w:val="18"/>
                <w:szCs w:val="18"/>
                <w:color w:val="auto"/>
                <w:w w:val="86"/>
              </w:rPr>
              <w:t>(7,816 )</w:t>
            </w:r>
          </w:p>
        </w:tc>
        <w:tc>
          <w:tcPr>
            <w:tcW w:w="1620" w:type="dxa"/>
            <w:vAlign w:val="bottom"/>
          </w:tcPr>
          <w:p>
            <w:pPr>
              <w:jc w:val="right"/>
              <w:ind w:right="690"/>
              <w:spacing w:after="0"/>
              <w:rPr>
                <w:sz w:val="20"/>
                <w:szCs w:val="20"/>
                <w:color w:val="auto"/>
              </w:rPr>
            </w:pPr>
            <w:r>
              <w:rPr>
                <w:rFonts w:ascii="Arial" w:cs="Arial" w:eastAsia="Arial" w:hAnsi="Arial"/>
                <w:sz w:val="18"/>
                <w:szCs w:val="18"/>
                <w:color w:val="auto"/>
              </w:rPr>
              <w:t>(9,962 )</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(33,343 )</w:t>
            </w:r>
          </w:p>
        </w:tc>
        <w:tc>
          <w:tcPr>
            <w:tcW w:w="860" w:type="dxa"/>
            <w:vAlign w:val="bottom"/>
          </w:tcPr>
          <w:p>
            <w:pPr>
              <w:jc w:val="right"/>
              <w:spacing w:after="0"/>
              <w:rPr>
                <w:sz w:val="20"/>
                <w:szCs w:val="20"/>
                <w:color w:val="auto"/>
              </w:rPr>
            </w:pPr>
            <w:r>
              <w:rPr>
                <w:rFonts w:ascii="Arial" w:cs="Arial" w:eastAsia="Arial" w:hAnsi="Arial"/>
                <w:sz w:val="18"/>
                <w:szCs w:val="18"/>
                <w:color w:val="auto"/>
              </w:rPr>
              <w:t>(35,295 )</w:t>
            </w:r>
          </w:p>
        </w:tc>
      </w:tr>
      <w:tr>
        <w:trPr>
          <w:trHeight w:val="594"/>
        </w:trPr>
        <w:tc>
          <w:tcPr>
            <w:tcW w:w="820" w:type="dxa"/>
            <w:vAlign w:val="bottom"/>
          </w:tcPr>
          <w:p>
            <w:pPr>
              <w:jc w:val="right"/>
              <w:ind w:right="170"/>
              <w:spacing w:after="0"/>
              <w:rPr>
                <w:sz w:val="20"/>
                <w:szCs w:val="20"/>
                <w:color w:val="auto"/>
              </w:rPr>
            </w:pPr>
            <w:r>
              <w:rPr>
                <w:rFonts w:ascii="Arial" w:cs="Arial" w:eastAsia="Arial" w:hAnsi="Arial"/>
                <w:sz w:val="18"/>
                <w:szCs w:val="18"/>
                <w:color w:val="auto"/>
                <w:w w:val="86"/>
              </w:rPr>
              <w:t>(5,172 )</w:t>
            </w:r>
          </w:p>
        </w:tc>
        <w:tc>
          <w:tcPr>
            <w:tcW w:w="16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(5,172 )</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sectPr>
          <w:pgSz w:w="11900" w:h="16838" w:orient="portrait"/>
          <w:cols w:equalWidth="0" w:num="2">
            <w:col w:w="5020" w:space="720"/>
            <w:col w:w="5360"/>
          </w:cols>
          <w:pgMar w:left="320" w:top="729" w:right="47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FF0FC"/>
          </w:tcPr>
          <w:p>
            <w:pPr>
              <w:ind w:left="540"/>
              <w:spacing w:after="0"/>
              <w:rPr>
                <w:sz w:val="20"/>
                <w:szCs w:val="20"/>
                <w:color w:val="auto"/>
              </w:rPr>
            </w:pPr>
            <w:r>
              <w:rPr>
                <w:rFonts w:ascii="Arial" w:cs="Arial" w:eastAsia="Arial" w:hAnsi="Arial"/>
                <w:sz w:val="18"/>
                <w:szCs w:val="18"/>
                <w:color w:val="auto"/>
              </w:rPr>
              <w:t>Net loss attributable to Definitive</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3"/>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(7,978 )  $</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(7,978 )  $</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720" w:type="dxa"/>
            <w:vAlign w:val="bottom"/>
            <w:vMerge w:val="restart"/>
            <w:shd w:val="clear" w:color="auto" w:fill="CFF0FC"/>
          </w:tcPr>
          <w:p>
            <w:pPr>
              <w:ind w:left="540"/>
              <w:spacing w:after="0" w:line="203" w:lineRule="exact"/>
              <w:rPr>
                <w:sz w:val="20"/>
                <w:szCs w:val="20"/>
                <w:color w:val="auto"/>
              </w:rPr>
            </w:pPr>
            <w:r>
              <w:rPr>
                <w:rFonts w:ascii="Arial" w:cs="Arial" w:eastAsia="Arial" w:hAnsi="Arial"/>
                <w:sz w:val="18"/>
                <w:szCs w:val="18"/>
                <w:color w:val="auto"/>
              </w:rPr>
              <w:t>Healthcare</w:t>
            </w:r>
          </w:p>
        </w:tc>
        <w:tc>
          <w:tcPr>
            <w:tcW w:w="280" w:type="dxa"/>
            <w:vAlign w:val="bottom"/>
            <w:vMerge w:val="continue"/>
            <w:shd w:val="clear" w:color="auto" w:fill="CFF0FC"/>
          </w:tcPr>
          <w:p>
            <w:pPr>
              <w:spacing w:after="0"/>
              <w:rPr>
                <w:sz w:val="8"/>
                <w:szCs w:val="8"/>
                <w:color w:val="auto"/>
              </w:rPr>
            </w:pPr>
          </w:p>
        </w:tc>
        <w:tc>
          <w:tcPr>
            <w:tcW w:w="1320" w:type="dxa"/>
            <w:vAlign w:val="bottom"/>
            <w:gridSpan w:val="3"/>
            <w:vMerge w:val="continue"/>
            <w:shd w:val="clear" w:color="auto" w:fill="CFF0FC"/>
          </w:tcPr>
          <w:p>
            <w:pPr>
              <w:spacing w:after="0"/>
              <w:rPr>
                <w:sz w:val="8"/>
                <w:szCs w:val="8"/>
                <w:color w:val="auto"/>
              </w:rPr>
            </w:pPr>
          </w:p>
        </w:tc>
        <w:tc>
          <w:tcPr>
            <w:tcW w:w="420" w:type="dxa"/>
            <w:vAlign w:val="bottom"/>
            <w:vMerge w:val="continue"/>
            <w:shd w:val="clear" w:color="auto" w:fill="CFF0FC"/>
          </w:tcPr>
          <w:p>
            <w:pPr>
              <w:spacing w:after="0"/>
              <w:rPr>
                <w:sz w:val="8"/>
                <w:szCs w:val="8"/>
                <w:color w:val="auto"/>
              </w:rPr>
            </w:pPr>
          </w:p>
        </w:tc>
        <w:tc>
          <w:tcPr>
            <w:tcW w:w="1540" w:type="dxa"/>
            <w:vAlign w:val="bottom"/>
            <w:gridSpan w:val="2"/>
            <w:vMerge w:val="continue"/>
            <w:shd w:val="clear" w:color="auto" w:fill="CFF0FC"/>
          </w:tcPr>
          <w:p>
            <w:pPr>
              <w:spacing w:after="0"/>
              <w:rPr>
                <w:sz w:val="8"/>
                <w:szCs w:val="8"/>
                <w:color w:val="auto"/>
              </w:rPr>
            </w:pPr>
          </w:p>
        </w:tc>
        <w:tc>
          <w:tcPr>
            <w:tcW w:w="1300" w:type="dxa"/>
            <w:vAlign w:val="bottom"/>
            <w:gridSpan w:val="3"/>
            <w:vMerge w:val="continue"/>
            <w:shd w:val="clear" w:color="auto" w:fill="CFF0FC"/>
          </w:tcPr>
          <w:p>
            <w:pPr>
              <w:spacing w:after="0"/>
              <w:rPr>
                <w:sz w:val="8"/>
                <w:szCs w:val="8"/>
                <w:color w:val="auto"/>
              </w:rPr>
            </w:pPr>
          </w:p>
        </w:tc>
        <w:tc>
          <w:tcPr>
            <w:tcW w:w="44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720" w:type="dxa"/>
            <w:vAlign w:val="bottom"/>
            <w:tcBorders>
              <w:bottom w:val="single" w:sz="8" w:color="CFF0FC"/>
            </w:tcBorders>
            <w:vMerge w:val="continue"/>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7886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7886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right="120" w:firstLine="509"/>
        <w:spacing w:after="0" w:line="303" w:lineRule="auto"/>
        <w:rPr>
          <w:sz w:val="20"/>
          <w:szCs w:val="20"/>
          <w:color w:val="auto"/>
        </w:rPr>
      </w:pPr>
      <w:r>
        <w:rPr>
          <w:rFonts w:ascii="Arial" w:cs="Arial" w:eastAsia="Arial" w:hAnsi="Arial"/>
          <w:sz w:val="17"/>
          <w:szCs w:val="17"/>
          <w:color w:val="auto"/>
        </w:rPr>
        <w:t>Revenue increased $13.0 million, or 43%, in the three months ended September 30, 2021 compared with the same period in the prior year, driven almost entirely by higher subscription revenue of $13.0 million. This increase was primarily due to net expansion with existing customers as well as organic addition of new customers, and to a lesser extent, new customers acquired through the acquisition of Monocl.</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35"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Cost of revenue increased $3.1 million, or 41%, in the three months ended September 30, 2021 compared with the same period in the prior year, primarily due to:</w:t>
      </w:r>
    </w:p>
    <w:p>
      <w:pPr>
        <w:spacing w:after="0" w:line="62" w:lineRule="exact"/>
        <w:rPr>
          <w:sz w:val="20"/>
          <w:szCs w:val="20"/>
          <w:color w:val="auto"/>
        </w:rPr>
      </w:pPr>
    </w:p>
    <w:p>
      <w:pPr>
        <w:ind w:left="960"/>
        <w:spacing w:after="0" w:line="279" w:lineRule="auto"/>
        <w:rPr>
          <w:sz w:val="20"/>
          <w:szCs w:val="20"/>
          <w:color w:val="auto"/>
        </w:rPr>
      </w:pPr>
      <w:r>
        <w:rPr>
          <w:rFonts w:ascii="Arial" w:cs="Arial" w:eastAsia="Arial" w:hAnsi="Arial"/>
          <w:sz w:val="18"/>
          <w:szCs w:val="18"/>
          <w:color w:val="auto"/>
        </w:rPr>
        <w:t>An increase in cost of revenue exclusive of amortization expense of $2.5 million for the three months ended September 30, 2021, due primarily to additional data subscription contracts, increased hosting fees associated with additional product offerings, and, to a lesser extent, incremental personnel costs resulting from additional hiring during the year;</w:t>
      </w:r>
    </w:p>
    <w:p>
      <w:pPr>
        <w:spacing w:after="0" w:line="75"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An increase in amortization expense of $0.6 million for the three months ended September 30, 2021 arising from acquired technology, including that which was attributable to the Monocl acquisition.</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type w:val="continuous"/>
        </w:sectPr>
      </w:pPr>
    </w:p>
    <w:bookmarkStart w:id="35" w:name="page36"/>
    <w:bookmarkEnd w:id="35"/>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Operating expenses increased $13.0 million, or 55%, during the three months ended September 30, 2021 compared with the same period in the prior year. The increase was primarily due to:</w:t>
      </w:r>
    </w:p>
    <w:p>
      <w:pPr>
        <w:spacing w:after="0" w:line="62" w:lineRule="exact"/>
        <w:rPr>
          <w:sz w:val="20"/>
          <w:szCs w:val="20"/>
          <w:color w:val="auto"/>
        </w:rPr>
      </w:pPr>
    </w:p>
    <w:p>
      <w:pPr>
        <w:ind w:left="960" w:right="580"/>
        <w:spacing w:after="0" w:line="359" w:lineRule="auto"/>
        <w:rPr>
          <w:sz w:val="20"/>
          <w:szCs w:val="20"/>
          <w:color w:val="auto"/>
        </w:rPr>
      </w:pPr>
      <w:r>
        <w:rPr>
          <w:rFonts w:ascii="Arial" w:cs="Arial" w:eastAsia="Arial" w:hAnsi="Arial"/>
          <w:sz w:val="16"/>
          <w:szCs w:val="16"/>
          <w:color w:val="auto"/>
        </w:rPr>
        <w:t>An increase in sales and marketing expense of $6.1 million for the three months ended September 30, 2021, due primarily to increased personnel costs resulting from additional hiring, including sales and marketing resources added through the Monocl acquisition;</w:t>
      </w:r>
    </w:p>
    <w:p>
      <w:pPr>
        <w:spacing w:after="0" w:line="17" w:lineRule="exact"/>
        <w:rPr>
          <w:sz w:val="20"/>
          <w:szCs w:val="20"/>
          <w:color w:val="auto"/>
        </w:rPr>
      </w:pPr>
    </w:p>
    <w:p>
      <w:pPr>
        <w:ind w:left="960"/>
        <w:spacing w:after="0" w:line="296" w:lineRule="auto"/>
        <w:rPr>
          <w:sz w:val="20"/>
          <w:szCs w:val="20"/>
          <w:color w:val="auto"/>
        </w:rPr>
      </w:pPr>
      <w:r>
        <w:rPr>
          <w:rFonts w:ascii="Arial" w:cs="Arial" w:eastAsia="Arial" w:hAnsi="Arial"/>
          <w:sz w:val="17"/>
          <w:szCs w:val="17"/>
          <w:color w:val="auto"/>
        </w:rPr>
        <w:t>An increase in general and administrative expense of $5.3 million for the three months ended September 30, 2021, due primarily to increased personnel costs arising from additional hiring and the Monocl acquisition, incremental costs associated with preparing for an IPO, and additional accounting and legal expenses. We also incurred $1.9 million of stock-based compensation expense for the acceleration of an equity award associated with the retirement of an executive officer during the third quarter of 2021;</w:t>
      </w:r>
    </w:p>
    <w:p>
      <w:pPr>
        <w:spacing w:after="0" w:line="62" w:lineRule="exact"/>
        <w:rPr>
          <w:sz w:val="20"/>
          <w:szCs w:val="20"/>
          <w:color w:val="auto"/>
        </w:rPr>
      </w:pPr>
    </w:p>
    <w:p>
      <w:pPr>
        <w:ind w:left="960" w:right="200"/>
        <w:spacing w:after="0" w:line="359" w:lineRule="auto"/>
        <w:rPr>
          <w:sz w:val="20"/>
          <w:szCs w:val="20"/>
          <w:color w:val="auto"/>
        </w:rPr>
      </w:pPr>
      <w:r>
        <w:rPr>
          <w:rFonts w:ascii="Arial" w:cs="Arial" w:eastAsia="Arial" w:hAnsi="Arial"/>
          <w:sz w:val="16"/>
          <w:szCs w:val="16"/>
          <w:color w:val="auto"/>
        </w:rPr>
        <w:t>An increase in product development expense of $2.1 million for the three months ended September 30, 2021, due primarily to increased personnel costs resulting from additional additional hiring, including product development resources added through the Monocl acquisition;</w:t>
      </w:r>
    </w:p>
    <w:p>
      <w:pPr>
        <w:spacing w:after="0" w:line="17"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These increases were partially offset by decreases in depreciation and amortization expense of $0.4 million and transaction expenses of $0.2 million for the three months ended September 30, 2021.</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Expense, Net</w:t>
      </w:r>
    </w:p>
    <w:p>
      <w:pPr>
        <w:spacing w:after="0" w:line="135"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Other expense, net increased $7.9 million, or 88%, for the three months ended September 30, 2021 compared with the same period in the prior year, primarily due to a loss on the extinguishment of debt of $9.9 million resulting from the repayment in full of our term loan during the third quarter of 2021, partially offset by;</w:t>
      </w:r>
    </w:p>
    <w:p>
      <w:pPr>
        <w:spacing w:after="0" w:line="75"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A decrease in interest expense, net of $1.8 million for the three months ended September 30, 2021. The decrease was primarily attributable to lower outstanding debt in 2021 as well as lower interest rates.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w:t>
      </w:r>
    </w:p>
    <w:p>
      <w:pPr>
        <w:spacing w:after="0" w:line="135"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Net loss for the three months ended September 30, 2021 increased by $11.0 million, or 110%, compared with the same period in the prior year, which was driven by the factors described above.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jc w:val="both"/>
        <w:ind w:right="300" w:firstLine="509"/>
        <w:spacing w:after="0" w:line="303" w:lineRule="auto"/>
        <w:rPr>
          <w:sz w:val="20"/>
          <w:szCs w:val="20"/>
          <w:color w:val="auto"/>
        </w:rPr>
      </w:pPr>
      <w:r>
        <w:rPr>
          <w:rFonts w:ascii="Arial" w:cs="Arial" w:eastAsia="Arial" w:hAnsi="Arial"/>
          <w:sz w:val="17"/>
          <w:szCs w:val="17"/>
          <w:color w:val="auto"/>
        </w:rPr>
        <w:t>Revenue increased $35.2 million, or 42%, in the nine months ended September 30, 2021 compared with the same period in the prior year, driven primarily by higher subscription revenue of $34.7 million. This increase was primarily due to net expansion with existing customers as well as organic addition of new customers, and to a lesser extent, new customers acquired through the acquisition of Monocl.</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35"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Cost of revenue increased $7.6 million, or 34%, in the nine months ended September 30, 2021 compared with the same period in the prior year, primarily due to:</w:t>
      </w:r>
    </w:p>
    <w:p>
      <w:pPr>
        <w:spacing w:after="0" w:line="62" w:lineRule="exact"/>
        <w:rPr>
          <w:sz w:val="20"/>
          <w:szCs w:val="20"/>
          <w:color w:val="auto"/>
        </w:rPr>
      </w:pPr>
    </w:p>
    <w:p>
      <w:pPr>
        <w:ind w:left="960"/>
        <w:spacing w:after="0" w:line="279" w:lineRule="auto"/>
        <w:rPr>
          <w:sz w:val="20"/>
          <w:szCs w:val="20"/>
          <w:color w:val="auto"/>
        </w:rPr>
      </w:pPr>
      <w:r>
        <w:rPr>
          <w:rFonts w:ascii="Arial" w:cs="Arial" w:eastAsia="Arial" w:hAnsi="Arial"/>
          <w:sz w:val="18"/>
          <w:szCs w:val="18"/>
          <w:color w:val="auto"/>
        </w:rPr>
        <w:t>An increase in cost of revenue exclusive of amortization expense of $6.0 million for the nine months ended September 30, 2021, due primarily to additional data subscription contracts and increased hosting fees associated with additional product offerings, and, to a lesser extent, incremental personnel costs resulting from additional hiring during the year;</w:t>
      </w:r>
    </w:p>
    <w:p>
      <w:pPr>
        <w:spacing w:after="0" w:line="75"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An increase in amortization expense of $1.6 million for the nine months ended September 30, 2021 arising from acquired technology during the period, including that which was attributable to the Monocl acquisition.</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Operating expenses increased $32.9 million, or 47%, during the nine months ended September 30, 2021 compared with the same period in the prior year. The increase was primarily due to:</w:t>
      </w:r>
    </w:p>
    <w:p>
      <w:pPr>
        <w:spacing w:after="0" w:line="62" w:lineRule="exact"/>
        <w:rPr>
          <w:sz w:val="20"/>
          <w:szCs w:val="20"/>
          <w:color w:val="auto"/>
        </w:rPr>
      </w:pPr>
    </w:p>
    <w:p>
      <w:pPr>
        <w:ind w:left="960" w:right="300"/>
        <w:spacing w:after="0" w:line="359" w:lineRule="auto"/>
        <w:rPr>
          <w:sz w:val="20"/>
          <w:szCs w:val="20"/>
          <w:color w:val="auto"/>
        </w:rPr>
      </w:pPr>
      <w:r>
        <w:rPr>
          <w:rFonts w:ascii="Arial" w:cs="Arial" w:eastAsia="Arial" w:hAnsi="Arial"/>
          <w:sz w:val="16"/>
          <w:szCs w:val="16"/>
          <w:color w:val="auto"/>
        </w:rPr>
        <w:t>An increase in sales and marketing expense of $15.5 million for the nine months ended September 30, 2021, driven primarily by increased personnel costs resulting from additional hiring, including sales and marketing resources added through the Monocl acquisition;</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ind w:left="960" w:right="60"/>
        <w:spacing w:after="0" w:line="272" w:lineRule="auto"/>
        <w:rPr>
          <w:sz w:val="20"/>
          <w:szCs w:val="20"/>
          <w:color w:val="auto"/>
        </w:rPr>
      </w:pPr>
      <w:r>
        <w:rPr>
          <w:rFonts w:ascii="Arial" w:cs="Arial" w:eastAsia="Arial" w:hAnsi="Arial"/>
          <w:sz w:val="18"/>
          <w:szCs w:val="18"/>
          <w:color w:val="auto"/>
        </w:rPr>
        <w:t>An increase in general and administrative expense of $10.8 million for the nine months ended September 30, 2021, due primarily to increased personnel costs arising from additional hiring and the Monocl acquisition, incremental costs associated with preparing for an IPO, and additional accounting and legal expenses. We also incurred $1.9 million and $0.3 million, respectively, of incremental stock-based compensation expense for the acceleration of an equity award associated with the retirement of an executive officer and the issuance of new Class A LLC units during the current period;</w:t>
      </w:r>
    </w:p>
    <w:p>
      <w:pPr>
        <w:spacing w:after="0" w:line="83" w:lineRule="exact"/>
        <w:rPr>
          <w:sz w:val="20"/>
          <w:szCs w:val="20"/>
          <w:color w:val="auto"/>
        </w:rPr>
      </w:pPr>
    </w:p>
    <w:p>
      <w:pPr>
        <w:jc w:val="both"/>
        <w:ind w:left="960" w:right="300"/>
        <w:spacing w:after="0" w:line="279" w:lineRule="auto"/>
        <w:rPr>
          <w:sz w:val="20"/>
          <w:szCs w:val="20"/>
          <w:color w:val="auto"/>
        </w:rPr>
      </w:pPr>
      <w:r>
        <w:rPr>
          <w:rFonts w:ascii="Arial" w:cs="Arial" w:eastAsia="Arial" w:hAnsi="Arial"/>
          <w:sz w:val="18"/>
          <w:szCs w:val="18"/>
          <w:color w:val="auto"/>
        </w:rPr>
        <w:t>An increase in product development expense of $5.3 million for the nine months ended September 30, 2021, due primarily to incremental personnel costs associated with additional hiring during the year, including product development resources added as a result of the Monocl acquisition;</w:t>
      </w:r>
    </w:p>
    <w:p>
      <w:pPr>
        <w:spacing w:after="0" w:line="75"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A increase in transaction expenses of $2.6 million for the nine months ended September 30, 2021, due primarily to an increase in contingent consideration arising from the Monocl acquisition;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increases were partially offset by:</w:t>
      </w:r>
    </w:p>
    <w:p>
      <w:pPr>
        <w:spacing w:after="0" w:line="131" w:lineRule="exact"/>
        <w:rPr>
          <w:sz w:val="20"/>
          <w:szCs w:val="20"/>
          <w:color w:val="auto"/>
        </w:rPr>
      </w:pPr>
    </w:p>
    <w:p>
      <w:pPr>
        <w:ind w:left="520" w:right="1900" w:firstLine="441"/>
        <w:spacing w:after="0" w:line="391" w:lineRule="auto"/>
        <w:rPr>
          <w:sz w:val="20"/>
          <w:szCs w:val="20"/>
          <w:color w:val="auto"/>
        </w:rPr>
      </w:pPr>
      <w:r>
        <w:rPr>
          <w:rFonts w:ascii="Arial" w:cs="Arial" w:eastAsia="Arial" w:hAnsi="Arial"/>
          <w:sz w:val="18"/>
          <w:szCs w:val="18"/>
          <w:color w:val="auto"/>
        </w:rPr>
        <w:t xml:space="preserve">A decrease in depreciation and amortization expense of $1.2 million for the nine months ended September 30, 2021; </w:t>
      </w:r>
      <w:r>
        <w:rPr>
          <w:rFonts w:ascii="Arial" w:cs="Arial" w:eastAsia="Arial" w:hAnsi="Arial"/>
          <w:sz w:val="18"/>
          <w:szCs w:val="18"/>
          <w:b w:val="1"/>
          <w:bCs w:val="1"/>
          <w:color w:val="auto"/>
        </w:rPr>
        <w:t>Other Expense, Net</w:t>
      </w:r>
    </w:p>
    <w:p>
      <w:pPr>
        <w:spacing w:after="0" w:line="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Other expense, net increased $5.9 million, or 21%, for the nine months ended September 30, 2021, primarily due to a loss on the extinguishment of debt of $9.9 million resulting from the repayment in full of our term loan during the third quarter of 2021, partially offset by;</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 decrease in interest expense, net of $3.8 million for the nine months ended September 30, 2021. The decrease was primarily driven by lower outstanding debt as well as lower interest rates in the current period.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w:t>
      </w:r>
    </w:p>
    <w:p>
      <w:pPr>
        <w:spacing w:after="0" w:line="135"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Net loss for the nine months ended September 30, 2021 increased by $11.2 million, or 32%, compared with the same period in the prior year. The increase in net loss was driven by the factors described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principal uses for liquidity have been working capital, capital expenditures, debt service, distributions to LLC members, and acquisitions.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were $5.7 million and $1.1 million for the nine months ended September 30, 2021 and 2020, respectively.</w:t>
      </w:r>
    </w:p>
    <w:p>
      <w:pPr>
        <w:spacing w:after="0" w:line="130"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 xml:space="preserve">We have historically funded our operations primarily with cash flow from operations and borrowings under our credit agreements and equity contributions from LLC members. As of September 30, 2021, we had unrestricted cash and cash equivalents of $189.8 million. Our total indebtedness, net of unamortized discount, was $272.3 million as of September 30, 2021. See “—Debt Obligations” and Note 8.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our condensed consolidated financial statements included elsewhere in this filing for additional information related to our debt obligations and debt repayments.</w:t>
      </w:r>
    </w:p>
    <w:p>
      <w:pPr>
        <w:spacing w:after="0" w:line="48" w:lineRule="exact"/>
        <w:rPr>
          <w:sz w:val="20"/>
          <w:szCs w:val="20"/>
          <w:color w:val="auto"/>
        </w:rPr>
      </w:pPr>
    </w:p>
    <w:p>
      <w:pPr>
        <w:ind w:right="780" w:firstLine="509"/>
        <w:spacing w:after="0" w:line="324" w:lineRule="auto"/>
        <w:rPr>
          <w:sz w:val="20"/>
          <w:szCs w:val="20"/>
          <w:color w:val="auto"/>
        </w:rPr>
      </w:pPr>
      <w:r>
        <w:rPr>
          <w:rFonts w:ascii="Arial" w:cs="Arial" w:eastAsia="Arial" w:hAnsi="Arial"/>
          <w:sz w:val="17"/>
          <w:szCs w:val="17"/>
          <w:color w:val="auto"/>
        </w:rPr>
        <w:t xml:space="preserve">Refer to Note 12. </w:t>
      </w:r>
      <w:r>
        <w:rPr>
          <w:rFonts w:ascii="Arial" w:cs="Arial" w:eastAsia="Arial" w:hAnsi="Arial"/>
          <w:sz w:val="17"/>
          <w:szCs w:val="17"/>
          <w:i w:val="1"/>
          <w:iCs w:val="1"/>
          <w:color w:val="auto"/>
        </w:rPr>
        <w:t>Stockholders' Equity and Members' Deficit</w:t>
      </w:r>
      <w:r>
        <w:rPr>
          <w:rFonts w:ascii="Arial" w:cs="Arial" w:eastAsia="Arial" w:hAnsi="Arial"/>
          <w:sz w:val="17"/>
          <w:szCs w:val="17"/>
          <w:color w:val="auto"/>
        </w:rPr>
        <w:t xml:space="preserve"> in the Notes to the Consolidated Financial Statements in the Company’s IPO Prospectus for additional information related to contributions and distributions from and to members of Definitive OpCo.</w:t>
      </w:r>
    </w:p>
    <w:p>
      <w:pPr>
        <w:spacing w:after="0" w:line="39" w:lineRule="exact"/>
        <w:rPr>
          <w:sz w:val="20"/>
          <w:szCs w:val="20"/>
          <w:color w:val="auto"/>
        </w:rPr>
      </w:pPr>
    </w:p>
    <w:p>
      <w:pPr>
        <w:ind w:right="100" w:firstLine="509"/>
        <w:spacing w:after="0" w:line="304" w:lineRule="auto"/>
        <w:rPr>
          <w:sz w:val="20"/>
          <w:szCs w:val="20"/>
          <w:color w:val="auto"/>
        </w:rPr>
      </w:pPr>
      <w:r>
        <w:rPr>
          <w:rFonts w:ascii="Arial" w:cs="Arial" w:eastAsia="Arial" w:hAnsi="Arial"/>
          <w:sz w:val="16"/>
          <w:szCs w:val="16"/>
          <w:color w:val="auto"/>
        </w:rPr>
        <w:t>Definitive Healthcare Corp. is a holding company and its sole material asset is its ownership interest in Definitive OpCo. 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limited liability company agreement of Definitive OpCo, a copy of which is attached hereto as Exhibit 3.3, and the terms of which are incorporated herein by reference,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ind w:right="80" w:firstLine="509"/>
        <w:spacing w:after="0" w:line="275" w:lineRule="auto"/>
        <w:rPr>
          <w:sz w:val="20"/>
          <w:szCs w:val="20"/>
          <w:color w:val="auto"/>
        </w:rPr>
      </w:pPr>
      <w:r>
        <w:rPr>
          <w:rFonts w:ascii="Arial" w:cs="Arial" w:eastAsia="Arial" w:hAnsi="Arial"/>
          <w:sz w:val="18"/>
          <w:szCs w:val="18"/>
          <w:color w:val="auto"/>
        </w:rPr>
        <w:t>We believe that our cash flow from operations, availability under the 2021 Credit Agreement and available cash and cash equivalents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7"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Additionally, our liquidity and our ability to meet our obligations and fund our capital requirements are also dependent on our future financial performance, which is subject to general economic, financial and other factors that are beyond our control. See “Risk Factors” in our IPO Prospectus. Accordingly, we cannot provide assurance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202"/>
        </w:trPr>
        <w:tc>
          <w:tcPr>
            <w:tcW w:w="6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7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20,993</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14,544</w:t>
            </w:r>
          </w:p>
        </w:tc>
        <w:tc>
          <w:tcPr>
            <w:tcW w:w="120" w:type="dxa"/>
            <w:vAlign w:val="bottom"/>
          </w:tcPr>
          <w:p>
            <w:pPr>
              <w:spacing w:after="0"/>
              <w:rPr>
                <w:sz w:val="21"/>
                <w:szCs w:val="21"/>
                <w:color w:val="auto"/>
              </w:rPr>
            </w:pPr>
          </w:p>
        </w:tc>
      </w:tr>
      <w:tr>
        <w:trPr>
          <w:trHeight w:val="263"/>
        </w:trPr>
        <w:tc>
          <w:tcPr>
            <w:tcW w:w="6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(5,662 )</w:t>
            </w: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(7,996 )</w:t>
            </w:r>
          </w:p>
        </w:tc>
      </w:tr>
      <w:tr>
        <w:trPr>
          <w:trHeight w:val="250"/>
        </w:trPr>
        <w:tc>
          <w:tcPr>
            <w:tcW w:w="67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149,695</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19,516</w:t>
            </w:r>
          </w:p>
        </w:tc>
        <w:tc>
          <w:tcPr>
            <w:tcW w:w="120" w:type="dxa"/>
            <w:vAlign w:val="bottom"/>
          </w:tcPr>
          <w:p>
            <w:pPr>
              <w:spacing w:after="0"/>
              <w:rPr>
                <w:sz w:val="21"/>
                <w:szCs w:val="21"/>
                <w:color w:val="auto"/>
              </w:rPr>
            </w:pPr>
          </w:p>
        </w:tc>
      </w:tr>
      <w:tr>
        <w:trPr>
          <w:trHeight w:val="296"/>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cash and cash equivalents (excluding effect of exchange rate changes)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165,026</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26,064</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-25400</wp:posOffset>
            </wp:positionV>
            <wp:extent cx="1714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1714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operations was $21.0 million during the nine months ended September 30, 2021, primarily as a result of a net loss of $46.5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which was offset by non-cash charges of $66.9 million. The non-cash charges were primarily comprised of amortization of intangible assets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$43.5 million, a loss on the extinguishment of the previous debt facility of $9.9 million, equity compensation costs of $4.3 million, a $3.2 million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earnout liability related to the Monocl acquisition, amortization of deferred contract costs of $3.2 million, and amortization of debt issuance costs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 million. The change in operating assets and liabilities was primarily the result of an increase in deferred revenue of $9.0 million due to the timing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billings and cash received in advance of revenue recognition for subscription services and a decrease in accounts receivable of $5.2 million, partially offset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an increase in deferred contract costs of $9.0 million and cash outflows resulting from lower accounts payable, accrued expenses and other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liabilities collectively of $4.0 million.</w:t>
      </w:r>
    </w:p>
    <w:p>
      <w:pPr>
        <w:spacing w:after="0" w:line="130"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Net cash provided by operations was $14.5 million during the nine months ended September 30, 2020, as a result of a net loss of $35.3 million and a change of $6.3 million in our operating assets and liabilities, which were offset by non-cash charges of $56.2 million. The non-cash charges were primarily comprised of amortization of intangible assets of $43.5 million, non-cash paid in kind interest expense of $7.4 million and amortization of debt issuance costs of $1.5 million. The change in operating assets and liabilities was primarily the result of a decrease in accounts receivable of $3.9 million and an increase in deferred revenue of $1.4 million due to the timing of billings and cash received in advance of revenue recognition for subscription services, partially offset by cash outflows resulting from lower accounts payable, accrued expenses and other current liabilities collectively of $7.3 million and an increase in deferred contract costs of $4.3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31"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Cash used in investing activities during the nine months ended September 30, 2021 was $5.7 million, primarily related to purchases of data and expenditures associated with the buildout of one of our office facilities.</w:t>
      </w:r>
    </w:p>
    <w:p>
      <w:pPr>
        <w:spacing w:after="0" w:line="62"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Cash used in investing activities during the nine months ended September 30, 2020 was $8.0 million, primarily driven by a $6.9 million payment made to selling shareholders in conjunction with Advent's acquisition of the Company in 2019, along with $1.1 million for purchases of property, equipment, and other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3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Cash provided by financing activities during the nine months ended September 30, 2021 was $149.7 million, primarily driven by net proceeds received from the Company's IPO in September 2021 of $360.0 million and proceeds of $275.0 million from the 2021 Term Loan under the 2021 Credit Agreement executed in the third quarter of 2021. These cash inflows were partially offset by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repayments of the 2019 Term Loan of $472.7 million, distributions paid to members of $7.1 million, and payments of debt issuance costs of $3.5 million.</w:t>
      </w:r>
    </w:p>
    <w:p>
      <w:pPr>
        <w:spacing w:after="0" w:line="154"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Cash provided by financing activities during the nine months ended September 30, 2020 was $19.5 million, primarily as a result of proceeds from the 2019 Revolving Line of Credit of $25.0 million, partially offset by repayments of the 2019 Term Loan of $3.4 million and distributions paid to members of $2.1 million.</w:t>
      </w:r>
    </w:p>
    <w:p>
      <w:pPr>
        <w:spacing w:after="0" w:line="75"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for additional information related to our debt obligations. Refer to Note 12. </w:t>
      </w:r>
      <w:r>
        <w:rPr>
          <w:rFonts w:ascii="Arial" w:cs="Arial" w:eastAsia="Arial" w:hAnsi="Arial"/>
          <w:sz w:val="18"/>
          <w:szCs w:val="18"/>
          <w:i w:val="1"/>
          <w:iCs w:val="1"/>
          <w:color w:val="auto"/>
        </w:rPr>
        <w:t>Stockholders' Equity and Members' Deficit</w:t>
      </w:r>
      <w:r>
        <w:rPr>
          <w:rFonts w:ascii="Arial" w:cs="Arial" w:eastAsia="Arial" w:hAnsi="Arial"/>
          <w:sz w:val="18"/>
          <w:szCs w:val="18"/>
          <w:color w:val="auto"/>
        </w:rPr>
        <w:t xml:space="preserve"> in the Notes to the Consolidated Financial Statements in the Company’s IPO Prospectus for additional information related to contributions and distributions from and to members of Definitive OpCo.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31"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On September 17, 2021, DH Holdings entered into the 2021 Credit Agreement pursuant to which the lenders thereunder agreed to provide the 2021 Term Loan and the 2021 Revolving Line of Credit. The 2021 Credit Agreement includes certain financial covenants and the 2021 Credit Facilities thereunder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52" w:lineRule="exact"/>
        <w:rPr>
          <w:sz w:val="20"/>
          <w:szCs w:val="20"/>
          <w:color w:val="auto"/>
        </w:rPr>
      </w:pPr>
    </w:p>
    <w:p>
      <w:pPr>
        <w:ind w:right="60" w:firstLine="509"/>
        <w:spacing w:after="0" w:line="359" w:lineRule="auto"/>
        <w:rPr>
          <w:sz w:val="20"/>
          <w:szCs w:val="20"/>
          <w:color w:val="auto"/>
        </w:rPr>
      </w:pPr>
      <w:r>
        <w:rPr>
          <w:rFonts w:ascii="Arial" w:cs="Arial" w:eastAsia="Arial" w:hAnsi="Arial"/>
          <w:sz w:val="16"/>
          <w:szCs w:val="16"/>
          <w:color w:val="auto"/>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p>
    <w:p>
      <w:pPr>
        <w:spacing w:after="0" w:line="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$275.0 million outstanding on the 2021 Term Loan at September 30, 2021.</w:t>
      </w:r>
    </w:p>
    <w:p>
      <w:pPr>
        <w:spacing w:after="0" w:line="83" w:lineRule="exact"/>
        <w:rPr>
          <w:sz w:val="20"/>
          <w:szCs w:val="20"/>
          <w:color w:val="auto"/>
        </w:rPr>
      </w:pPr>
    </w:p>
    <w:p>
      <w:pPr>
        <w:ind w:right="540" w:firstLine="509"/>
        <w:spacing w:after="0" w:line="293" w:lineRule="auto"/>
        <w:rPr>
          <w:sz w:val="20"/>
          <w:szCs w:val="20"/>
          <w:color w:val="auto"/>
        </w:rPr>
      </w:pPr>
      <w:r>
        <w:rPr>
          <w:rFonts w:ascii="Arial" w:cs="Arial" w:eastAsia="Arial" w:hAnsi="Arial"/>
          <w:sz w:val="18"/>
          <w:szCs w:val="18"/>
          <w:color w:val="auto"/>
        </w:rPr>
        <w:t>The 2021 Revolving Line of Credit is committed for $75.0 million and has a maturity date of September 17, 2026. There was no outstanding balance on the 2021 Revolving Line of Credit as of September 30, 2021.</w:t>
      </w:r>
    </w:p>
    <w:p>
      <w:pPr>
        <w:spacing w:after="0" w:line="62"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On September 17, 2021, DH Holdings repaid the outstanding principal balances of the 2019 Term Loan of $442.1 million and the 2019 Delayed Draw Term Loan of $17.9 million.</w:t>
      </w:r>
    </w:p>
    <w:p>
      <w:pPr>
        <w:spacing w:after="0" w:line="62" w:lineRule="exact"/>
        <w:rPr>
          <w:sz w:val="20"/>
          <w:szCs w:val="20"/>
          <w:color w:val="auto"/>
        </w:rPr>
      </w:pPr>
    </w:p>
    <w:p>
      <w:pPr>
        <w:ind w:right="720" w:firstLine="509"/>
        <w:spacing w:after="0" w:line="293" w:lineRule="auto"/>
        <w:rPr>
          <w:sz w:val="20"/>
          <w:szCs w:val="20"/>
          <w:color w:val="auto"/>
        </w:rPr>
      </w:pPr>
      <w:r>
        <w:rPr>
          <w:rFonts w:ascii="Arial" w:cs="Arial" w:eastAsia="Arial" w:hAnsi="Arial"/>
          <w:sz w:val="18"/>
          <w:szCs w:val="18"/>
          <w:color w:val="auto"/>
        </w:rPr>
        <w:t>DH Holdings was compliant with its financial covenants under the 2019 Credit Agreement. The financial covenants under the 2021 Credit Agreement will apply to the Test Periods ending December 31, 2021 and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39"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85.0% of the amount of any tax benefits that it actually realizes, or in some cases is deemed to realize, as a result of (i) certain favorable tax attributes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the acquisition of LLC Units by Definitive Healthcare Corp. and (iii) certain payments made under the TRA.</w:t>
      </w:r>
    </w:p>
    <w:p>
      <w:pPr>
        <w:spacing w:after="0" w:line="5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7"/>
          <w:szCs w:val="17"/>
          <w:color w:val="auto"/>
        </w:rPr>
        <w:t>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70" w:lineRule="exact"/>
        <w:rPr>
          <w:sz w:val="20"/>
          <w:szCs w:val="20"/>
          <w:color w:val="auto"/>
        </w:rPr>
      </w:pPr>
    </w:p>
    <w:p>
      <w:pPr>
        <w:ind w:right="120" w:firstLine="509"/>
        <w:spacing w:after="0" w:line="296" w:lineRule="auto"/>
        <w:rPr>
          <w:sz w:val="20"/>
          <w:szCs w:val="20"/>
          <w:color w:val="auto"/>
        </w:rPr>
      </w:pPr>
      <w:r>
        <w:rPr>
          <w:rFonts w:ascii="Arial" w:cs="Arial" w:eastAsia="Arial" w:hAnsi="Arial"/>
          <w:sz w:val="17"/>
          <w:szCs w:val="17"/>
          <w:color w:val="auto"/>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in our unaudited consolidated financial statements included in Part I, Item 1 of this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43" w:lineRule="exact"/>
        <w:rPr>
          <w:sz w:val="20"/>
          <w:szCs w:val="20"/>
          <w:color w:val="auto"/>
        </w:rPr>
      </w:pPr>
    </w:p>
    <w:p>
      <w:pPr>
        <w:ind w:right="40" w:firstLine="509"/>
        <w:spacing w:after="0" w:line="324" w:lineRule="auto"/>
        <w:rPr>
          <w:sz w:val="20"/>
          <w:szCs w:val="20"/>
          <w:color w:val="auto"/>
        </w:rPr>
      </w:pPr>
      <w:r>
        <w:rPr>
          <w:rFonts w:ascii="Arial" w:cs="Arial" w:eastAsia="Arial" w:hAnsi="Arial"/>
          <w:sz w:val="17"/>
          <w:szCs w:val="17"/>
          <w:color w:val="auto"/>
        </w:rPr>
        <w:t>Capital expenditures increased by $4.6 million to $5.7 million for the nine months ended September 30, 2021 compared to $1.1 million for the same period in the prior year, primarily due to the purchases of data and expenditures related to the buildout of one of our office facilities.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had no off-balance sheet arrangements.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including business combinations, goodwill and indefinite-lived intangible assets and income taxes, see our discussion for the year ended December 31, 2020 included in the IPO Prospectus. There have been no material changes to these policies as of September 30, 2021.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31" w:lineRule="exact"/>
        <w:rPr>
          <w:sz w:val="20"/>
          <w:szCs w:val="20"/>
          <w:color w:val="auto"/>
        </w:rPr>
      </w:pPr>
    </w:p>
    <w:p>
      <w:pPr>
        <w:ind w:right="200" w:firstLine="509"/>
        <w:spacing w:after="0" w:line="290"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31"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 xml:space="preserve">See new accounting pronouncements described under “—Adoption of Recently Issued Financial Accounting Standards” and “—Recently Issued Accounting Pronouncements Not Yet Adopted”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interim condensed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480" w:firstLine="509"/>
        <w:spacing w:after="0" w:line="324"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Our cash, cash equivalents, and marketable securities primarily consist of cash on hand and highly liquid investments in money market funds and U.S. government securities. As of September 30, 2021, we had cash and cash equivalents of $189.8 million.</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Our operating results are subject to market risk from interest rate fluctuations on our 2021 Term Loan, which bears a variable interest rate based on the LIBO Rate or a Base Rate plus an applicable margin. As of September 30, 2021, the total principal balance outstanding was $275.0 million. A hypothetical 1.0% increase or decrease in the interest rate associated with borrowings under the 2021 Credit Agreement would have resulted in an impact to interest expense of approximately $4.2 million and $4.0 million, respectively, for the nine months ended September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31"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31"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240" w:firstLine="509"/>
        <w:spacing w:after="0" w:line="308" w:lineRule="auto"/>
        <w:rPr>
          <w:sz w:val="20"/>
          <w:szCs w:val="20"/>
          <w:color w:val="auto"/>
        </w:rPr>
      </w:pPr>
      <w:r>
        <w:rPr>
          <w:rFonts w:ascii="Arial" w:cs="Arial" w:eastAsia="Arial" w:hAnsi="Arial"/>
          <w:sz w:val="16"/>
          <w:szCs w:val="16"/>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2021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firstLine="509"/>
        <w:spacing w:after="0" w:line="359" w:lineRule="auto"/>
        <w:rPr>
          <w:sz w:val="20"/>
          <w:szCs w:val="20"/>
          <w:color w:val="auto"/>
        </w:rPr>
      </w:pPr>
      <w:r>
        <w:rPr>
          <w:rFonts w:ascii="Arial" w:cs="Arial" w:eastAsia="Arial" w:hAnsi="Arial"/>
          <w:sz w:val="16"/>
          <w:szCs w:val="16"/>
          <w:color w:val="auto"/>
        </w:rPr>
        <w:t>During the quarter ended September 30, 2021,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80" w:firstLine="509"/>
        <w:spacing w:after="0" w:line="314"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52" w:lineRule="exact"/>
        <w:rPr>
          <w:sz w:val="20"/>
          <w:szCs w:val="20"/>
          <w:color w:val="auto"/>
        </w:rPr>
      </w:pPr>
    </w:p>
    <w:p>
      <w:pPr>
        <w:ind w:right="440" w:firstLine="509"/>
        <w:spacing w:after="0" w:line="324" w:lineRule="auto"/>
        <w:rPr>
          <w:sz w:val="20"/>
          <w:szCs w:val="20"/>
          <w:color w:val="auto"/>
        </w:rPr>
      </w:pPr>
      <w:r>
        <w:rPr>
          <w:rFonts w:ascii="Arial" w:cs="Arial" w:eastAsia="Arial" w:hAnsi="Arial"/>
          <w:sz w:val="17"/>
          <w:szCs w:val="17"/>
          <w:color w:val="auto"/>
        </w:rPr>
        <w:t>For a description of certain legal and regulatory proceedings, please read “Legal Matters” in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our unaudited consolidated financial statements included in Part I, Item 1 of this Form 10-Q, which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There have been no material changes in our risk factors since the filing of our Registration Statement on Form S-1, originally filed with the SEC on September 13, 2021 (Reg. No. 333-258990).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31"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In connection with the IPO, Definitive Healthcare Corp. effected a series of transactions at various times prior to and/or concurrently with the closing of the IPO that resulted in a reorganization of its business. In connection with the Reorganization Transactions, on September 14, 2021, Definitive Healthcare Corp. issued 71,963,629 shares of its Class A Common Stock, par value $0.001 per share, and 60,836,823 shares of its Class B Common Stock to pre-IPO holders of LLC Units, including affiliates of Advent, 22C Capital and Spectrum Equity. Upon an exchange of LLC Units for shares of Class A Common Stock, the corresponding shares of Class B Common Stock are cancelled.</w:t>
      </w:r>
    </w:p>
    <w:p>
      <w:pPr>
        <w:spacing w:after="0" w:line="66"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No underwriters were involved in the issuance and sale of these shares of Class A Common Stock. In each of these transactions described below, the recipients of the securities represented their intention to acquire the securities for investment only and not with a view to or for sale in connection with any distribution thereof, and appropriate legends were affixed to the securities issued in these transactions. The issuances of the shares of Class A and Class B Common Stock described in the above paragraph were made in reliance on Section 4(a)(2) of the Securities Act.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As contemplated in the IPO Prospectus, Definitive Healthcare Corp. used the net proceeds from the IPO to i) acquire 14,222,222 newly issued LLC Units from Definitive OpCo, (ii) purchase 1,169,378 LLC Units from certain holders of LLC Units prior to the IPO and (iii) repurchase 2,497,288 shares of Class A Common Stock received by certain of our stockholders at a purchase price per LLC Unit and share of Class A Common Stock, in each case equal to the IPO price of Class A Common Stock, after deducting the underwriting discounts and commissions. Definitive OpCo used the proceeds from the issuance of the LLC Units to Definitive Healthcare Corp. to pay fees and expenses of approximately $11.4 million in connection with the IPO and the Reorganization Transactions (as defined below) and to repay $199.6 million, inclusive of accrued interest expense, of the outstanding borrowings under our 2019 Credit Agreement; and used the remainder for general corporate purposes. Further, on September 17, 2021, we entered into an agreement to reimburse approximately $0.9 million in aggregate documented expenses incurred by 22C Capital, Spectrum Equity, and Advent International in connection with the Reorganization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right="360" w:firstLine="509"/>
        <w:spacing w:after="0" w:line="292"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40" w:type="dxa"/>
            <w:vAlign w:val="bottom"/>
            <w:gridSpan w:val="21"/>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92"/>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9940" w:type="dxa"/>
            <w:vAlign w:val="bottom"/>
            <w:gridSpan w:val="34"/>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Amended and Restated Certificate of Incorporation of Definitive Healthcare Corp.</w:t>
              </w:r>
            </w:hyperlink>
          </w:p>
        </w:tc>
      </w:tr>
      <w:tr>
        <w:trPr>
          <w:trHeight w:val="453"/>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920" w:type="dxa"/>
            <w:vAlign w:val="bottom"/>
            <w:tcBorders>
              <w:top w:val="single" w:sz="8" w:color="0000FF"/>
            </w:tcBorders>
            <w:gridSpan w:val="1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Amended and Restated Bylaws of Definitive Healthcare Corp.</w:t>
              </w:r>
            </w:hyperlink>
          </w:p>
        </w:tc>
        <w:tc>
          <w:tcPr>
            <w:tcW w:w="4020" w:type="dxa"/>
            <w:vAlign w:val="bottom"/>
            <w:gridSpan w:val="16"/>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80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Second Amended and Restated Limited Liability Company Agreement of AIDH TopCo, LLC.</w:t>
              </w:r>
            </w:hyperlink>
          </w:p>
        </w:tc>
        <w:tc>
          <w:tcPr>
            <w:tcW w:w="3140" w:type="dxa"/>
            <w:vAlign w:val="bottom"/>
            <w:gridSpan w:val="13"/>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3400" w:type="dxa"/>
            <w:vAlign w:val="bottom"/>
            <w:tcBorders>
              <w:bottom w:val="single" w:sz="8" w:color="0000EE"/>
            </w:tcBorders>
            <w:gridSpan w:val="9"/>
          </w:tcPr>
          <w:p>
            <w:pPr>
              <w:spacing w:after="0"/>
              <w:rPr>
                <w:rFonts w:ascii="Arial" w:cs="Arial" w:eastAsia="Arial" w:hAnsi="Arial"/>
                <w:sz w:val="18"/>
                <w:szCs w:val="18"/>
                <w:color w:val="0000FF"/>
                <w:w w:val="91"/>
              </w:rPr>
            </w:pPr>
            <w:hyperlink r:id="rId269">
              <w:r>
                <w:rPr>
                  <w:rFonts w:ascii="Arial" w:cs="Arial" w:eastAsia="Arial" w:hAnsi="Arial"/>
                  <w:sz w:val="18"/>
                  <w:szCs w:val="18"/>
                  <w:color w:val="0000FF"/>
                  <w:w w:val="91"/>
                </w:rPr>
                <w:t>Form of Certificate of Class A Common Stock.</w:t>
              </w:r>
            </w:hyperlink>
          </w:p>
        </w:tc>
        <w:tc>
          <w:tcPr>
            <w:tcW w:w="6540" w:type="dxa"/>
            <w:vAlign w:val="bottom"/>
            <w:gridSpan w:val="25"/>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9820" w:type="dxa"/>
            <w:vAlign w:val="bottom"/>
            <w:tcBorders>
              <w:bottom w:val="single" w:sz="8" w:color="0000EE"/>
            </w:tcBorders>
            <w:gridSpan w:val="30"/>
          </w:tcPr>
          <w:p>
            <w:pPr>
              <w:spacing w:after="0"/>
              <w:rPr>
                <w:rFonts w:ascii="Arial" w:cs="Arial" w:eastAsia="Arial" w:hAnsi="Arial"/>
                <w:sz w:val="18"/>
                <w:szCs w:val="18"/>
                <w:color w:val="0000FF"/>
                <w:w w:val="91"/>
              </w:rPr>
            </w:pPr>
            <w:hyperlink r:id="rId270">
              <w:r>
                <w:rPr>
                  <w:rFonts w:ascii="Arial" w:cs="Arial" w:eastAsia="Arial" w:hAnsi="Arial"/>
                  <w:sz w:val="18"/>
                  <w:szCs w:val="18"/>
                  <w:color w:val="0000FF"/>
                  <w:w w:val="91"/>
                </w:rPr>
                <w:t>Employment Agreement dated October 7, 2021 by and between Definitive Healthcare Corp. and Robert Musslewhite, effective October</w:t>
              </w:r>
            </w:hyperlink>
          </w:p>
        </w:tc>
        <w:tc>
          <w:tcPr>
            <w:tcW w:w="120" w:type="dxa"/>
            <w:vAlign w:val="bottom"/>
            <w:gridSpan w:val="4"/>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0000FF"/>
                <w:w w:val="86"/>
              </w:rPr>
            </w:pPr>
            <w:hyperlink r:id="rId270">
              <w:r>
                <w:rPr>
                  <w:rFonts w:ascii="Arial" w:cs="Arial" w:eastAsia="Arial" w:hAnsi="Arial"/>
                  <w:sz w:val="18"/>
                  <w:szCs w:val="18"/>
                  <w:color w:val="0000FF"/>
                  <w:w w:val="86"/>
                </w:rPr>
                <w:t>7, 2021.</w:t>
              </w:r>
            </w:hyperlink>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9920" w:type="dxa"/>
            <w:vAlign w:val="bottom"/>
            <w:tcBorders>
              <w:bottom w:val="single" w:sz="8" w:color="0000EE"/>
            </w:tcBorders>
            <w:gridSpan w:val="33"/>
          </w:tcPr>
          <w:p>
            <w:pPr>
              <w:spacing w:after="0"/>
              <w:rPr>
                <w:rFonts w:ascii="Arial" w:cs="Arial" w:eastAsia="Arial" w:hAnsi="Arial"/>
                <w:sz w:val="18"/>
                <w:szCs w:val="18"/>
                <w:color w:val="0000FF"/>
                <w:w w:val="90"/>
              </w:rPr>
            </w:pPr>
            <w:hyperlink r:id="rId271">
              <w:r>
                <w:rPr>
                  <w:rFonts w:ascii="Arial" w:cs="Arial" w:eastAsia="Arial" w:hAnsi="Arial"/>
                  <w:sz w:val="18"/>
                  <w:szCs w:val="18"/>
                  <w:color w:val="0000FF"/>
                  <w:w w:val="90"/>
                </w:rPr>
                <w:t>Credit Agreement, dated as of September 17, 2021, by and among Definitive Healthcare Holdings, LLC, the lenders party thereto and the</w:t>
              </w:r>
            </w:hyperlink>
          </w:p>
        </w:tc>
        <w:tc>
          <w:tcPr>
            <w:tcW w:w="20" w:type="dxa"/>
            <w:vAlign w:val="bottom"/>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40" w:type="dxa"/>
            <w:vAlign w:val="bottom"/>
            <w:gridSpan w:val="34"/>
          </w:tcPr>
          <w:p>
            <w:pPr>
              <w:spacing w:after="0"/>
              <w:rPr>
                <w:rFonts w:ascii="Arial" w:cs="Arial" w:eastAsia="Arial" w:hAnsi="Arial"/>
                <w:sz w:val="18"/>
                <w:szCs w:val="18"/>
                <w:color w:val="0000FF"/>
              </w:rPr>
            </w:pPr>
            <w:hyperlink r:id="rId271">
              <w:r>
                <w:rPr>
                  <w:rFonts w:ascii="Arial" w:cs="Arial" w:eastAsia="Arial" w:hAnsi="Arial"/>
                  <w:sz w:val="18"/>
                  <w:szCs w:val="18"/>
                  <w:color w:val="0000FF"/>
                </w:rPr>
                <w:t>other parties specified therein and Bank of America, N.A., as administrative agent.</w:t>
              </w:r>
            </w:hyperlink>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2000" w:type="dxa"/>
            <w:vAlign w:val="bottom"/>
            <w:tcBorders>
              <w:top w:val="single" w:sz="8" w:color="0000EE"/>
              <w:bottom w:val="single" w:sz="8" w:color="0000EE"/>
            </w:tcBorders>
            <w:gridSpan w:val="6"/>
          </w:tcPr>
          <w:p>
            <w:pPr>
              <w:spacing w:after="0"/>
              <w:rPr>
                <w:rFonts w:ascii="Arial" w:cs="Arial" w:eastAsia="Arial" w:hAnsi="Arial"/>
                <w:sz w:val="18"/>
                <w:szCs w:val="18"/>
                <w:color w:val="0000FF"/>
                <w:w w:val="92"/>
              </w:rPr>
            </w:pPr>
            <w:hyperlink r:id="rId272">
              <w:r>
                <w:rPr>
                  <w:rFonts w:ascii="Arial" w:cs="Arial" w:eastAsia="Arial" w:hAnsi="Arial"/>
                  <w:sz w:val="18"/>
                  <w:szCs w:val="18"/>
                  <w:color w:val="0000FF"/>
                  <w:w w:val="92"/>
                </w:rPr>
                <w:t>2021 Equity Incentive Plan</w:t>
              </w:r>
            </w:hyperlink>
          </w:p>
        </w:tc>
        <w:tc>
          <w:tcPr>
            <w:tcW w:w="3940" w:type="dxa"/>
            <w:vAlign w:val="bottom"/>
            <w:tcBorders>
              <w:top w:val="single" w:sz="8" w:color="0000EE"/>
            </w:tcBorders>
            <w:gridSpan w:val="13"/>
          </w:tcPr>
          <w:p>
            <w:pPr>
              <w:spacing w:after="0"/>
              <w:rPr>
                <w:sz w:val="19"/>
                <w:szCs w:val="19"/>
                <w:color w:val="auto"/>
              </w:rPr>
            </w:pPr>
          </w:p>
        </w:tc>
        <w:tc>
          <w:tcPr>
            <w:tcW w:w="4000" w:type="dxa"/>
            <w:vAlign w:val="bottom"/>
            <w:gridSpan w:val="15"/>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9940" w:type="dxa"/>
            <w:vAlign w:val="bottom"/>
            <w:gridSpan w:val="34"/>
          </w:tcPr>
          <w:p>
            <w:pPr>
              <w:spacing w:after="0"/>
              <w:rPr>
                <w:rFonts w:ascii="Arial" w:cs="Arial" w:eastAsia="Arial" w:hAnsi="Arial"/>
                <w:sz w:val="18"/>
                <w:szCs w:val="18"/>
                <w:color w:val="0000FF"/>
              </w:rPr>
            </w:pPr>
            <w:hyperlink r:id="rId273">
              <w:r>
                <w:rPr>
                  <w:rFonts w:ascii="Arial" w:cs="Arial" w:eastAsia="Arial" w:hAnsi="Arial"/>
                  <w:sz w:val="18"/>
                  <w:szCs w:val="18"/>
                  <w:color w:val="0000FF"/>
                </w:rPr>
                <w:t>Form of executive equity award agreements under 2021 Equity Incentive Plan.</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5680" w:type="dxa"/>
            <w:vAlign w:val="bottom"/>
            <w:tcBorders>
              <w:bottom w:val="single" w:sz="8" w:color="0000EE"/>
            </w:tcBorders>
            <w:gridSpan w:val="17"/>
          </w:tcPr>
          <w:p>
            <w:pPr>
              <w:spacing w:after="0"/>
              <w:rPr>
                <w:rFonts w:ascii="Arial" w:cs="Arial" w:eastAsia="Arial" w:hAnsi="Arial"/>
                <w:sz w:val="18"/>
                <w:szCs w:val="18"/>
                <w:color w:val="0000FF"/>
                <w:w w:val="90"/>
              </w:rPr>
            </w:pPr>
            <w:hyperlink r:id="rId274">
              <w:r>
                <w:rPr>
                  <w:rFonts w:ascii="Arial" w:cs="Arial" w:eastAsia="Arial" w:hAnsi="Arial"/>
                  <w:sz w:val="18"/>
                  <w:szCs w:val="18"/>
                  <w:color w:val="0000FF"/>
                  <w:w w:val="90"/>
                </w:rPr>
                <w:t>Form of employee equity award agreements under 2021 Equity Incentive Plan.</w:t>
              </w:r>
            </w:hyperlink>
          </w:p>
        </w:tc>
        <w:tc>
          <w:tcPr>
            <w:tcW w:w="4260" w:type="dxa"/>
            <w:vAlign w:val="bottom"/>
            <w:gridSpan w:val="17"/>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7600" w:type="dxa"/>
            <w:vAlign w:val="bottom"/>
            <w:tcBorders>
              <w:bottom w:val="single" w:sz="8" w:color="0000FF"/>
            </w:tcBorders>
            <w:gridSpan w:val="22"/>
          </w:tcPr>
          <w:p>
            <w:pPr>
              <w:spacing w:after="0"/>
              <w:rPr>
                <w:rFonts w:ascii="Arial" w:cs="Arial" w:eastAsia="Arial" w:hAnsi="Arial"/>
                <w:sz w:val="18"/>
                <w:szCs w:val="18"/>
                <w:color w:val="0000FF"/>
                <w:w w:val="92"/>
              </w:rPr>
            </w:pPr>
            <w:hyperlink r:id="rId275">
              <w:r>
                <w:rPr>
                  <w:rFonts w:ascii="Arial" w:cs="Arial" w:eastAsia="Arial" w:hAnsi="Arial"/>
                  <w:sz w:val="18"/>
                  <w:szCs w:val="18"/>
                  <w:color w:val="0000FF"/>
                  <w:w w:val="92"/>
                </w:rPr>
                <w:t>Form of 2021 Executive Officer and Director Indemnification Agreement for Definitive Healthcare Corp.</w:t>
              </w:r>
            </w:hyperlink>
          </w:p>
        </w:tc>
        <w:tc>
          <w:tcPr>
            <w:tcW w:w="2340" w:type="dxa"/>
            <w:vAlign w:val="bottom"/>
            <w:gridSpan w:val="12"/>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9940" w:type="dxa"/>
            <w:vAlign w:val="bottom"/>
            <w:gridSpan w:val="34"/>
          </w:tcPr>
          <w:p>
            <w:pPr>
              <w:spacing w:after="0"/>
              <w:rPr>
                <w:rFonts w:ascii="Arial" w:cs="Arial" w:eastAsia="Arial" w:hAnsi="Arial"/>
                <w:sz w:val="18"/>
                <w:szCs w:val="18"/>
                <w:color w:val="0000FF"/>
              </w:rPr>
            </w:pPr>
            <w:hyperlink r:id="rId276">
              <w:r>
                <w:rPr>
                  <w:rFonts w:ascii="Arial" w:cs="Arial" w:eastAsia="Arial" w:hAnsi="Arial"/>
                  <w:sz w:val="18"/>
                  <w:szCs w:val="18"/>
                  <w:color w:val="0000FF"/>
                </w:rPr>
                <w:t>2021 Employee Stock Purchase Plan.</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8340" w:type="dxa"/>
            <w:vAlign w:val="bottom"/>
            <w:tcBorders>
              <w:bottom w:val="single" w:sz="8" w:color="0000FF"/>
            </w:tcBorders>
            <w:gridSpan w:val="24"/>
          </w:tcPr>
          <w:p>
            <w:pPr>
              <w:spacing w:after="0"/>
              <w:rPr>
                <w:rFonts w:ascii="Arial" w:cs="Arial" w:eastAsia="Arial" w:hAnsi="Arial"/>
                <w:sz w:val="18"/>
                <w:szCs w:val="18"/>
                <w:color w:val="0000FF"/>
                <w:w w:val="91"/>
              </w:rPr>
            </w:pPr>
            <w:hyperlink w:anchor="page157">
              <w:r>
                <w:rPr>
                  <w:rFonts w:ascii="Arial" w:cs="Arial" w:eastAsia="Arial" w:hAnsi="Arial"/>
                  <w:sz w:val="18"/>
                  <w:szCs w:val="18"/>
                  <w:color w:val="0000FF"/>
                  <w:w w:val="91"/>
                </w:rPr>
                <w:t>Reorganization Agreement between Definitive Healthcare Corp., AIDH TopCo, LLC and the parties named therein.</w:t>
              </w:r>
            </w:hyperlink>
          </w:p>
        </w:tc>
        <w:tc>
          <w:tcPr>
            <w:tcW w:w="20" w:type="dxa"/>
            <w:vAlign w:val="bottom"/>
            <w:tcBorders>
              <w:bottom w:val="single" w:sz="8" w:color="0000EE"/>
            </w:tcBorders>
          </w:tcPr>
          <w:p>
            <w:pPr>
              <w:spacing w:after="0"/>
              <w:rPr>
                <w:sz w:val="19"/>
                <w:szCs w:val="19"/>
                <w:color w:val="auto"/>
              </w:rPr>
            </w:pPr>
          </w:p>
        </w:tc>
        <w:tc>
          <w:tcPr>
            <w:tcW w:w="1580" w:type="dxa"/>
            <w:vAlign w:val="bottom"/>
            <w:gridSpan w:val="9"/>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560" w:type="dxa"/>
            <w:vAlign w:val="bottom"/>
            <w:tcBorders>
              <w:bottom w:val="single" w:sz="8" w:color="0000EE"/>
            </w:tcBorders>
            <w:gridSpan w:val="26"/>
          </w:tcPr>
          <w:p>
            <w:pPr>
              <w:spacing w:after="0"/>
              <w:rPr>
                <w:rFonts w:ascii="Arial" w:cs="Arial" w:eastAsia="Arial" w:hAnsi="Arial"/>
                <w:sz w:val="18"/>
                <w:szCs w:val="18"/>
                <w:color w:val="0000FF"/>
                <w:w w:val="91"/>
              </w:rPr>
            </w:pPr>
            <w:hyperlink w:anchor="page193">
              <w:r>
                <w:rPr>
                  <w:rFonts w:ascii="Arial" w:cs="Arial" w:eastAsia="Arial" w:hAnsi="Arial"/>
                  <w:sz w:val="18"/>
                  <w:szCs w:val="18"/>
                  <w:color w:val="0000FF"/>
                  <w:w w:val="91"/>
                </w:rPr>
                <w:t>Registration Rights Agreement by and among Definitive Healthcare Corp. and the Continuing Pre-IPO LLC Members.</w:t>
              </w:r>
            </w:hyperlink>
          </w:p>
        </w:tc>
        <w:tc>
          <w:tcPr>
            <w:tcW w:w="1380" w:type="dxa"/>
            <w:vAlign w:val="bottom"/>
            <w:gridSpan w:val="8"/>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9"/>
                <w:szCs w:val="19"/>
                <w:color w:val="auto"/>
              </w:rPr>
            </w:pPr>
          </w:p>
        </w:tc>
        <w:tc>
          <w:tcPr>
            <w:tcW w:w="62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265">
              <w:r>
                <w:rPr>
                  <w:rFonts w:ascii="Arial" w:cs="Arial" w:eastAsia="Arial" w:hAnsi="Arial"/>
                  <w:sz w:val="18"/>
                  <w:szCs w:val="18"/>
                  <w:color w:val="0000FF"/>
                  <w:w w:val="90"/>
                </w:rPr>
                <w:t>Tax Receivable Agreement between Definitive Healthcare Corp. and the TRA Parties.</w:t>
              </w:r>
            </w:hyperlink>
          </w:p>
        </w:tc>
        <w:tc>
          <w:tcPr>
            <w:tcW w:w="3740" w:type="dxa"/>
            <w:vAlign w:val="bottom"/>
            <w:gridSpan w:val="14"/>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c>
          <w:tcPr>
            <w:tcW w:w="42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313">
              <w:r>
                <w:rPr>
                  <w:rFonts w:ascii="Arial" w:cs="Arial" w:eastAsia="Arial" w:hAnsi="Arial"/>
                  <w:sz w:val="18"/>
                  <w:szCs w:val="18"/>
                  <w:color w:val="0000FF"/>
                  <w:w w:val="90"/>
                </w:rPr>
                <w:t>Nominating Agreement between the Company and Advent.</w:t>
              </w:r>
            </w:hyperlink>
          </w:p>
        </w:tc>
        <w:tc>
          <w:tcPr>
            <w:tcW w:w="20" w:type="dxa"/>
            <w:vAlign w:val="bottom"/>
            <w:tcBorders>
              <w:bottom w:val="single" w:sz="8" w:color="0000EE"/>
            </w:tcBorders>
          </w:tcPr>
          <w:p>
            <w:pPr>
              <w:spacing w:after="0"/>
              <w:rPr>
                <w:sz w:val="19"/>
                <w:szCs w:val="19"/>
                <w:color w:val="auto"/>
              </w:rPr>
            </w:pPr>
          </w:p>
        </w:tc>
        <w:tc>
          <w:tcPr>
            <w:tcW w:w="5640" w:type="dxa"/>
            <w:vAlign w:val="bottom"/>
            <w:gridSpan w:val="22"/>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9"/>
                <w:szCs w:val="19"/>
                <w:color w:val="auto"/>
              </w:rPr>
            </w:pPr>
          </w:p>
        </w:tc>
        <w:tc>
          <w:tcPr>
            <w:tcW w:w="5340" w:type="dxa"/>
            <w:vAlign w:val="bottom"/>
            <w:tcBorders>
              <w:bottom w:val="single" w:sz="8" w:color="0000EE"/>
            </w:tcBorders>
            <w:gridSpan w:val="16"/>
          </w:tcPr>
          <w:p>
            <w:pPr>
              <w:spacing w:after="0"/>
              <w:rPr>
                <w:rFonts w:ascii="Arial" w:cs="Arial" w:eastAsia="Arial" w:hAnsi="Arial"/>
                <w:sz w:val="18"/>
                <w:szCs w:val="18"/>
                <w:color w:val="0000FF"/>
                <w:w w:val="91"/>
              </w:rPr>
            </w:pPr>
            <w:hyperlink w:anchor="page319">
              <w:r>
                <w:rPr>
                  <w:rFonts w:ascii="Arial" w:cs="Arial" w:eastAsia="Arial" w:hAnsi="Arial"/>
                  <w:sz w:val="18"/>
                  <w:szCs w:val="18"/>
                  <w:color w:val="0000FF"/>
                  <w:w w:val="91"/>
                </w:rPr>
                <w:t>Nominating Agreement between the Company and SE VII DHC AIV, L.P.</w:t>
              </w:r>
            </w:hyperlink>
          </w:p>
        </w:tc>
        <w:tc>
          <w:tcPr>
            <w:tcW w:w="4600" w:type="dxa"/>
            <w:vAlign w:val="bottom"/>
            <w:gridSpan w:val="18"/>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9"/>
                <w:szCs w:val="19"/>
                <w:color w:val="auto"/>
              </w:rPr>
            </w:pPr>
          </w:p>
        </w:tc>
        <w:tc>
          <w:tcPr>
            <w:tcW w:w="4640" w:type="dxa"/>
            <w:vAlign w:val="bottom"/>
            <w:tcBorders>
              <w:bottom w:val="single" w:sz="8" w:color="0000EE"/>
            </w:tcBorders>
            <w:gridSpan w:val="14"/>
          </w:tcPr>
          <w:p>
            <w:pPr>
              <w:spacing w:after="0"/>
              <w:rPr>
                <w:rFonts w:ascii="Arial" w:cs="Arial" w:eastAsia="Arial" w:hAnsi="Arial"/>
                <w:sz w:val="18"/>
                <w:szCs w:val="18"/>
                <w:color w:val="0000FF"/>
                <w:w w:val="89"/>
              </w:rPr>
            </w:pPr>
            <w:hyperlink w:anchor="page325">
              <w:r>
                <w:rPr>
                  <w:rFonts w:ascii="Arial" w:cs="Arial" w:eastAsia="Arial" w:hAnsi="Arial"/>
                  <w:sz w:val="18"/>
                  <w:szCs w:val="18"/>
                  <w:color w:val="0000FF"/>
                  <w:w w:val="89"/>
                </w:rPr>
                <w:t>Nominating Agreement between the Company and Jason Krantz</w:t>
              </w:r>
            </w:hyperlink>
          </w:p>
        </w:tc>
        <w:tc>
          <w:tcPr>
            <w:tcW w:w="5300" w:type="dxa"/>
            <w:vAlign w:val="bottom"/>
            <w:gridSpan w:val="20"/>
          </w:tcPr>
          <w:p>
            <w:pPr>
              <w:spacing w:after="0"/>
              <w:rPr>
                <w:sz w:val="19"/>
                <w:szCs w:val="19"/>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9"/>
                <w:szCs w:val="19"/>
                <w:color w:val="auto"/>
              </w:rPr>
            </w:pPr>
          </w:p>
        </w:tc>
        <w:tc>
          <w:tcPr>
            <w:tcW w:w="9940" w:type="dxa"/>
            <w:vAlign w:val="bottom"/>
            <w:gridSpan w:val="34"/>
          </w:tcPr>
          <w:p>
            <w:pPr>
              <w:spacing w:after="0"/>
              <w:rPr>
                <w:rFonts w:ascii="Arial" w:cs="Arial" w:eastAsia="Arial" w:hAnsi="Arial"/>
                <w:sz w:val="18"/>
                <w:szCs w:val="18"/>
                <w:color w:val="0000FF"/>
              </w:rPr>
            </w:pPr>
            <w:hyperlink w:anchor="page330">
              <w:r>
                <w:rPr>
                  <w:rFonts w:ascii="Arial" w:cs="Arial" w:eastAsia="Arial" w:hAnsi="Arial"/>
                  <w:sz w:val="18"/>
                  <w:szCs w:val="18"/>
                  <w:color w:val="0000FF"/>
                </w:rPr>
                <w:t>Reimbursement Agreement between Definitive Healthcare Corp. and Jason Krantz and certain other stockholders.</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220" w:type="dxa"/>
            <w:vAlign w:val="bottom"/>
            <w:gridSpan w:val="8"/>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9"/>
                <w:szCs w:val="19"/>
                <w:color w:val="auto"/>
              </w:rPr>
            </w:pPr>
          </w:p>
        </w:tc>
        <w:tc>
          <w:tcPr>
            <w:tcW w:w="9800" w:type="dxa"/>
            <w:vAlign w:val="bottom"/>
            <w:tcBorders>
              <w:bottom w:val="single" w:sz="8" w:color="0000EE"/>
            </w:tcBorders>
            <w:gridSpan w:val="29"/>
          </w:tcPr>
          <w:p>
            <w:pPr>
              <w:spacing w:after="0"/>
              <w:rPr>
                <w:rFonts w:ascii="Arial" w:cs="Arial" w:eastAsia="Arial" w:hAnsi="Arial"/>
                <w:sz w:val="18"/>
                <w:szCs w:val="18"/>
                <w:color w:val="0000FF"/>
                <w:w w:val="90"/>
              </w:rPr>
            </w:pPr>
            <w:hyperlink r:id="rId277">
              <w:r>
                <w:rPr>
                  <w:rFonts w:ascii="Arial" w:cs="Arial" w:eastAsia="Arial" w:hAnsi="Arial"/>
                  <w:sz w:val="18"/>
                  <w:szCs w:val="18"/>
                  <w:color w:val="0000FF"/>
                  <w:w w:val="90"/>
                </w:rPr>
                <w:t>Stock and Unit Purchase Agreement, dated as of September 7, 2021, by and among Definitive Health Care Corp. and the parties named</w:t>
              </w:r>
            </w:hyperlink>
          </w:p>
        </w:tc>
        <w:tc>
          <w:tcPr>
            <w:tcW w:w="140" w:type="dxa"/>
            <w:vAlign w:val="bottom"/>
            <w:gridSpan w:val="5"/>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FF"/>
                <w:w w:val="86"/>
              </w:rPr>
            </w:pPr>
            <w:hyperlink r:id="rId277">
              <w:r>
                <w:rPr>
                  <w:rFonts w:ascii="Arial" w:cs="Arial" w:eastAsia="Arial" w:hAnsi="Arial"/>
                  <w:sz w:val="18"/>
                  <w:szCs w:val="18"/>
                  <w:color w:val="0000FF"/>
                  <w:w w:val="86"/>
                </w:rPr>
                <w:t>therein.</w:t>
              </w:r>
            </w:hyperlink>
          </w:p>
        </w:tc>
        <w:tc>
          <w:tcPr>
            <w:tcW w:w="9400" w:type="dxa"/>
            <w:vAlign w:val="bottom"/>
            <w:gridSpan w:val="32"/>
          </w:tcPr>
          <w:p>
            <w:pPr>
              <w:spacing w:after="0"/>
              <w:rPr>
                <w:sz w:val="18"/>
                <w:szCs w:val="18"/>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9"/>
                <w:szCs w:val="19"/>
                <w:color w:val="auto"/>
              </w:rPr>
            </w:pPr>
          </w:p>
        </w:tc>
        <w:tc>
          <w:tcPr>
            <w:tcW w:w="9840" w:type="dxa"/>
            <w:vAlign w:val="bottom"/>
            <w:tcBorders>
              <w:bottom w:val="single" w:sz="8" w:color="0000FF"/>
            </w:tcBorders>
            <w:gridSpan w:val="31"/>
          </w:tcPr>
          <w:p>
            <w:pPr>
              <w:spacing w:after="0"/>
              <w:rPr>
                <w:rFonts w:ascii="Arial" w:cs="Arial" w:eastAsia="Arial" w:hAnsi="Arial"/>
                <w:sz w:val="18"/>
                <w:szCs w:val="18"/>
                <w:color w:val="0000FF"/>
                <w:w w:val="89"/>
              </w:rPr>
            </w:pPr>
            <w:hyperlink w:anchor="page337">
              <w:r>
                <w:rPr>
                  <w:rFonts w:ascii="Arial" w:cs="Arial" w:eastAsia="Arial" w:hAnsi="Arial"/>
                  <w:sz w:val="18"/>
                  <w:szCs w:val="18"/>
                  <w:color w:val="0000FF"/>
                  <w:w w:val="89"/>
                </w:rPr>
                <w:t>Severance Agreement dated September 30, 2021 by and between Definitive Healthcare Corp. and Kevin Shone, effective September 30,</w:t>
              </w:r>
            </w:hyperlink>
          </w:p>
        </w:tc>
        <w:tc>
          <w:tcPr>
            <w:tcW w:w="100" w:type="dxa"/>
            <w:vAlign w:val="bottom"/>
            <w:gridSpan w:val="3"/>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rFonts w:ascii="Arial" w:cs="Arial" w:eastAsia="Arial" w:hAnsi="Arial"/>
                <w:sz w:val="18"/>
                <w:szCs w:val="18"/>
                <w:color w:val="0000FF"/>
                <w:w w:val="84"/>
              </w:rPr>
            </w:pPr>
            <w:hyperlink w:anchor="page337">
              <w:r>
                <w:rPr>
                  <w:rFonts w:ascii="Arial" w:cs="Arial" w:eastAsia="Arial" w:hAnsi="Arial"/>
                  <w:sz w:val="18"/>
                  <w:szCs w:val="18"/>
                  <w:color w:val="0000FF"/>
                  <w:w w:val="84"/>
                </w:rPr>
                <w:t>2021</w:t>
              </w:r>
            </w:hyperlink>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9"/>
                <w:szCs w:val="19"/>
                <w:color w:val="auto"/>
              </w:rPr>
            </w:pPr>
          </w:p>
        </w:tc>
        <w:tc>
          <w:tcPr>
            <w:tcW w:w="978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345">
              <w:r>
                <w:rPr>
                  <w:rFonts w:ascii="Arial" w:cs="Arial" w:eastAsia="Arial" w:hAnsi="Arial"/>
                  <w:sz w:val="18"/>
                  <w:szCs w:val="18"/>
                  <w:color w:val="0000FF"/>
                  <w:w w:val="90"/>
                </w:rPr>
                <w:t>Independent Contractor Services Agreement dated as of October 1, 2021 by and between Definitive Healthcare Corp. and Kevin Shone</w:t>
              </w:r>
            </w:hyperlink>
          </w:p>
        </w:tc>
        <w:tc>
          <w:tcPr>
            <w:tcW w:w="160" w:type="dxa"/>
            <w:vAlign w:val="bottom"/>
            <w:gridSpan w:val="6"/>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0000FF"/>
            </w:tcBorders>
            <w:gridSpan w:val="4"/>
          </w:tcPr>
          <w:p>
            <w:pPr>
              <w:spacing w:after="0"/>
              <w:rPr>
                <w:rFonts w:ascii="Arial" w:cs="Arial" w:eastAsia="Arial" w:hAnsi="Arial"/>
                <w:sz w:val="18"/>
                <w:szCs w:val="18"/>
                <w:color w:val="0000FF"/>
                <w:w w:val="86"/>
              </w:rPr>
            </w:pPr>
            <w:hyperlink w:anchor="page345">
              <w:r>
                <w:rPr>
                  <w:rFonts w:ascii="Arial" w:cs="Arial" w:eastAsia="Arial" w:hAnsi="Arial"/>
                  <w:sz w:val="18"/>
                  <w:szCs w:val="18"/>
                  <w:color w:val="0000FF"/>
                  <w:w w:val="86"/>
                </w:rPr>
                <w:t>as Contractor</w:t>
              </w:r>
            </w:hyperlink>
          </w:p>
        </w:tc>
        <w:tc>
          <w:tcPr>
            <w:tcW w:w="20" w:type="dxa"/>
            <w:vAlign w:val="bottom"/>
            <w:tcBorders>
              <w:bottom w:val="single" w:sz="8" w:color="0000EE"/>
            </w:tcBorders>
          </w:tcPr>
          <w:p>
            <w:pPr>
              <w:spacing w:after="0"/>
              <w:rPr>
                <w:sz w:val="18"/>
                <w:szCs w:val="18"/>
                <w:color w:val="auto"/>
              </w:rPr>
            </w:pPr>
          </w:p>
        </w:tc>
        <w:tc>
          <w:tcPr>
            <w:tcW w:w="8960" w:type="dxa"/>
            <w:vAlign w:val="bottom"/>
            <w:gridSpan w:val="29"/>
          </w:tcPr>
          <w:p>
            <w:pPr>
              <w:spacing w:after="0"/>
              <w:rPr>
                <w:sz w:val="18"/>
                <w:szCs w:val="18"/>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9920" w:type="dxa"/>
            <w:vAlign w:val="bottom"/>
            <w:tcBorders>
              <w:bottom w:val="single" w:sz="8" w:color="0000FF"/>
            </w:tcBorders>
            <w:gridSpan w:val="33"/>
          </w:tcPr>
          <w:p>
            <w:pPr>
              <w:spacing w:after="0"/>
              <w:rPr>
                <w:rFonts w:ascii="Arial" w:cs="Arial" w:eastAsia="Arial" w:hAnsi="Arial"/>
                <w:sz w:val="18"/>
                <w:szCs w:val="18"/>
                <w:color w:val="0000FF"/>
                <w:w w:val="91"/>
              </w:rPr>
            </w:pPr>
            <w:hyperlink w:anchor="page349">
              <w:r>
                <w:rPr>
                  <w:rFonts w:ascii="Arial" w:cs="Arial" w:eastAsia="Arial" w:hAnsi="Arial"/>
                  <w:sz w:val="18"/>
                  <w:szCs w:val="18"/>
                  <w:color w:val="0000FF"/>
                  <w:w w:val="91"/>
                </w:rPr>
                <w:t>Certification of Principal Executive Officer pursuant to Exchange Act Rules 13a-14(a) and 15d-14(a), as adopted pursuant to Section 302</w:t>
              </w:r>
            </w:hyperlink>
          </w:p>
        </w:tc>
        <w:tc>
          <w:tcPr>
            <w:tcW w:w="20" w:type="dxa"/>
            <w:vAlign w:val="bottom"/>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40" w:type="dxa"/>
            <w:vAlign w:val="bottom"/>
            <w:gridSpan w:val="34"/>
          </w:tcPr>
          <w:p>
            <w:pPr>
              <w:spacing w:after="0"/>
              <w:rPr>
                <w:rFonts w:ascii="Arial" w:cs="Arial" w:eastAsia="Arial" w:hAnsi="Arial"/>
                <w:sz w:val="18"/>
                <w:szCs w:val="18"/>
                <w:color w:val="0000FF"/>
              </w:rPr>
            </w:pPr>
            <w:hyperlink w:anchor="page349">
              <w:r>
                <w:rPr>
                  <w:rFonts w:ascii="Arial" w:cs="Arial" w:eastAsia="Arial" w:hAnsi="Arial"/>
                  <w:sz w:val="18"/>
                  <w:szCs w:val="18"/>
                  <w:color w:val="0000FF"/>
                </w:rPr>
                <w:t>of the Sarbanes-Oxley Act of 2002.</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940" w:type="dxa"/>
            <w:vAlign w:val="bottom"/>
            <w:tcBorders>
              <w:left w:val="single" w:sz="8" w:color="0000FF"/>
            </w:tcBorders>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9600" w:type="dxa"/>
            <w:vAlign w:val="bottom"/>
            <w:tcBorders>
              <w:bottom w:val="single" w:sz="8" w:color="0000FF"/>
            </w:tcBorders>
            <w:gridSpan w:val="27"/>
          </w:tcPr>
          <w:p>
            <w:pPr>
              <w:spacing w:after="0"/>
              <w:rPr>
                <w:rFonts w:ascii="Arial" w:cs="Arial" w:eastAsia="Arial" w:hAnsi="Arial"/>
                <w:sz w:val="18"/>
                <w:szCs w:val="18"/>
                <w:color w:val="0000FF"/>
                <w:w w:val="91"/>
              </w:rPr>
            </w:pPr>
            <w:hyperlink w:anchor="page350">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340" w:type="dxa"/>
            <w:vAlign w:val="bottom"/>
            <w:gridSpan w:val="7"/>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350">
              <w:r>
                <w:rPr>
                  <w:rFonts w:ascii="Arial" w:cs="Arial" w:eastAsia="Arial" w:hAnsi="Arial"/>
                  <w:sz w:val="18"/>
                  <w:szCs w:val="18"/>
                  <w:color w:val="0000FF"/>
                  <w:w w:val="90"/>
                </w:rPr>
                <w:t>Adopted Pursuant to Section 302 of the Sarbanes-Oxley Act of 2002.</w:t>
              </w:r>
            </w:hyperlink>
          </w:p>
        </w:tc>
        <w:tc>
          <w:tcPr>
            <w:tcW w:w="4960" w:type="dxa"/>
            <w:vAlign w:val="bottom"/>
            <w:gridSpan w:val="19"/>
          </w:tcPr>
          <w:p>
            <w:pPr>
              <w:spacing w:after="0"/>
              <w:rPr>
                <w:sz w:val="18"/>
                <w:szCs w:val="18"/>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9800" w:type="dxa"/>
            <w:vAlign w:val="bottom"/>
            <w:tcBorders>
              <w:bottom w:val="single" w:sz="8" w:color="0000FF"/>
            </w:tcBorders>
            <w:gridSpan w:val="29"/>
          </w:tcPr>
          <w:p>
            <w:pPr>
              <w:spacing w:after="0"/>
              <w:rPr>
                <w:rFonts w:ascii="Arial" w:cs="Arial" w:eastAsia="Arial" w:hAnsi="Arial"/>
                <w:sz w:val="18"/>
                <w:szCs w:val="18"/>
                <w:color w:val="0000FF"/>
                <w:w w:val="92"/>
              </w:rPr>
            </w:pPr>
            <w:hyperlink w:anchor="page351">
              <w:r>
                <w:rPr>
                  <w:rFonts w:ascii="Arial" w:cs="Arial" w:eastAsia="Arial" w:hAnsi="Arial"/>
                  <w:sz w:val="18"/>
                  <w:szCs w:val="18"/>
                  <w:color w:val="0000FF"/>
                  <w:w w:val="92"/>
                </w:rPr>
                <w:t>Certification of Principal Executive Officer and Principal Financial Officer Pursuant to 18 U.S.C. Section 1350, as Adopted Pursuant to</w:t>
              </w:r>
            </w:hyperlink>
          </w:p>
        </w:tc>
        <w:tc>
          <w:tcPr>
            <w:tcW w:w="140" w:type="dxa"/>
            <w:vAlign w:val="bottom"/>
            <w:gridSpan w:val="5"/>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40" w:type="dxa"/>
            <w:vAlign w:val="bottom"/>
            <w:gridSpan w:val="34"/>
          </w:tcPr>
          <w:p>
            <w:pPr>
              <w:spacing w:after="0"/>
              <w:rPr>
                <w:rFonts w:ascii="Arial" w:cs="Arial" w:eastAsia="Arial" w:hAnsi="Arial"/>
                <w:sz w:val="18"/>
                <w:szCs w:val="18"/>
                <w:color w:val="0000FF"/>
              </w:rPr>
            </w:pPr>
            <w:hyperlink w:anchor="page351">
              <w:r>
                <w:rPr>
                  <w:rFonts w:ascii="Arial" w:cs="Arial" w:eastAsia="Arial" w:hAnsi="Arial"/>
                  <w:sz w:val="18"/>
                  <w:szCs w:val="18"/>
                  <w:color w:val="0000FF"/>
                </w:rPr>
                <w:t>Section 906 of the Sarbanes-Oxley Act of 2002.</w:t>
              </w:r>
            </w:hyperlink>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940" w:type="dxa"/>
            <w:vAlign w:val="bottom"/>
            <w:tcBorders>
              <w:left w:val="single" w:sz="8" w:color="0000FF"/>
            </w:tcBorders>
            <w:gridSpan w:val="3"/>
            <w:shd w:val="clear" w:color="auto" w:fill="0000FF"/>
          </w:tcPr>
          <w:p>
            <w:pPr>
              <w:spacing w:after="0" w:line="20" w:lineRule="exact"/>
              <w:rPr>
                <w:sz w:val="1"/>
                <w:szCs w:val="1"/>
                <w:color w:val="auto"/>
              </w:rPr>
            </w:pPr>
          </w:p>
        </w:tc>
        <w:tc>
          <w:tcPr>
            <w:tcW w:w="6440" w:type="dxa"/>
            <w:vAlign w:val="bottom"/>
            <w:gridSpan w:val="2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988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0"/>
              </w:rPr>
              <w:t>Inline XBRL Instance Document – the instance document does not appear in the Interactive Data File because XBRL tags are embedded</w:t>
            </w:r>
          </w:p>
        </w:tc>
        <w:tc>
          <w:tcPr>
            <w:tcW w:w="60" w:type="dxa"/>
            <w:vAlign w:val="bottom"/>
            <w:gridSpan w:val="2"/>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40" w:type="dxa"/>
            <w:vAlign w:val="bottom"/>
            <w:gridSpan w:val="34"/>
          </w:tcPr>
          <w:p>
            <w:pPr>
              <w:spacing w:after="0"/>
              <w:rPr>
                <w:sz w:val="20"/>
                <w:szCs w:val="20"/>
                <w:color w:val="auto"/>
              </w:rPr>
            </w:pPr>
            <w:r>
              <w:rPr>
                <w:rFonts w:ascii="Arial" w:cs="Arial" w:eastAsia="Arial" w:hAnsi="Arial"/>
                <w:sz w:val="18"/>
                <w:szCs w:val="18"/>
                <w:color w:val="0000FF"/>
              </w:rPr>
              <w:t>within the Inline XBRL document.</w:t>
            </w:r>
          </w:p>
        </w:tc>
      </w:tr>
      <w:tr>
        <w:trPr>
          <w:trHeight w:val="20"/>
        </w:trPr>
        <w:tc>
          <w:tcPr>
            <w:tcW w:w="1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7440" w:type="dxa"/>
            <w:vAlign w:val="bottom"/>
            <w:gridSpan w:val="27"/>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2"/>
                <w:szCs w:val="22"/>
                <w:color w:val="auto"/>
              </w:rPr>
            </w:pPr>
          </w:p>
        </w:tc>
        <w:tc>
          <w:tcPr>
            <w:tcW w:w="9940" w:type="dxa"/>
            <w:vAlign w:val="bottom"/>
            <w:gridSpan w:val="3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72"/>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9940" w:type="dxa"/>
            <w:vAlign w:val="bottom"/>
            <w:gridSpan w:val="3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9940" w:type="dxa"/>
            <w:vAlign w:val="bottom"/>
            <w:gridSpan w:val="3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9940" w:type="dxa"/>
            <w:vAlign w:val="bottom"/>
            <w:gridSpan w:val="3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9940" w:type="dxa"/>
            <w:vAlign w:val="bottom"/>
            <w:gridSpan w:val="3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42" w:lineRule="exact"/>
        <w:rPr>
          <w:sz w:val="20"/>
          <w:szCs w:val="20"/>
          <w:color w:val="auto"/>
        </w:rPr>
      </w:pPr>
    </w:p>
    <w:p>
      <w:pPr>
        <w:ind w:left="1300" w:hanging="1279"/>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right="180"/>
        <w:spacing w:after="0" w:line="275" w:lineRule="auto"/>
        <w:rPr>
          <w:rFonts w:ascii="Arial" w:cs="Arial" w:eastAsia="Arial" w:hAnsi="Arial"/>
          <w:sz w:val="18"/>
          <w:szCs w:val="18"/>
          <w:color w:val="auto"/>
        </w:rPr>
      </w:pPr>
      <w:r>
        <w:rPr>
          <w:rFonts w:ascii="Arial" w:cs="Arial" w:eastAsia="Arial" w:hAnsi="Arial"/>
          <w:sz w:val="18"/>
          <w:szCs w:val="18"/>
          <w:color w:val="auto"/>
        </w:rPr>
        <w:t>* The certifications attached as Exhibits 31.1, 31.2 and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214"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7940" w:type="dxa"/>
            <w:vAlign w:val="bottom"/>
            <w:gridSpan w:val="4"/>
          </w:tcPr>
          <w:p>
            <w:pPr>
              <w:ind w:left="2160"/>
              <w:spacing w:after="0"/>
              <w:rPr>
                <w:sz w:val="20"/>
                <w:szCs w:val="20"/>
                <w:color w:val="auto"/>
              </w:rPr>
            </w:pPr>
            <w:r>
              <w:rPr>
                <w:rFonts w:ascii="Arial" w:cs="Arial" w:eastAsia="Arial" w:hAnsi="Arial"/>
                <w:sz w:val="18"/>
                <w:szCs w:val="18"/>
                <w:color w:val="auto"/>
              </w:rPr>
              <w:t>DEFINITIVE HEALTHCARE CORP.</w:t>
            </w:r>
          </w:p>
        </w:tc>
      </w:tr>
      <w:tr>
        <w:trPr>
          <w:trHeight w:val="257"/>
        </w:trPr>
        <w:tc>
          <w:tcPr>
            <w:tcW w:w="2700" w:type="dxa"/>
            <w:vAlign w:val="bottom"/>
          </w:tcPr>
          <w:p>
            <w:pPr>
              <w:spacing w:after="0"/>
              <w:rPr>
                <w:sz w:val="22"/>
                <w:szCs w:val="22"/>
                <w:color w:val="auto"/>
              </w:rPr>
            </w:pPr>
          </w:p>
        </w:tc>
        <w:tc>
          <w:tcPr>
            <w:tcW w:w="3240" w:type="dxa"/>
            <w:vAlign w:val="bottom"/>
            <w:gridSpan w:val="3"/>
          </w:tcPr>
          <w:p>
            <w:pPr>
              <w:ind w:left="2160"/>
              <w:spacing w:after="0"/>
              <w:rPr>
                <w:sz w:val="20"/>
                <w:szCs w:val="20"/>
                <w:color w:val="auto"/>
              </w:rPr>
            </w:pPr>
            <w:r>
              <w:rPr>
                <w:rFonts w:ascii="Arial" w:cs="Arial" w:eastAsia="Arial" w:hAnsi="Arial"/>
                <w:sz w:val="18"/>
                <w:szCs w:val="18"/>
                <w:color w:val="auto"/>
              </w:rPr>
              <w:t>Registrant</w:t>
            </w:r>
          </w:p>
        </w:tc>
        <w:tc>
          <w:tcPr>
            <w:tcW w:w="4700" w:type="dxa"/>
            <w:vAlign w:val="bottom"/>
          </w:tcPr>
          <w:p>
            <w:pPr>
              <w:spacing w:after="0"/>
              <w:rPr>
                <w:sz w:val="22"/>
                <w:szCs w:val="22"/>
                <w:color w:val="auto"/>
              </w:rPr>
            </w:pPr>
          </w:p>
        </w:tc>
      </w:tr>
      <w:tr>
        <w:trPr>
          <w:trHeight w:val="526"/>
        </w:trPr>
        <w:tc>
          <w:tcPr>
            <w:tcW w:w="2700" w:type="dxa"/>
            <w:vAlign w:val="bottom"/>
          </w:tcPr>
          <w:p>
            <w:pPr>
              <w:spacing w:after="0"/>
              <w:rPr>
                <w:sz w:val="20"/>
                <w:szCs w:val="20"/>
                <w:color w:val="auto"/>
              </w:rPr>
            </w:pPr>
            <w:r>
              <w:rPr>
                <w:rFonts w:ascii="Arial" w:cs="Arial" w:eastAsia="Arial" w:hAnsi="Arial"/>
                <w:sz w:val="18"/>
                <w:szCs w:val="18"/>
                <w:color w:val="auto"/>
              </w:rPr>
              <w:t>November 8, 2021</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Jason Krantz</w:t>
            </w:r>
          </w:p>
        </w:tc>
      </w:tr>
      <w:tr>
        <w:trPr>
          <w:trHeight w:val="34"/>
        </w:trPr>
        <w:tc>
          <w:tcPr>
            <w:tcW w:w="27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Name:</w:t>
            </w:r>
          </w:p>
        </w:tc>
        <w:tc>
          <w:tcPr>
            <w:tcW w:w="4700" w:type="dxa"/>
            <w:vAlign w:val="bottom"/>
          </w:tcPr>
          <w:p>
            <w:pPr>
              <w:ind w:left="140"/>
              <w:spacing w:after="0"/>
              <w:rPr>
                <w:sz w:val="20"/>
                <w:szCs w:val="20"/>
                <w:color w:val="auto"/>
              </w:rPr>
            </w:pPr>
            <w:r>
              <w:rPr>
                <w:rFonts w:ascii="Arial" w:cs="Arial" w:eastAsia="Arial" w:hAnsi="Arial"/>
                <w:sz w:val="18"/>
                <w:szCs w:val="18"/>
                <w:color w:val="auto"/>
              </w:rPr>
              <w:t>Jason Krantz</w:t>
            </w:r>
          </w:p>
        </w:tc>
      </w:tr>
      <w:tr>
        <w:trPr>
          <w:trHeight w:val="257"/>
        </w:trPr>
        <w:tc>
          <w:tcPr>
            <w:tcW w:w="2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r>
      <w:tr>
        <w:trPr>
          <w:trHeight w:val="540"/>
        </w:trPr>
        <w:tc>
          <w:tcPr>
            <w:tcW w:w="2700" w:type="dxa"/>
            <w:vAlign w:val="bottom"/>
          </w:tcPr>
          <w:p>
            <w:pPr>
              <w:spacing w:after="0"/>
              <w:rPr>
                <w:sz w:val="20"/>
                <w:szCs w:val="20"/>
                <w:color w:val="auto"/>
              </w:rPr>
            </w:pPr>
            <w:r>
              <w:rPr>
                <w:rFonts w:ascii="Arial" w:cs="Arial" w:eastAsia="Arial" w:hAnsi="Arial"/>
                <w:sz w:val="18"/>
                <w:szCs w:val="18"/>
                <w:color w:val="auto"/>
              </w:rPr>
              <w:t>November 8, 2021</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Booth</w:t>
            </w:r>
          </w:p>
        </w:tc>
      </w:tr>
      <w:tr>
        <w:trPr>
          <w:trHeight w:val="34"/>
        </w:trPr>
        <w:tc>
          <w:tcPr>
            <w:tcW w:w="27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36"/>
        </w:trPr>
        <w:tc>
          <w:tcPr>
            <w:tcW w:w="270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Name:</w:t>
            </w:r>
          </w:p>
        </w:tc>
        <w:tc>
          <w:tcPr>
            <w:tcW w:w="4700" w:type="dxa"/>
            <w:vAlign w:val="bottom"/>
          </w:tcPr>
          <w:p>
            <w:pPr>
              <w:ind w:left="140"/>
              <w:spacing w:after="0"/>
              <w:rPr>
                <w:sz w:val="20"/>
                <w:szCs w:val="20"/>
                <w:color w:val="auto"/>
              </w:rPr>
            </w:pPr>
            <w:r>
              <w:rPr>
                <w:rFonts w:ascii="Arial" w:cs="Arial" w:eastAsia="Arial" w:hAnsi="Arial"/>
                <w:sz w:val="18"/>
                <w:szCs w:val="18"/>
                <w:color w:val="auto"/>
              </w:rPr>
              <w:t>Richard Booth</w:t>
            </w:r>
          </w:p>
        </w:tc>
      </w:tr>
      <w:tr>
        <w:trPr>
          <w:trHeight w:val="257"/>
        </w:trPr>
        <w:tc>
          <w:tcPr>
            <w:tcW w:w="2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DEFINITIVE HEALTHCARE CORP.</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242 and 245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General Corporation Law of the State of Delaware)</w:t>
      </w:r>
    </w:p>
    <w:p>
      <w:pPr>
        <w:spacing w:after="0" w:line="22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Definitive Healthcare Corp., a corporation organized and existing under the laws of the State of Delaware (the “</w:t>
      </w:r>
      <w:r>
        <w:rPr>
          <w:rFonts w:ascii="Arial" w:cs="Arial" w:eastAsia="Arial" w:hAnsi="Arial"/>
          <w:sz w:val="22"/>
          <w:szCs w:val="22"/>
          <w:u w:val="single" w:color="auto"/>
          <w:color w:val="auto"/>
        </w:rPr>
        <w:t>Corporation</w:t>
      </w:r>
      <w:r>
        <w:rPr>
          <w:rFonts w:ascii="Arial" w:cs="Arial" w:eastAsia="Arial" w:hAnsi="Arial"/>
          <w:sz w:val="22"/>
          <w:szCs w:val="22"/>
          <w:color w:val="auto"/>
        </w:rPr>
        <w:t>”), hereby certifies as follows:</w:t>
      </w:r>
    </w:p>
    <w:p>
      <w:pPr>
        <w:spacing w:after="0" w:line="1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FIRST: The name of the Corporation is Definitive Healthcare Corp. The date of filing of its original certificate of incorporation with the Secretary of State of the State of Delaware was May 5, 2021 (the “</w:t>
      </w:r>
      <w:r>
        <w:rPr>
          <w:rFonts w:ascii="Arial" w:cs="Arial" w:eastAsia="Arial" w:hAnsi="Arial"/>
          <w:sz w:val="22"/>
          <w:szCs w:val="22"/>
          <w:u w:val="single" w:color="auto"/>
          <w:color w:val="auto"/>
        </w:rPr>
        <w:t>Previous Certificate of Incorporation</w:t>
      </w:r>
      <w:r>
        <w:rPr>
          <w:rFonts w:ascii="Arial" w:cs="Arial" w:eastAsia="Arial" w:hAnsi="Arial"/>
          <w:sz w:val="22"/>
          <w:szCs w:val="22"/>
          <w:color w:val="auto"/>
        </w:rPr>
        <w:t>”) under the name Definitive Healthcare Corp.</w:t>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SECOND: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adopted resolutions proposing to amend and restate the Previous Certificate of Incorporation, and the sole stockholder of the Corporation has duly approved the amendment and restatement by written consent pursuant to and in accordance with Section 228 of the DGCL.</w:t>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THIRD: This Amended and Restated Certificate of Incorporation (this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has been duly adopted in accordance with Sections 228, 242 and 245 of the General Corporation Law of the State of Delaware (as from time to time in effect,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FOURTH: This Certificate of Incorporation restated, integrates and further amends in its entirety the Previous Certificate of Incorporation to read as follows:</w:t>
      </w:r>
    </w:p>
    <w:p>
      <w:pPr>
        <w:spacing w:after="0" w:line="174"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Name</w:t>
      </w:r>
      <w:r>
        <w:rPr>
          <w:rFonts w:ascii="Arial" w:cs="Arial" w:eastAsia="Arial" w:hAnsi="Arial"/>
          <w:sz w:val="22"/>
          <w:szCs w:val="22"/>
          <w:color w:val="auto"/>
        </w:rPr>
        <w:t>. The name of the Corporation is Definitive Healthcare Corp.</w:t>
      </w:r>
    </w:p>
    <w:p>
      <w:pPr>
        <w:spacing w:after="0" w:line="233" w:lineRule="exact"/>
        <w:rPr>
          <w:rFonts w:ascii="Arial" w:cs="Arial" w:eastAsia="Arial" w:hAnsi="Arial"/>
          <w:sz w:val="22"/>
          <w:szCs w:val="22"/>
          <w:color w:val="auto"/>
        </w:rPr>
      </w:pPr>
    </w:p>
    <w:p>
      <w:pPr>
        <w:jc w:val="both"/>
        <w:ind w:firstLine="8"/>
        <w:spacing w:after="0" w:line="266" w:lineRule="auto"/>
        <w:tabs>
          <w:tab w:leader="none" w:pos="229"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Address; Registered Office and Agent</w:t>
      </w:r>
      <w:r>
        <w:rPr>
          <w:rFonts w:ascii="Arial" w:cs="Arial" w:eastAsia="Arial" w:hAnsi="Arial"/>
          <w:sz w:val="22"/>
          <w:szCs w:val="22"/>
          <w:color w:val="auto"/>
        </w:rPr>
        <w:t>. The address of the Corporation’s registered office in the State of Delaware is c/o the Corporation Trust Company, 1209 Orange Street, Wilmington, Delaware 19801, County of New Castle and the name of its registered agent at such address is The Corporation Trust Company.</w:t>
      </w:r>
    </w:p>
    <w:p>
      <w:pPr>
        <w:spacing w:after="0" w:line="184" w:lineRule="exact"/>
        <w:rPr>
          <w:rFonts w:ascii="Arial" w:cs="Arial" w:eastAsia="Arial" w:hAnsi="Arial"/>
          <w:sz w:val="22"/>
          <w:szCs w:val="22"/>
          <w:color w:val="auto"/>
        </w:rPr>
      </w:pPr>
    </w:p>
    <w:p>
      <w:pPr>
        <w:ind w:firstLine="8"/>
        <w:spacing w:after="0" w:line="276" w:lineRule="auto"/>
        <w:tabs>
          <w:tab w:leader="none" w:pos="216"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Purposes</w:t>
      </w:r>
      <w:r>
        <w:rPr>
          <w:rFonts w:ascii="Arial" w:cs="Arial" w:eastAsia="Arial" w:hAnsi="Arial"/>
          <w:sz w:val="22"/>
          <w:szCs w:val="22"/>
          <w:color w:val="auto"/>
        </w:rPr>
        <w:t>. The purpose of the Corporation is to engage in any lawful act or activity for which corporations may be organized under the DGCL.</w:t>
      </w:r>
    </w:p>
    <w:p>
      <w:pPr>
        <w:spacing w:after="0" w:line="174" w:lineRule="exact"/>
        <w:rPr>
          <w:rFonts w:ascii="Arial" w:cs="Arial" w:eastAsia="Arial" w:hAnsi="Arial"/>
          <w:sz w:val="22"/>
          <w:szCs w:val="22"/>
          <w:color w:val="auto"/>
        </w:rPr>
      </w:pPr>
    </w:p>
    <w:p>
      <w:pPr>
        <w:ind w:left="220" w:hanging="212"/>
        <w:spacing w:after="0"/>
        <w:tabs>
          <w:tab w:leader="none" w:pos="22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4.1 The total number of shares of all classes of stock that the Corporation shall have authority to issue is 675,000,000 shares, consisting of three classes as follows: (i) 600,000,000 shares of Class A common stock, with the par value of $0.001 per share (the “</w:t>
      </w:r>
      <w:r>
        <w:rPr>
          <w:rFonts w:ascii="Arial" w:cs="Arial" w:eastAsia="Arial" w:hAnsi="Arial"/>
          <w:sz w:val="22"/>
          <w:szCs w:val="22"/>
          <w:u w:val="single" w:color="auto"/>
          <w:color w:val="auto"/>
        </w:rPr>
        <w:t>Class A Common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5" w:name="page46"/>
    <w:bookmarkEnd w:id="45"/>
    <w:p>
      <w:pPr>
        <w:jc w:val="both"/>
        <w:spacing w:after="0" w:line="306" w:lineRule="auto"/>
        <w:rPr>
          <w:sz w:val="20"/>
          <w:szCs w:val="20"/>
          <w:color w:val="auto"/>
        </w:rPr>
      </w:pPr>
      <w:r>
        <w:rPr>
          <w:rFonts w:ascii="Arial" w:cs="Arial" w:eastAsia="Arial" w:hAnsi="Arial"/>
          <w:sz w:val="19"/>
          <w:szCs w:val="19"/>
          <w:u w:val="single" w:color="auto"/>
          <w:color w:val="auto"/>
        </w:rPr>
        <w:t>Stock</w:t>
      </w:r>
      <w:r>
        <w:rPr>
          <w:rFonts w:ascii="Arial" w:cs="Arial" w:eastAsia="Arial" w:hAnsi="Arial"/>
          <w:sz w:val="19"/>
          <w:szCs w:val="19"/>
          <w:color w:val="auto"/>
        </w:rPr>
        <w:t>”); (ii) 65,000,000 shares of Class B common stock, with the par value of $0.00001 share (the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and, together with Class A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(iii) 10,000,000 shares of preferred stock, with the par value of $0.001 per share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Effective upon the effectiveness of the filing of this Certificate of Incorporation with the Secretary of State of the State of Delaware (the “</w:t>
      </w:r>
      <w:r>
        <w:rPr>
          <w:rFonts w:ascii="Arial" w:cs="Arial" w:eastAsia="Arial" w:hAnsi="Arial"/>
          <w:sz w:val="19"/>
          <w:szCs w:val="19"/>
          <w:u w:val="single" w:color="auto"/>
          <w:color w:val="auto"/>
        </w:rPr>
        <w:t>Reclassification Effective Time</w:t>
      </w:r>
      <w:r>
        <w:rPr>
          <w:rFonts w:ascii="Arial" w:cs="Arial" w:eastAsia="Arial" w:hAnsi="Arial"/>
          <w:sz w:val="19"/>
          <w:szCs w:val="19"/>
          <w:color w:val="auto"/>
        </w:rPr>
        <w:t>”), each share of common stock, par value $0.001 per share (the “</w:t>
      </w:r>
      <w:r>
        <w:rPr>
          <w:rFonts w:ascii="Arial" w:cs="Arial" w:eastAsia="Arial" w:hAnsi="Arial"/>
          <w:sz w:val="19"/>
          <w:szCs w:val="19"/>
          <w:u w:val="single" w:color="auto"/>
          <w:color w:val="auto"/>
        </w:rPr>
        <w:t>Old Common Stock</w:t>
      </w:r>
      <w:r>
        <w:rPr>
          <w:rFonts w:ascii="Arial" w:cs="Arial" w:eastAsia="Arial" w:hAnsi="Arial"/>
          <w:sz w:val="19"/>
          <w:szCs w:val="19"/>
          <w:color w:val="auto"/>
        </w:rPr>
        <w:t>”), issued and outstanding immediately prior to the Reclassification Effective Time, shall automatically, without further action on the part of the Corporation or any holder of such Old Common Stock, be reclassified as and become one (1) validly issued, fully paid and non-assessable share of Class A Common Stock.</w:t>
      </w:r>
    </w:p>
    <w:p>
      <w:pPr>
        <w:spacing w:after="0" w:line="156"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9"/>
          <w:szCs w:val="19"/>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DGCL,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156" w:lineRule="exact"/>
        <w:rPr>
          <w:sz w:val="20"/>
          <w:szCs w:val="20"/>
          <w:color w:val="auto"/>
        </w:rPr>
      </w:pPr>
    </w:p>
    <w:p>
      <w:pPr>
        <w:jc w:val="both"/>
        <w:ind w:firstLine="1505"/>
        <w:spacing w:after="0" w:line="317" w:lineRule="auto"/>
        <w:tabs>
          <w:tab w:leader="none" w:pos="1804" w:val="left"/>
        </w:tabs>
        <w:numPr>
          <w:ilvl w:val="1"/>
          <w:numId w:val="13"/>
        </w:numPr>
        <w:rPr>
          <w:rFonts w:ascii="Arial" w:cs="Arial" w:eastAsia="Arial" w:hAnsi="Arial"/>
          <w:sz w:val="19"/>
          <w:szCs w:val="19"/>
          <w:color w:val="auto"/>
        </w:rPr>
      </w:pPr>
      <w:r>
        <w:rPr>
          <w:rFonts w:ascii="Arial" w:cs="Arial" w:eastAsia="Arial" w:hAnsi="Arial"/>
          <w:sz w:val="19"/>
          <w:szCs w:val="19"/>
          <w:color w:val="auto"/>
        </w:rPr>
        <w:t>in the case of Class A Common Stock, the number of shares of Class A Common Stock issuable in connection with (x) the redemption or exchange of all outstanding LLC Units corresponding to shares of Class B Common Stock, pursuant to Article 10 of the Second Amended and Restated LLC Agreement of AIDH Topco, LLC and (y) the exercise of outstanding options, warrants, exchange rights, conversion rights or similar rights for Class A Common Stock;</w:t>
      </w:r>
    </w:p>
    <w:p>
      <w:pPr>
        <w:spacing w:after="0" w:line="141" w:lineRule="exact"/>
        <w:rPr>
          <w:rFonts w:ascii="Arial" w:cs="Arial" w:eastAsia="Arial" w:hAnsi="Arial"/>
          <w:sz w:val="19"/>
          <w:szCs w:val="19"/>
          <w:color w:val="auto"/>
        </w:rPr>
      </w:pPr>
    </w:p>
    <w:p>
      <w:pPr>
        <w:jc w:val="both"/>
        <w:ind w:firstLine="1505"/>
        <w:spacing w:after="0" w:line="266" w:lineRule="auto"/>
        <w:tabs>
          <w:tab w:leader="none" w:pos="1862" w:val="left"/>
        </w:tabs>
        <w:numPr>
          <w:ilvl w:val="1"/>
          <w:numId w:val="13"/>
        </w:numPr>
        <w:rPr>
          <w:rFonts w:ascii="Arial" w:cs="Arial" w:eastAsia="Arial" w:hAnsi="Arial"/>
          <w:sz w:val="22"/>
          <w:szCs w:val="22"/>
          <w:color w:val="auto"/>
        </w:rPr>
      </w:pPr>
      <w:r>
        <w:rPr>
          <w:rFonts w:ascii="Arial" w:cs="Arial" w:eastAsia="Arial" w:hAnsi="Arial"/>
          <w:sz w:val="22"/>
          <w:szCs w:val="22"/>
          <w:color w:val="auto"/>
        </w:rPr>
        <w:t>in the case of Class B Common Stock, the number of shares of Class B Common Stock issuable in connection with the exercise of outstanding options, warrants, exchange rights, conversion rights or similar rights for Class B Common Stock.</w:t>
      </w:r>
    </w:p>
    <w:p>
      <w:pPr>
        <w:spacing w:after="0" w:line="184" w:lineRule="exact"/>
        <w:rPr>
          <w:rFonts w:ascii="Arial" w:cs="Arial" w:eastAsia="Arial" w:hAnsi="Arial"/>
          <w:sz w:val="22"/>
          <w:szCs w:val="22"/>
          <w:color w:val="auto"/>
        </w:rPr>
      </w:pPr>
    </w:p>
    <w:p>
      <w:pPr>
        <w:ind w:firstLine="8"/>
        <w:spacing w:after="0" w:line="276" w:lineRule="auto"/>
        <w:tabs>
          <w:tab w:leader="none" w:pos="243"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Classes of Shares</w:t>
      </w:r>
      <w:r>
        <w:rPr>
          <w:rFonts w:ascii="Arial" w:cs="Arial" w:eastAsia="Arial" w:hAnsi="Arial"/>
          <w:sz w:val="22"/>
          <w:szCs w:val="22"/>
          <w:color w:val="auto"/>
        </w:rPr>
        <w:t>. The designation, relative rights, preferences and limitations of the shares of each class of stock are as follows: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33" w:lineRule="exact"/>
        <w:rPr>
          <w:sz w:val="20"/>
          <w:szCs w:val="20"/>
          <w:color w:val="auto"/>
        </w:rPr>
      </w:pPr>
    </w:p>
    <w:p>
      <w:pPr>
        <w:ind w:left="1760" w:hanging="255"/>
        <w:spacing w:after="0"/>
        <w:tabs>
          <w:tab w:leader="none" w:pos="17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305" w:lineRule="auto"/>
        <w:tabs>
          <w:tab w:leader="none" w:pos="2588" w:val="left"/>
        </w:tabs>
        <w:numPr>
          <w:ilvl w:val="1"/>
          <w:numId w:val="15"/>
        </w:numPr>
        <w:rPr>
          <w:rFonts w:ascii="Arial" w:cs="Arial" w:eastAsia="Arial" w:hAnsi="Arial"/>
          <w:sz w:val="19"/>
          <w:szCs w:val="19"/>
          <w:color w:val="auto"/>
        </w:rPr>
      </w:pPr>
      <w:r>
        <w:rPr>
          <w:rFonts w:ascii="Arial" w:cs="Arial" w:eastAsia="Arial" w:hAnsi="Arial"/>
          <w:sz w:val="19"/>
          <w:szCs w:val="19"/>
          <w:color w:val="auto"/>
        </w:rPr>
        <w:t>Each holder of Class A Common Stock will be entitled to one vote for each share of Class A Common Stock held of record by such holder on all matters on which stockholders generally are entitled to vote, and each holder of Class B Common Stock will be entitled to one vote for each share of Class B Common Stock held of record by such holder on all matters on which stockholders generally are entitled to vote, except that, (x)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Preferred Stock if the holders of such Preferred Stock are entitled to vote as a separate class thereon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6" w:name="page47"/>
    <w:bookmarkEnd w:id="46"/>
    <w:p>
      <w:pPr>
        <w:jc w:val="both"/>
        <w:spacing w:after="0" w:line="262" w:lineRule="auto"/>
        <w:rPr>
          <w:sz w:val="20"/>
          <w:szCs w:val="20"/>
          <w:color w:val="auto"/>
        </w:rPr>
      </w:pPr>
      <w:r>
        <w:rPr>
          <w:rFonts w:ascii="Arial" w:cs="Arial" w:eastAsia="Arial" w:hAnsi="Arial"/>
          <w:sz w:val="22"/>
          <w:szCs w:val="22"/>
          <w:color w:val="auto"/>
        </w:rPr>
        <w:t>under this Certificate of Incorporation (including any certificate of designations relating to any series of Preferred Stock) or under DGCL and (y) holders of shares of Class B Common Stock shall have no vote per share of Class B Common Stock issued to such holder with respect to LLC Units and Corresponding Management Holdings Units that are unvested until such time as such LLC Units or Corresponding Management Holdings Units have vested.</w:t>
      </w:r>
    </w:p>
    <w:p>
      <w:pPr>
        <w:spacing w:after="0" w:line="191" w:lineRule="exact"/>
        <w:rPr>
          <w:sz w:val="20"/>
          <w:szCs w:val="20"/>
          <w:color w:val="auto"/>
        </w:rPr>
      </w:pPr>
    </w:p>
    <w:p>
      <w:pPr>
        <w:jc w:val="both"/>
        <w:ind w:firstLine="2254"/>
        <w:spacing w:after="0" w:line="300" w:lineRule="auto"/>
        <w:tabs>
          <w:tab w:leader="none" w:pos="2593"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B Common Stock and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it being understood that any merger, consolidation or other combination transaction shall not be deemed an amendment hereof if such merger, consolidation or other combination transaction (x) constitutes a Disposition Event in which holders of Paired Interests are required to exchange LLC Units pursuant to Section 10.04(b) of the Second Amended and Restated LLC Agreement of AIDH Topco, LLC in such Disposition Event and receive consideration in such Disposition Event in accordance with the terms of the Second Amended and Restated LLC Agreement of AIDH Topco, LLC as in effect prior to such Disposition Event and (y) provides for payments under or in respect of the tax receivable or similar agreement entered by the Corporation from time to time with any holder of Common Stock and/or securities of AIDH Topco, LLC to be made in connection with any such merger, consolidation or other combination transaction in accordance with the terms of such tax receivable or similar agreement as in effect prior to such merger, consolidation or other combination transaction.</w:t>
      </w:r>
    </w:p>
    <w:p>
      <w:pPr>
        <w:spacing w:after="0" w:line="166" w:lineRule="exact"/>
        <w:rPr>
          <w:rFonts w:ascii="Arial" w:cs="Arial" w:eastAsia="Arial" w:hAnsi="Arial"/>
          <w:sz w:val="19"/>
          <w:szCs w:val="19"/>
          <w:color w:val="auto"/>
        </w:rPr>
      </w:pPr>
    </w:p>
    <w:p>
      <w:pPr>
        <w:jc w:val="both"/>
        <w:ind w:firstLine="2254"/>
        <w:spacing w:after="0" w:line="284" w:lineRule="auto"/>
        <w:tabs>
          <w:tab w:leader="none" w:pos="2556" w:val="left"/>
        </w:tabs>
        <w:numPr>
          <w:ilvl w:val="1"/>
          <w:numId w:val="16"/>
        </w:numPr>
        <w:rPr>
          <w:rFonts w:ascii="Arial" w:cs="Arial" w:eastAsia="Arial" w:hAnsi="Arial"/>
          <w:sz w:val="21"/>
          <w:szCs w:val="21"/>
          <w:color w:val="auto"/>
        </w:rPr>
      </w:pPr>
      <w:r>
        <w:rPr>
          <w:rFonts w:ascii="Arial" w:cs="Arial" w:eastAsia="Arial" w:hAnsi="Arial"/>
          <w:sz w:val="21"/>
          <w:szCs w:val="21"/>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68" w:lineRule="exact"/>
        <w:rPr>
          <w:rFonts w:ascii="Arial" w:cs="Arial" w:eastAsia="Arial" w:hAnsi="Arial"/>
          <w:sz w:val="21"/>
          <w:szCs w:val="21"/>
          <w:color w:val="auto"/>
        </w:rPr>
      </w:pPr>
    </w:p>
    <w:p>
      <w:pPr>
        <w:jc w:val="both"/>
        <w:ind w:firstLine="2254"/>
        <w:spacing w:after="0" w:line="273" w:lineRule="auto"/>
        <w:tabs>
          <w:tab w:leader="none" w:pos="2566" w:val="left"/>
        </w:tabs>
        <w:numPr>
          <w:ilvl w:val="1"/>
          <w:numId w:val="16"/>
        </w:numPr>
        <w:rPr>
          <w:rFonts w:ascii="Arial" w:cs="Arial" w:eastAsia="Arial" w:hAnsi="Arial"/>
          <w:sz w:val="21"/>
          <w:szCs w:val="21"/>
          <w:color w:val="auto"/>
        </w:rPr>
      </w:pPr>
      <w:r>
        <w:rPr>
          <w:rFonts w:ascii="Arial" w:cs="Arial" w:eastAsia="Arial" w:hAnsi="Arial"/>
          <w:sz w:val="21"/>
          <w:szCs w:val="21"/>
          <w:color w:val="auto"/>
        </w:rPr>
        <w:t>If at any time the ratio at which LLC Units are redeemable or exchangeable for shares of Class A Common Stock pursuant to Article 10 of the Second Amended and Restated LLC Agreement of AIDH Topco, LLC is amended, the number of votes per corresponding share of Class B Common Stock to which holders of shares of Class B Common Stock are entitled pursuant to Section 5.1(i)(1) shall be automatically adjusted accordingly so that from and after such time, the aggregate number of votes that a holder of Class B Common Stock is entitled to vote with respect to all shares of Class B Common Stock held by such holder is equal to the number of share of Class A Common Stock subject to be redeemed or exchanged for all LLC Units held by such holder.</w:t>
      </w:r>
    </w:p>
    <w:p>
      <w:pPr>
        <w:spacing w:after="0" w:line="183" w:lineRule="exact"/>
        <w:rPr>
          <w:rFonts w:ascii="Arial" w:cs="Arial" w:eastAsia="Arial" w:hAnsi="Arial"/>
          <w:sz w:val="21"/>
          <w:szCs w:val="21"/>
          <w:color w:val="auto"/>
        </w:rPr>
      </w:pPr>
    </w:p>
    <w:p>
      <w:pPr>
        <w:ind w:left="1820" w:hanging="315"/>
        <w:spacing w:after="0"/>
        <w:tabs>
          <w:tab w:leader="none" w:pos="182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Dividends; Stock Splits or Combinations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2254"/>
        <w:spacing w:after="0" w:line="276" w:lineRule="auto"/>
        <w:tabs>
          <w:tab w:leader="none" w:pos="2557" w:val="left"/>
        </w:tabs>
        <w:numPr>
          <w:ilvl w:val="1"/>
          <w:numId w:val="17"/>
        </w:numPr>
        <w:rPr>
          <w:rFonts w:ascii="Arial" w:cs="Arial" w:eastAsia="Arial" w:hAnsi="Arial"/>
          <w:sz w:val="22"/>
          <w:szCs w:val="22"/>
          <w:color w:val="auto"/>
        </w:rPr>
      </w:pPr>
      <w:r>
        <w:rPr>
          <w:rFonts w:ascii="Arial" w:cs="Arial" w:eastAsia="Arial" w:hAnsi="Arial"/>
          <w:sz w:val="22"/>
          <w:szCs w:val="22"/>
          <w:color w:val="auto"/>
        </w:rPr>
        <w:t>Subject to applicable law and the rights, if any, of the holders of any outstanding series of Preferred Stock or any class or series of stock having a preference senior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7" w:name="page48"/>
    <w:bookmarkEnd w:id="47"/>
    <w:p>
      <w:pPr>
        <w:jc w:val="both"/>
        <w:spacing w:after="0" w:line="284" w:lineRule="auto"/>
        <w:rPr>
          <w:sz w:val="20"/>
          <w:szCs w:val="20"/>
          <w:color w:val="auto"/>
        </w:rPr>
      </w:pPr>
      <w:r>
        <w:rPr>
          <w:rFonts w:ascii="Arial" w:cs="Arial" w:eastAsia="Arial" w:hAnsi="Arial"/>
          <w:sz w:val="21"/>
          <w:szCs w:val="21"/>
          <w:color w:val="auto"/>
        </w:rPr>
        <w:t>or the right to participate with the Class A Common Stock with respect to the payment of dividends, dividends of cash, stock or property may be declared and paid on the Class A Common Stock out of the assets of the Corporation that are by law available therefor, at the times and in the amounts as the Board in its discretion may determine.</w:t>
      </w:r>
    </w:p>
    <w:p>
      <w:pPr>
        <w:spacing w:after="0" w:line="169" w:lineRule="exact"/>
        <w:rPr>
          <w:sz w:val="20"/>
          <w:szCs w:val="20"/>
          <w:color w:val="auto"/>
        </w:rPr>
      </w:pPr>
    </w:p>
    <w:p>
      <w:pPr>
        <w:ind w:firstLine="2254"/>
        <w:spacing w:after="0" w:line="276" w:lineRule="auto"/>
        <w:tabs>
          <w:tab w:leader="none" w:pos="2559" w:val="left"/>
        </w:tabs>
        <w:numPr>
          <w:ilvl w:val="1"/>
          <w:numId w:val="18"/>
        </w:numPr>
        <w:rPr>
          <w:rFonts w:ascii="Arial" w:cs="Arial" w:eastAsia="Arial" w:hAnsi="Arial"/>
          <w:sz w:val="22"/>
          <w:szCs w:val="22"/>
          <w:color w:val="auto"/>
        </w:rPr>
      </w:pPr>
      <w:r>
        <w:rPr>
          <w:rFonts w:ascii="Arial" w:cs="Arial" w:eastAsia="Arial" w:hAnsi="Arial"/>
          <w:sz w:val="22"/>
          <w:szCs w:val="22"/>
          <w:color w:val="auto"/>
        </w:rPr>
        <w:t>Except as provided in Section 5.1(ii)(3) with respect to stock dividends, dividends of cash, stock or property may not be declared or paid on shares of Class B Common Stock.</w:t>
      </w:r>
    </w:p>
    <w:p>
      <w:pPr>
        <w:spacing w:after="0" w:line="174" w:lineRule="exact"/>
        <w:rPr>
          <w:rFonts w:ascii="Arial" w:cs="Arial" w:eastAsia="Arial" w:hAnsi="Arial"/>
          <w:sz w:val="22"/>
          <w:szCs w:val="22"/>
          <w:color w:val="auto"/>
        </w:rPr>
      </w:pPr>
    </w:p>
    <w:p>
      <w:pPr>
        <w:jc w:val="both"/>
        <w:ind w:firstLine="2254"/>
        <w:spacing w:after="0" w:line="260" w:lineRule="auto"/>
        <w:tabs>
          <w:tab w:leader="none" w:pos="2618" w:val="left"/>
        </w:tabs>
        <w:numPr>
          <w:ilvl w:val="1"/>
          <w:numId w:val="18"/>
        </w:numPr>
        <w:rPr>
          <w:rFonts w:ascii="Arial" w:cs="Arial" w:eastAsia="Arial" w:hAnsi="Arial"/>
          <w:sz w:val="22"/>
          <w:szCs w:val="22"/>
          <w:color w:val="auto"/>
        </w:rPr>
      </w:pPr>
      <w:r>
        <w:rPr>
          <w:rFonts w:ascii="Arial" w:cs="Arial" w:eastAsia="Arial" w:hAnsi="Arial"/>
          <w:sz w:val="22"/>
          <w:szCs w:val="22"/>
          <w:color w:val="auto"/>
        </w:rPr>
        <w:t>In no event will any stock dividend, stock split, reverse stock split, combination of stock, reclassification or recapitalization be declared or made on any class of Common Stock (each, a “</w:t>
      </w:r>
      <w:r>
        <w:rPr>
          <w:rFonts w:ascii="Arial" w:cs="Arial" w:eastAsia="Arial" w:hAnsi="Arial"/>
          <w:sz w:val="22"/>
          <w:szCs w:val="22"/>
          <w:u w:val="single" w:color="auto"/>
          <w:color w:val="auto"/>
        </w:rPr>
        <w:t>Stock Adjustment</w:t>
      </w:r>
      <w:r>
        <w:rPr>
          <w:rFonts w:ascii="Arial" w:cs="Arial" w:eastAsia="Arial" w:hAnsi="Arial"/>
          <w:sz w:val="22"/>
          <w:szCs w:val="22"/>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LLC Units. Stock dividends with respect to each class of Common Stock may only be paid with shares of stock of the same class of Common Stock.</w:t>
      </w:r>
    </w:p>
    <w:p>
      <w:pPr>
        <w:spacing w:after="0" w:line="191" w:lineRule="exact"/>
        <w:rPr>
          <w:rFonts w:ascii="Arial" w:cs="Arial" w:eastAsia="Arial" w:hAnsi="Arial"/>
          <w:sz w:val="22"/>
          <w:szCs w:val="22"/>
          <w:color w:val="auto"/>
        </w:rPr>
      </w:pPr>
    </w:p>
    <w:p>
      <w:pPr>
        <w:jc w:val="both"/>
        <w:ind w:firstLine="1505"/>
        <w:spacing w:after="0" w:line="258" w:lineRule="auto"/>
        <w:tabs>
          <w:tab w:leader="none" w:pos="190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Liquidation</w:t>
      </w:r>
      <w:r>
        <w:rPr>
          <w:rFonts w:ascii="Arial" w:cs="Arial" w:eastAsia="Arial" w:hAnsi="Arial"/>
          <w:sz w:val="22"/>
          <w:szCs w:val="22"/>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will be entitled to receive the assets of the Corporation available for distribution ratably in proportion to the number of shares of Class A Common Stock. Without limiting the rights of the holders of Class B Common Stock to exchange their LLC Units for shares of Class A Common Stock in accordance with Section 10.01 of the Second Amended and Restated LLC Agreement of AIDH Topco, LLC (or for the consideration payable in respect of shares of Class A Common Stock in such voluntary or involuntary liquidation, dissolution or winding-up), the holders of shares of Class B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9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Preferred Stock</w:t>
      </w:r>
      <w:r>
        <w:rPr>
          <w:rFonts w:ascii="Arial" w:cs="Arial" w:eastAsia="Arial" w:hAnsi="Arial"/>
          <w:sz w:val="21"/>
          <w:szCs w:val="21"/>
          <w:color w:val="auto"/>
        </w:rPr>
        <w:t xml:space="preserve">. Shares of Preferred Stock may be issued from time to time in one or more series of any number of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number of shares issued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8" w:name="page49"/>
    <w:bookmarkEnd w:id="48"/>
    <w:p>
      <w:pPr>
        <w:jc w:val="both"/>
        <w:spacing w:after="0" w:line="301" w:lineRule="auto"/>
        <w:rPr>
          <w:sz w:val="20"/>
          <w:szCs w:val="20"/>
          <w:color w:val="auto"/>
        </w:rPr>
      </w:pPr>
      <w:r>
        <w:rPr>
          <w:rFonts w:ascii="Arial" w:cs="Arial" w:eastAsia="Arial" w:hAnsi="Arial"/>
          <w:sz w:val="19"/>
          <w:szCs w:val="19"/>
          <w:color w:val="auto"/>
        </w:rPr>
        <w:t>preference to, or in such relation to, the dividends payable on any other class or classes or series of stock, if any; (iv) may have such rights upon the voluntary or involuntary liquidation, winding-up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200" w:lineRule="exact"/>
        <w:rPr>
          <w:sz w:val="20"/>
          <w:szCs w:val="20"/>
          <w:color w:val="auto"/>
        </w:rPr>
      </w:pPr>
    </w:p>
    <w:p>
      <w:pPr>
        <w:spacing w:after="0" w:line="234"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Class B Common Stock</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Retirement of Class B Shares</w:t>
      </w:r>
      <w:r>
        <w:rPr>
          <w:rFonts w:ascii="Arial" w:cs="Arial" w:eastAsia="Arial" w:hAnsi="Arial"/>
          <w:sz w:val="22"/>
          <w:szCs w:val="22"/>
          <w:color w:val="auto"/>
        </w:rPr>
        <w:t>. No holder of Class B Common Stock may Transfer shares of Class B Common Stock to any Person unless such holder transfers a corresponding number of LLC Units to the same Person in accordance with the provisions of the Second Amended and Restated LLC Agreement of AIDH Topco, LLC, as such agreement may be amended from time to time in accordance with the terms thereof. If any outstanding share of Class B Common Stock ceases to be held by a holder of an LLC Unit or by a holder of Corresponding Management Holdings Units, such share shall automatically and without further action on the part of the Corporation or such holder be transferred to the Corporation for no consideration and retired and canceled.</w:t>
      </w:r>
    </w:p>
    <w:p>
      <w:pPr>
        <w:spacing w:after="0" w:line="195"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Reservation of Shares of Class A Common Stock</w:t>
      </w:r>
      <w:r>
        <w:rPr>
          <w:rFonts w:ascii="Arial" w:cs="Arial" w:eastAsia="Arial" w:hAnsi="Arial"/>
          <w:sz w:val="19"/>
          <w:szCs w:val="19"/>
          <w:color w:val="auto"/>
        </w:rPr>
        <w:t>. The Corporation will at all times reserve and keep available out of its authorized and unissued shares of Class A Common Stock, solely for the purpose of the issuance upon the redemption or exchange of LLC Units, the number of shares of Class A Common Stock that are issuable upon the redemption or exchange of all outstanding LLC Units held by holders of Paired Interests, pursuant to Article 10 of the Second Amended and Restated LLC Agreement of AIDH Topco, LLC. The Corporation covenants that all the shares of Class A Common Stock that are issued upon the redemption or exchange of such Paired Interests will, upon issuance, be validly issued, fully paid and non-assessable.</w:t>
      </w:r>
    </w:p>
    <w:p>
      <w:pPr>
        <w:spacing w:after="0" w:line="15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The issuance of shares of Class A Common Stock upon the exercise by holders of Paired Interests of their right under Section 10.01 of the Second Amended and Restated LLC Agreement of AIDH Topco, LLC to exchange their LLC Units or have their LLC Units redeemed will be made without charge to such holders for any transfer taxes, stamp taxes or duties or other similar tax in respect of the issuance;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such shares of Class A Common Stock are to be issued in a name other than that of the then record holder of the LLC Units being redeemed or exchanged (or The Depository Trust Company or its nominee for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9" w:name="page50"/>
    <w:bookmarkEnd w:id="49"/>
    <w:p>
      <w:pPr>
        <w:jc w:val="both"/>
        <w:spacing w:after="0" w:line="262" w:lineRule="auto"/>
        <w:rPr>
          <w:sz w:val="20"/>
          <w:szCs w:val="20"/>
          <w:color w:val="auto"/>
        </w:rPr>
      </w:pPr>
      <w:r>
        <w:rPr>
          <w:rFonts w:ascii="Arial" w:cs="Arial" w:eastAsia="Arial" w:hAnsi="Arial"/>
          <w:sz w:val="22"/>
          <w:szCs w:val="22"/>
          <w:color w:val="auto"/>
        </w:rPr>
        <w:t>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9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Preemptive Rights</w:t>
      </w:r>
      <w:r>
        <w:rPr>
          <w:rFonts w:ascii="Arial" w:cs="Arial" w:eastAsia="Arial" w:hAnsi="Arial"/>
          <w:sz w:val="21"/>
          <w:szCs w:val="21"/>
          <w:color w:val="auto"/>
        </w:rPr>
        <w:t>. To the extent LLC Units are issued pursuant to the Second Amended and Restated LLC Agreement of AIDH Topco, LLC to anyone other than the Corporation or a wholly owned subsidiary of the Corporation (including pursuant to Section 9.02 (or any equivalent successor provision) of the Second Amended and Restated LLC Agreement of AIDH Topco, LLC), an equivalent number of shares of Class B Common Stock (subject to adjustment as set forth herein) shall concurrently be issued to the same Person to which such LLC Units are issued.</w:t>
      </w:r>
    </w:p>
    <w:p>
      <w:pPr>
        <w:spacing w:after="0" w:line="177"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Board of Directors.</w:t>
      </w:r>
    </w:p>
    <w:p>
      <w:pPr>
        <w:spacing w:after="0" w:line="23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Powers of the Board</w:t>
      </w:r>
      <w:r>
        <w:rPr>
          <w:rFonts w:ascii="Arial" w:cs="Arial" w:eastAsia="Arial" w:hAnsi="Arial"/>
          <w:sz w:val="21"/>
          <w:szCs w:val="21"/>
          <w:color w:val="auto"/>
        </w:rPr>
        <w:t>. Except as otherwise provided by the DGCL or this Certificate of Incorporation, the business and affairs of the Corporation shall be managed by or under the direction of the Board. In addition to the powers and authority expressly conferred upon them by applicable law or by this Certificate of Incorporation (including any certificate of designations relating to any series or class of Preferred Stock) or the By-laws of the Corporation (the “</w:t>
      </w:r>
      <w:r>
        <w:rPr>
          <w:rFonts w:ascii="Arial" w:cs="Arial" w:eastAsia="Arial" w:hAnsi="Arial"/>
          <w:sz w:val="21"/>
          <w:szCs w:val="21"/>
          <w:u w:val="single" w:color="auto"/>
          <w:color w:val="auto"/>
        </w:rPr>
        <w:t>By-laws</w:t>
      </w:r>
      <w:r>
        <w:rPr>
          <w:rFonts w:ascii="Arial" w:cs="Arial" w:eastAsia="Arial" w:hAnsi="Arial"/>
          <w:sz w:val="21"/>
          <w:szCs w:val="21"/>
          <w:color w:val="auto"/>
        </w:rPr>
        <w:t>”), the Board is hereby empowered to exercise all such powers and do all such acts and things as may be exercised or done by the Corporation, except as otherwise specifically required by law or as otherwise provided in this Certificate of Incorporation (including any certificate of designations relating to any series or class of Preferred Stock).</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Number of Directors</w:t>
      </w:r>
      <w:r>
        <w:rPr>
          <w:rFonts w:ascii="Arial" w:cs="Arial" w:eastAsia="Arial" w:hAnsi="Arial"/>
          <w:sz w:val="21"/>
          <w:szCs w:val="21"/>
          <w:color w:val="auto"/>
        </w:rPr>
        <w:t>. The total number of directors of the Corporation (the “</w:t>
      </w:r>
      <w:r>
        <w:rPr>
          <w:rFonts w:ascii="Arial" w:cs="Arial" w:eastAsia="Arial" w:hAnsi="Arial"/>
          <w:sz w:val="21"/>
          <w:szCs w:val="21"/>
          <w:u w:val="single" w:color="auto"/>
          <w:color w:val="auto"/>
        </w:rPr>
        <w:t>Directors</w:t>
      </w:r>
      <w:r>
        <w:rPr>
          <w:rFonts w:ascii="Arial" w:cs="Arial" w:eastAsia="Arial" w:hAnsi="Arial"/>
          <w:sz w:val="21"/>
          <w:szCs w:val="21"/>
          <w:color w:val="auto"/>
        </w:rPr>
        <w:t>”) constituting the Board shall be at least one, and subject to any rights of the holders of any series of Preferred Stock then outstanding to elect additional directors under specified circumstances or otherwise, the total number of directors constituting the whole Board of Directors shall be determined from time to time exclusively by resolution adopted by the Board of Directors.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Classification.</w:t>
      </w:r>
      <w:r>
        <w:rPr>
          <w:rFonts w:ascii="Arial" w:cs="Arial" w:eastAsia="Arial" w:hAnsi="Arial"/>
          <w:sz w:val="22"/>
          <w:szCs w:val="22"/>
          <w:color w:val="auto"/>
        </w:rPr>
        <w:t xml:space="preserve"> Subject to the terms of any one or more series or classes of Preferred Stock:</w:t>
      </w:r>
    </w:p>
    <w:p>
      <w:pPr>
        <w:spacing w:after="0" w:line="233" w:lineRule="exact"/>
        <w:rPr>
          <w:sz w:val="20"/>
          <w:szCs w:val="20"/>
          <w:color w:val="auto"/>
        </w:rPr>
      </w:pPr>
    </w:p>
    <w:p>
      <w:pPr>
        <w:jc w:val="both"/>
        <w:ind w:firstLine="1505"/>
        <w:spacing w:after="0" w:line="260" w:lineRule="auto"/>
        <w:tabs>
          <w:tab w:leader="none" w:pos="177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Board shall be and is divided into three classes designated Class I, Class II and Class III. Each class shall consist, as nearly as may be possible, of one-third of the total number of directors constituting the entire Board. The Board may assign members of the Board already in office to such classes as of the date the shares of Class A Common Stock are first publicly traded (the “</w:t>
      </w:r>
      <w:r>
        <w:rPr>
          <w:rFonts w:ascii="Arial" w:cs="Arial" w:eastAsia="Arial" w:hAnsi="Arial"/>
          <w:sz w:val="22"/>
          <w:szCs w:val="22"/>
          <w:u w:val="single" w:color="auto"/>
          <w:color w:val="auto"/>
        </w:rPr>
        <w:t>IPO Date</w:t>
      </w:r>
      <w:r>
        <w:rPr>
          <w:rFonts w:ascii="Arial" w:cs="Arial" w:eastAsia="Arial" w:hAnsi="Arial"/>
          <w:sz w:val="22"/>
          <w:szCs w:val="22"/>
          <w:color w:val="auto"/>
        </w:rPr>
        <w:t>”). No Director shall be a member of more than one class. Directors shall be elected by the plurality of the votes cast by the holders of shares present in person or represented by proxy at the meeting and entitled to vote thereon.</w:t>
      </w:r>
    </w:p>
    <w:p>
      <w:pPr>
        <w:spacing w:after="0" w:line="191" w:lineRule="exact"/>
        <w:rPr>
          <w:rFonts w:ascii="Arial" w:cs="Arial" w:eastAsia="Arial" w:hAnsi="Arial"/>
          <w:sz w:val="22"/>
          <w:szCs w:val="22"/>
          <w:color w:val="auto"/>
        </w:rPr>
      </w:pPr>
    </w:p>
    <w:p>
      <w:pPr>
        <w:jc w:val="both"/>
        <w:ind w:firstLine="1505"/>
        <w:spacing w:after="0" w:line="262" w:lineRule="auto"/>
        <w:tabs>
          <w:tab w:leader="none" w:pos="1823"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term of office of the initial Class I Directors shall expire at the first annual meeting of the stockholders following the IPO Date; the term of office of the initial Class II Directors shall expire at the second annual meeting of the stockholders following the IPO Date; and the term of office of the initial Class III Directors shall expire at the third annual meeting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0" w:name="page51"/>
    <w:bookmarkEnd w:id="50"/>
    <w:p>
      <w:pPr>
        <w:jc w:val="both"/>
        <w:spacing w:after="0" w:line="308" w:lineRule="auto"/>
        <w:rPr>
          <w:sz w:val="20"/>
          <w:szCs w:val="20"/>
          <w:color w:val="auto"/>
        </w:rPr>
      </w:pPr>
      <w:r>
        <w:rPr>
          <w:rFonts w:ascii="Arial" w:cs="Arial" w:eastAsia="Arial" w:hAnsi="Arial"/>
          <w:sz w:val="19"/>
          <w:szCs w:val="19"/>
          <w:color w:val="auto"/>
        </w:rPr>
        <w:t>the stockholders following the IPO Date. At each annual meeting of stockholders, commencing with the first annual meeting of stockholders following the IPO Date, successors to the class of Directors whose term expires at that annual meeting shall be elected to hold office until the third annual meeting next succeeding his or her election and until his or her respective successor shall have been duly elected and qualified. If the number of Directors is changed, any increase or decrease shall be apportioned among the classes in such a manner as the Board shall determine so as to maintain the number of Directors in each class as nearly equal as possible, but in no case will a decrease in the number of Directors shorten the term of any incumbent Director.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Elections of Directors</w:t>
      </w:r>
      <w:r>
        <w:rPr>
          <w:rFonts w:ascii="Arial" w:cs="Arial" w:eastAsia="Arial" w:hAnsi="Arial"/>
          <w:sz w:val="19"/>
          <w:szCs w:val="19"/>
          <w:color w:val="auto"/>
        </w:rPr>
        <w:t>. Elections of Directors need not be by written ballot except to the extent provided in the By-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22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Advance Notice</w:t>
      </w:r>
      <w:r>
        <w:rPr>
          <w:rFonts w:ascii="Arial" w:cs="Arial" w:eastAsia="Arial" w:hAnsi="Arial"/>
          <w:sz w:val="21"/>
          <w:szCs w:val="21"/>
          <w:color w:val="auto"/>
        </w:rPr>
        <w:t>. Advance notice of nominations for the election of Directors or proposals of other business to be considered by stockholders, made other than by the Board or a duly authorized committee thereof or any authorized officer of the Corporation to whom the Board or such committee shall have delegated such authority, shall be given in the manner provided in the By-laws. Without limiting the generality of the foregoing, the Bylaws may require that such advance notice include such information as the Board may deem appropriate or useful.</w:t>
      </w:r>
    </w:p>
    <w:p>
      <w:pPr>
        <w:spacing w:after="0" w:line="177"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Removal of Directors</w:t>
      </w:r>
      <w:r>
        <w:rPr>
          <w:rFonts w:ascii="Arial" w:cs="Arial" w:eastAsia="Arial" w:hAnsi="Arial"/>
          <w:sz w:val="19"/>
          <w:szCs w:val="19"/>
          <w:color w:val="auto"/>
        </w:rPr>
        <w:t>. Subject to the terms of any one or more series or classes of Preferred Stock, any Director who is elected to serve a three-year term may be removed from office during such term, at any time by the affirmative vote of the holders of at least a majority of the voting power of the Corporation’s outstanding shares of stock entitled to vote generally in the election of Directors, voting together as a single class, and only for cause, for so long as the Board is classified.</w:t>
      </w:r>
    </w:p>
    <w:p>
      <w:pPr>
        <w:spacing w:after="0" w:line="142"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Directors shall hold office until the annual meeting for the year in which their terms expire and until the election and qualification of their respective successors in office or until such Director’s earlier death, resignation or removal.</w:t>
      </w:r>
    </w:p>
    <w:p>
      <w:pPr>
        <w:spacing w:after="0" w:line="10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Vacancies</w:t>
      </w:r>
      <w:r>
        <w:rPr>
          <w:rFonts w:ascii="Arial" w:cs="Arial" w:eastAsia="Arial" w:hAnsi="Arial"/>
          <w:sz w:val="19"/>
          <w:szCs w:val="19"/>
          <w:color w:val="auto"/>
        </w:rPr>
        <w:t>. Subject to the terms of any one or more series or classes of Preferred Stock, any vacancies in the Board for any reason and any newly created directorships resulting by reason of any increase in the number of Directors shall be filled only by the Board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50"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Director Elections by Holders of Preferred Stock</w:t>
      </w:r>
      <w:r>
        <w:rPr>
          <w:rFonts w:ascii="Arial" w:cs="Arial" w:eastAsia="Arial" w:hAnsi="Arial"/>
          <w:sz w:val="19"/>
          <w:szCs w:val="19"/>
          <w:color w:val="auto"/>
        </w:rPr>
        <w:t>.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1" w:name="page52"/>
    <w:bookmarkEnd w:id="51"/>
    <w:p>
      <w:pPr>
        <w:jc w:val="both"/>
        <w:spacing w:after="0" w:line="303" w:lineRule="auto"/>
        <w:rPr>
          <w:sz w:val="20"/>
          <w:szCs w:val="20"/>
          <w:color w:val="auto"/>
        </w:rPr>
      </w:pPr>
      <w:r>
        <w:rPr>
          <w:rFonts w:ascii="Arial" w:cs="Arial" w:eastAsia="Arial" w:hAnsi="Arial"/>
          <w:sz w:val="19"/>
          <w:szCs w:val="19"/>
          <w:color w:val="auto"/>
        </w:rPr>
        <w:t>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58" w:lineRule="exact"/>
        <w:rPr>
          <w:sz w:val="20"/>
          <w:szCs w:val="20"/>
          <w:color w:val="auto"/>
        </w:rPr>
      </w:pPr>
    </w:p>
    <w:p>
      <w:pPr>
        <w:jc w:val="both"/>
        <w:ind w:firstLine="8"/>
        <w:spacing w:after="0" w:line="260" w:lineRule="auto"/>
        <w:tabs>
          <w:tab w:leader="none" w:pos="21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Stockholder Action by Written Consent.</w:t>
      </w:r>
      <w:r>
        <w:rPr>
          <w:rFonts w:ascii="Arial" w:cs="Arial" w:eastAsia="Arial" w:hAnsi="Arial"/>
          <w:sz w:val="22"/>
          <w:szCs w:val="22"/>
          <w:color w:val="auto"/>
        </w:rPr>
        <w:t xml:space="preserve"> Subject to the terms of any one or more series or classes of Preferred Stock, from and after the time that the Advent Sponsor and its Affiliates collectively beneficially own (as shall be determined in accordance with Rules 13d-3 and 13d-5 of the Exchange Act) less than 30% of the voting power of then outstanding shares of capital stock of the Corporation, any action required or permitted to be taken by the stockholders of the Corporation must be effected at a duly called annual or special meeting of such stockholders of the Corporation and may not be effected by any written consent in lieu of a meeting by such stockholders.</w:t>
      </w:r>
    </w:p>
    <w:p>
      <w:pPr>
        <w:spacing w:after="0" w:line="191" w:lineRule="exact"/>
        <w:rPr>
          <w:rFonts w:ascii="Arial" w:cs="Arial" w:eastAsia="Arial" w:hAnsi="Arial"/>
          <w:sz w:val="22"/>
          <w:szCs w:val="22"/>
          <w:color w:val="auto"/>
        </w:rPr>
      </w:pPr>
    </w:p>
    <w:p>
      <w:pPr>
        <w:ind w:left="220" w:hanging="212"/>
        <w:spacing w:after="0"/>
        <w:tabs>
          <w:tab w:leader="none" w:pos="2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Meetings of Stockholders</w:t>
      </w:r>
      <w:r>
        <w:rPr>
          <w:rFonts w:ascii="Arial" w:cs="Arial" w:eastAsia="Arial" w:hAnsi="Arial"/>
          <w:sz w:val="22"/>
          <w:szCs w:val="22"/>
          <w:color w:val="auto"/>
        </w:rPr>
        <w:t>.</w:t>
      </w:r>
    </w:p>
    <w:p>
      <w:pPr>
        <w:spacing w:after="0" w:line="233" w:lineRule="exact"/>
        <w:rPr>
          <w:sz w:val="20"/>
          <w:szCs w:val="20"/>
          <w:color w:val="auto"/>
        </w:rPr>
      </w:pPr>
    </w:p>
    <w:p>
      <w:pPr>
        <w:jc w:val="both"/>
        <w:ind w:right="20" w:firstLine="749"/>
        <w:spacing w:after="0" w:line="284" w:lineRule="auto"/>
        <w:rPr>
          <w:sz w:val="20"/>
          <w:szCs w:val="20"/>
          <w:color w:val="auto"/>
        </w:rPr>
      </w:pPr>
      <w:r>
        <w:rPr>
          <w:rFonts w:ascii="Arial" w:cs="Arial" w:eastAsia="Arial" w:hAnsi="Arial"/>
          <w:sz w:val="21"/>
          <w:szCs w:val="21"/>
          <w:color w:val="auto"/>
        </w:rPr>
        <w:t>9.1 An annual meeting of stockholders for the election of directors to succeed those whose terms expire and for the transaction of such other business as may properly come before the meeting shall be held at such place, on such date, and at such time as shall be fixed exclusively by resolution of the Board or duly authorized committee thereof.</w:t>
      </w:r>
    </w:p>
    <w:p>
      <w:pPr>
        <w:spacing w:after="0" w:line="16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9.2 Subject to the terms of any one or more series or classes of Preferred Stock, special meetings of the stockholders of the Corporation, for any purpose or purposes, may be called at any time, but only by or at the direction of the chairperson of the Board (the “Chairperson”) or the chief executive officer of the Corporation.</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9.3 There shall be no cumulative voting in the election of directors. Unless and except to the extent that the By-laws shall so require, the election of the Directors need not be by written ballot.</w:t>
      </w:r>
    </w:p>
    <w:p>
      <w:pPr>
        <w:spacing w:after="0" w:line="17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9.4 Any meeting of stockholders may be postponed, rescheduled or canceled by action of the Board at any time in advance of such meeting. The Board shall have the power to adopt such rules and regulations for the conduct of the meetings and management of the affairs of the Corporation as they may deem proper and the power to adjourn or recess any meeting of stockholders without a vote of the stockholders, which powers may be delegated by the Board to the Chairperson in either such rules and regulations or pursuant to the By-laws.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2" w:name="page53"/>
    <w:bookmarkEnd w:id="52"/>
    <w:p>
      <w:pPr>
        <w:jc w:val="both"/>
        <w:ind w:firstLine="749"/>
        <w:spacing w:after="0" w:line="327" w:lineRule="auto"/>
        <w:rPr>
          <w:sz w:val="20"/>
          <w:szCs w:val="20"/>
          <w:color w:val="auto"/>
        </w:rPr>
      </w:pPr>
      <w:r>
        <w:rPr>
          <w:rFonts w:ascii="Arial" w:cs="Arial" w:eastAsia="Arial" w:hAnsi="Arial"/>
          <w:sz w:val="19"/>
          <w:szCs w:val="19"/>
          <w:color w:val="auto"/>
        </w:rPr>
        <w:t>9.5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or in the By-laws of the Corporation.</w:t>
      </w:r>
    </w:p>
    <w:p>
      <w:pPr>
        <w:spacing w:after="0" w:line="1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Business Combinations</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Section 203 of the DGCL</w:t>
      </w:r>
      <w:r>
        <w:rPr>
          <w:rFonts w:ascii="Arial" w:cs="Arial" w:eastAsia="Arial" w:hAnsi="Arial"/>
          <w:sz w:val="22"/>
          <w:szCs w:val="22"/>
          <w:color w:val="auto"/>
        </w:rPr>
        <w:t>. The Corporation shall not be governed by Section 203 of the DGCL, and the restrictions contained therein shall not apply to the Corporation.</w:t>
      </w:r>
    </w:p>
    <w:p>
      <w:pPr>
        <w:spacing w:after="0" w:line="174"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Limitations on Business Combinations</w:t>
      </w:r>
      <w:r>
        <w:rPr>
          <w:rFonts w:ascii="Arial" w:cs="Arial" w:eastAsia="Arial" w:hAnsi="Arial"/>
          <w:sz w:val="22"/>
          <w:szCs w:val="22"/>
          <w:color w:val="auto"/>
        </w:rPr>
        <w:t>. Notwithstanding the foregoing, the Corporation shall not engage in any business combination (as defined below), at any point in time at which the Class A Common Stock is registered under Section 12(b) or 12(g) of the Exchange Act, with any interested stockholder (as defined below) for a period of three (3) years following the time that such stockholder became an interested stockholder, unless:</w:t>
      </w:r>
    </w:p>
    <w:p>
      <w:pPr>
        <w:spacing w:after="0" w:line="191" w:lineRule="exact"/>
        <w:rPr>
          <w:sz w:val="20"/>
          <w:szCs w:val="20"/>
          <w:color w:val="auto"/>
        </w:rPr>
      </w:pPr>
    </w:p>
    <w:p>
      <w:pPr>
        <w:ind w:firstLine="1505"/>
        <w:spacing w:after="0" w:line="276" w:lineRule="auto"/>
        <w:tabs>
          <w:tab w:leader="none" w:pos="177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prior to such time, the Board approved either the business combination or the transaction which resulted in the stockholder becoming an interested stockholder; or</w:t>
      </w:r>
    </w:p>
    <w:p>
      <w:pPr>
        <w:spacing w:after="0" w:line="174" w:lineRule="exact"/>
        <w:rPr>
          <w:rFonts w:ascii="Arial" w:cs="Arial" w:eastAsia="Arial" w:hAnsi="Arial"/>
          <w:sz w:val="22"/>
          <w:szCs w:val="22"/>
          <w:color w:val="auto"/>
        </w:rPr>
      </w:pPr>
    </w:p>
    <w:p>
      <w:pPr>
        <w:jc w:val="both"/>
        <w:ind w:firstLine="1505"/>
        <w:spacing w:after="0" w:line="308" w:lineRule="auto"/>
        <w:tabs>
          <w:tab w:leader="none" w:pos="1816" w:val="left"/>
        </w:tabs>
        <w:numPr>
          <w:ilvl w:val="0"/>
          <w:numId w:val="25"/>
        </w:numPr>
        <w:rPr>
          <w:rFonts w:ascii="Arial" w:cs="Arial" w:eastAsia="Arial" w:hAnsi="Arial"/>
          <w:sz w:val="19"/>
          <w:szCs w:val="19"/>
          <w:color w:val="auto"/>
        </w:rPr>
      </w:pPr>
      <w:r>
        <w:rPr>
          <w:rFonts w:ascii="Arial" w:cs="Arial" w:eastAsia="Arial" w:hAnsi="Arial"/>
          <w:sz w:val="19"/>
          <w:szCs w:val="19"/>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and (2) employee stock plans of the Corporation in which employee participants do not have the right to determine confidentially whether shares held subject to the plan will be tendered in a tender or exchange offer; or</w:t>
      </w:r>
    </w:p>
    <w:p>
      <w:pPr>
        <w:spacing w:after="0" w:line="153" w:lineRule="exact"/>
        <w:rPr>
          <w:rFonts w:ascii="Arial" w:cs="Arial" w:eastAsia="Arial" w:hAnsi="Arial"/>
          <w:sz w:val="19"/>
          <w:szCs w:val="19"/>
          <w:color w:val="auto"/>
        </w:rPr>
      </w:pPr>
    </w:p>
    <w:p>
      <w:pPr>
        <w:jc w:val="both"/>
        <w:ind w:firstLine="1505"/>
        <w:spacing w:after="0" w:line="266" w:lineRule="auto"/>
        <w:tabs>
          <w:tab w:leader="none" w:pos="1905" w:val="left"/>
        </w:tabs>
        <w:numPr>
          <w:ilvl w:val="0"/>
          <w:numId w:val="25"/>
        </w:numPr>
        <w:rPr>
          <w:rFonts w:ascii="Arial" w:cs="Arial" w:eastAsia="Arial" w:hAnsi="Arial"/>
          <w:sz w:val="22"/>
          <w:szCs w:val="22"/>
          <w:color w:val="auto"/>
        </w:rPr>
      </w:pPr>
      <w:r>
        <w:rPr>
          <w:rFonts w:ascii="Arial" w:cs="Arial" w:eastAsia="Arial" w:hAnsi="Arial"/>
          <w:sz w:val="22"/>
          <w:szCs w:val="22"/>
          <w:color w:val="auto"/>
        </w:rPr>
        <w:t>at or subsequent to such time, the business combination is approved by the Board and authorized at an annual or special meeting of stockholders, and not by written consent, by the affirmative vote of at least 66⅔% of the outstanding voting stock of the Corporation which is not owned by the interested stockholder.</w:t>
      </w:r>
    </w:p>
    <w:p>
      <w:pPr>
        <w:spacing w:after="0" w:line="185"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Exceptions to Prohibition on Interested Stockholder Transactions</w:t>
      </w:r>
      <w:r>
        <w:rPr>
          <w:rFonts w:ascii="Arial" w:cs="Arial" w:eastAsia="Arial" w:hAnsi="Arial"/>
          <w:sz w:val="22"/>
          <w:szCs w:val="22"/>
          <w:color w:val="auto"/>
        </w:rPr>
        <w:t>. The restrictions contained in this Section 10 shall not apply if:</w:t>
      </w:r>
    </w:p>
    <w:p>
      <w:pPr>
        <w:spacing w:after="0" w:line="174" w:lineRule="exact"/>
        <w:rPr>
          <w:sz w:val="20"/>
          <w:szCs w:val="20"/>
          <w:color w:val="auto"/>
        </w:rPr>
      </w:pPr>
    </w:p>
    <w:p>
      <w:pPr>
        <w:jc w:val="both"/>
        <w:ind w:firstLine="1505"/>
        <w:spacing w:after="0" w:line="279" w:lineRule="auto"/>
        <w:tabs>
          <w:tab w:leader="none" w:pos="17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stockholder becomes an interested stockholder inadvertently and (A) as soon as practicable divests itself of ownership of sufficient shares so that the stockholder ceases to be an interested stockholder; and (B) would not, at any time within the three- year period immediately prior to a business combination between the Corporation and such stockholder, have been an interested stockholder but for the inadvertent acquisition of ownership; or</w:t>
      </w:r>
    </w:p>
    <w:p>
      <w:pPr>
        <w:spacing w:after="0" w:line="173" w:lineRule="exact"/>
        <w:rPr>
          <w:rFonts w:ascii="Arial" w:cs="Arial" w:eastAsia="Arial" w:hAnsi="Arial"/>
          <w:sz w:val="21"/>
          <w:szCs w:val="21"/>
          <w:color w:val="auto"/>
        </w:rPr>
      </w:pPr>
    </w:p>
    <w:p>
      <w:pPr>
        <w:jc w:val="both"/>
        <w:ind w:firstLine="1505"/>
        <w:spacing w:after="0" w:line="276" w:lineRule="auto"/>
        <w:tabs>
          <w:tab w:leader="none" w:pos="1831"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business combination is proposed prior to the consummation or abandonment of and subsequent to the earlier of the public announcement or the notice required hereunder of a proposed transaction which (A) constitutes one of the transactions described in the second sentence of this Section 10.3(ii); (B) is with or by a person who either was not an interested stockholder during the previous three years or who became an interested stockholder with the approval of the Board; and (C) is approved or not opposed by a majority of the directors then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3" w:name="page54"/>
    <w:bookmarkEnd w:id="53"/>
    <w:p>
      <w:pPr>
        <w:jc w:val="both"/>
        <w:spacing w:after="0" w:line="297" w:lineRule="auto"/>
        <w:rPr>
          <w:sz w:val="20"/>
          <w:szCs w:val="20"/>
          <w:color w:val="auto"/>
        </w:rPr>
      </w:pPr>
      <w:r>
        <w:rPr>
          <w:rFonts w:ascii="Arial" w:cs="Arial" w:eastAsia="Arial" w:hAnsi="Arial"/>
          <w:sz w:val="19"/>
          <w:szCs w:val="19"/>
          <w:color w:val="auto"/>
        </w:rPr>
        <w:t>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w:t>
      </w:r>
    </w:p>
    <w:p>
      <w:pPr>
        <w:spacing w:after="0" w:line="3" w:lineRule="exact"/>
        <w:rPr>
          <w:sz w:val="20"/>
          <w:szCs w:val="20"/>
          <w:color w:val="auto"/>
        </w:rPr>
      </w:pPr>
    </w:p>
    <w:p>
      <w:pPr>
        <w:jc w:val="both"/>
        <w:ind w:firstLine="8"/>
        <w:spacing w:after="0" w:line="296" w:lineRule="auto"/>
        <w:tabs>
          <w:tab w:leader="none" w:pos="31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 on a consolidated basis or the aggregate market value of all the outstanding stock (as defined hereinafter) of the Corporation; or</w:t>
      </w:r>
    </w:p>
    <w:p>
      <w:pPr>
        <w:spacing w:after="0" w:line="2" w:lineRule="exact"/>
        <w:rPr>
          <w:rFonts w:ascii="Arial" w:cs="Arial" w:eastAsia="Arial" w:hAnsi="Arial"/>
          <w:sz w:val="19"/>
          <w:szCs w:val="19"/>
          <w:color w:val="auto"/>
        </w:rPr>
      </w:pPr>
    </w:p>
    <w:p>
      <w:pPr>
        <w:jc w:val="both"/>
        <w:ind w:firstLine="8"/>
        <w:spacing w:after="0" w:line="282" w:lineRule="auto"/>
        <w:tabs>
          <w:tab w:leader="none" w:pos="306" w:val="left"/>
        </w:tabs>
        <w:numPr>
          <w:ilvl w:val="0"/>
          <w:numId w:val="27"/>
        </w:numPr>
        <w:rPr>
          <w:rFonts w:ascii="Arial" w:cs="Arial" w:eastAsia="Arial" w:hAnsi="Arial"/>
          <w:sz w:val="21"/>
          <w:szCs w:val="21"/>
          <w:color w:val="auto"/>
        </w:rPr>
      </w:pPr>
      <w:r>
        <w:rPr>
          <w:rFonts w:ascii="Arial" w:cs="Arial" w:eastAsia="Arial" w:hAnsi="Arial"/>
          <w:sz w:val="21"/>
          <w:szCs w:val="21"/>
          <w:color w:val="auto"/>
        </w:rPr>
        <w:t>a proposed tender or exchange offer for fifty percent (50%) or more of the outstanding voting stock of the Corporation. The Corporation shall give not less than 20 days’ notice to all interested stockholders prior to the consummation of any of the transactions described in clause (x) or (y) of the second sentence of this Section 10.3(ii).</w:t>
      </w:r>
    </w:p>
    <w:p>
      <w:pPr>
        <w:spacing w:after="0" w:line="170" w:lineRule="exact"/>
        <w:rPr>
          <w:sz w:val="20"/>
          <w:szCs w:val="20"/>
          <w:color w:val="auto"/>
        </w:rPr>
      </w:pPr>
    </w:p>
    <w:p>
      <w:pPr>
        <w:jc w:val="both"/>
        <w:ind w:firstLine="749"/>
        <w:spacing w:after="0" w:line="32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Section 10 Definitions</w:t>
      </w:r>
      <w:r>
        <w:rPr>
          <w:rFonts w:ascii="Arial" w:cs="Arial" w:eastAsia="Arial" w:hAnsi="Arial"/>
          <w:sz w:val="19"/>
          <w:szCs w:val="19"/>
          <w:color w:val="auto"/>
        </w:rPr>
        <w:t>. As used in this Section 10 only, and unless otherwise provided by the express terms of this Section 10, the following terms shall have the meanings ascribed to them as set forth in this Section 10.4 and, to the extent such terms are defined elsewhere in this Certificate of Incorporation, such definition shall not apply to this Section 10:</w:t>
      </w:r>
    </w:p>
    <w:p>
      <w:pPr>
        <w:spacing w:after="0" w:line="133" w:lineRule="exact"/>
        <w:rPr>
          <w:sz w:val="20"/>
          <w:szCs w:val="20"/>
          <w:color w:val="auto"/>
        </w:rPr>
      </w:pPr>
    </w:p>
    <w:p>
      <w:pPr>
        <w:jc w:val="both"/>
        <w:ind w:firstLine="1505"/>
        <w:spacing w:after="0" w:line="311" w:lineRule="auto"/>
        <w:tabs>
          <w:tab w:leader="none" w:pos="1777" w:val="left"/>
        </w:tabs>
        <w:numPr>
          <w:ilvl w:val="0"/>
          <w:numId w:val="28"/>
        </w:numPr>
        <w:rPr>
          <w:rFonts w:ascii="Arial" w:cs="Arial" w:eastAsia="Arial" w:hAnsi="Arial"/>
          <w:sz w:val="19"/>
          <w:szCs w:val="19"/>
          <w:color w:val="auto"/>
        </w:rPr>
      </w:pPr>
      <w:r>
        <w:rPr>
          <w:rFonts w:ascii="Arial" w:cs="Arial" w:eastAsia="Arial" w:hAnsi="Arial"/>
          <w:sz w:val="19"/>
          <w:szCs w:val="19"/>
          <w:color w:val="auto"/>
        </w:rPr>
        <w:t>“associate” when used to indicate a relationship with any Person, means: (1) any corporation, partnership, unincorporated association or other entity of which such person is a director, officer or partner or is, directly or indirectly, the owner of twenty percent (20%) or more of any class of voting stock; (2) any trust or other estate in which such Person has at least a twenty percent (20%) beneficial interest or as to which such Person serves as trustee or in a similar fiduciary capacity; and (3) any relative or spouse of such Person, or any relative of such spouse, who has the same residence as such Person.</w:t>
      </w:r>
    </w:p>
    <w:p>
      <w:pPr>
        <w:spacing w:after="0" w:line="150" w:lineRule="exact"/>
        <w:rPr>
          <w:rFonts w:ascii="Arial" w:cs="Arial" w:eastAsia="Arial" w:hAnsi="Arial"/>
          <w:sz w:val="19"/>
          <w:szCs w:val="19"/>
          <w:color w:val="auto"/>
        </w:rPr>
      </w:pPr>
    </w:p>
    <w:p>
      <w:pPr>
        <w:ind w:left="1860" w:hanging="355"/>
        <w:spacing w:after="0"/>
        <w:tabs>
          <w:tab w:leader="none" w:pos="18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“business combination” when used in reference to the Corporation and any interested stockholder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 means:</w:t>
      </w:r>
    </w:p>
    <w:p>
      <w:pPr>
        <w:spacing w:after="0" w:line="228" w:lineRule="exact"/>
        <w:rPr>
          <w:rFonts w:ascii="Arial" w:cs="Arial" w:eastAsia="Arial" w:hAnsi="Arial"/>
          <w:sz w:val="19"/>
          <w:szCs w:val="19"/>
          <w:color w:val="auto"/>
        </w:rPr>
      </w:pPr>
    </w:p>
    <w:p>
      <w:pPr>
        <w:jc w:val="both"/>
        <w:ind w:firstLine="2254"/>
        <w:spacing w:after="0" w:line="262" w:lineRule="auto"/>
        <w:tabs>
          <w:tab w:leader="none" w:pos="2562"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Section 10.2 is not applicable to the surviving entity;</w:t>
      </w:r>
    </w:p>
    <w:p>
      <w:pPr>
        <w:spacing w:after="0" w:line="191" w:lineRule="exact"/>
        <w:rPr>
          <w:rFonts w:ascii="Arial" w:cs="Arial" w:eastAsia="Arial" w:hAnsi="Arial"/>
          <w:sz w:val="22"/>
          <w:szCs w:val="22"/>
          <w:color w:val="auto"/>
        </w:rPr>
      </w:pPr>
    </w:p>
    <w:p>
      <w:pPr>
        <w:jc w:val="both"/>
        <w:ind w:firstLine="2254"/>
        <w:spacing w:after="0" w:line="260" w:lineRule="auto"/>
        <w:tabs>
          <w:tab w:leader="none" w:pos="2576"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4" w:name="page55"/>
    <w:bookmarkEnd w:id="54"/>
    <w:p>
      <w:pPr>
        <w:jc w:val="both"/>
        <w:ind w:firstLine="2254"/>
        <w:spacing w:after="0" w:line="302" w:lineRule="auto"/>
        <w:tabs>
          <w:tab w:leader="none" w:pos="2585"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the securities exercisable for, exchangeable for or convertible into stock of the Corporation or any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Section 10.4(ii)(3) shall there be an increase in the interested stockholder’s proportionate share of the stock of any class or series of the Corporation or the voting stock of the Corporation (except as a result of immaterial changes due to fractional share adjustments);</w:t>
      </w:r>
    </w:p>
    <w:p>
      <w:pPr>
        <w:spacing w:after="0" w:line="156" w:lineRule="exact"/>
        <w:rPr>
          <w:rFonts w:ascii="Arial" w:cs="Arial" w:eastAsia="Arial" w:hAnsi="Arial"/>
          <w:sz w:val="19"/>
          <w:szCs w:val="19"/>
          <w:color w:val="auto"/>
        </w:rPr>
      </w:pPr>
    </w:p>
    <w:p>
      <w:pPr>
        <w:jc w:val="both"/>
        <w:ind w:firstLine="2254"/>
        <w:spacing w:after="0" w:line="311" w:lineRule="auto"/>
        <w:tabs>
          <w:tab w:leader="none" w:pos="2555"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50" w:lineRule="exact"/>
        <w:rPr>
          <w:rFonts w:ascii="Arial" w:cs="Arial" w:eastAsia="Arial" w:hAnsi="Arial"/>
          <w:sz w:val="19"/>
          <w:szCs w:val="19"/>
          <w:color w:val="auto"/>
        </w:rPr>
      </w:pPr>
    </w:p>
    <w:p>
      <w:pPr>
        <w:jc w:val="both"/>
        <w:ind w:firstLine="2254"/>
        <w:spacing w:after="0" w:line="262" w:lineRule="auto"/>
        <w:tabs>
          <w:tab w:leader="none" w:pos="2553" w:val="left"/>
        </w:tabs>
        <w:numPr>
          <w:ilvl w:val="1"/>
          <w:numId w:val="29"/>
        </w:numPr>
        <w:rPr>
          <w:rFonts w:ascii="Arial" w:cs="Arial" w:eastAsia="Arial" w:hAnsi="Arial"/>
          <w:sz w:val="22"/>
          <w:szCs w:val="22"/>
          <w:color w:val="auto"/>
        </w:rPr>
      </w:pPr>
      <w:r>
        <w:rPr>
          <w:rFonts w:ascii="Arial" w:cs="Arial" w:eastAsia="Arial" w:hAnsi="Arial"/>
          <w:sz w:val="22"/>
          <w:szCs w:val="22"/>
          <w:color w:val="auto"/>
        </w:rPr>
        <w:t>any receipt by the interested stockholder of the benefit, directly or indirectly (except proportionately as a stockholder of the Corporation), of any loans, advances, guarantees, pledges, or other financial benefits (other than those expressly permitted in Sections 10.4(ii)(1) or 10.4(ii)(4) above) provided by or through the Corporation or any direct or indirect majority-owned subsidiary.</w:t>
      </w:r>
    </w:p>
    <w:p>
      <w:pPr>
        <w:spacing w:after="0" w:line="191" w:lineRule="exact"/>
        <w:rPr>
          <w:rFonts w:ascii="Arial" w:cs="Arial" w:eastAsia="Arial" w:hAnsi="Arial"/>
          <w:sz w:val="22"/>
          <w:szCs w:val="22"/>
          <w:color w:val="auto"/>
        </w:rPr>
      </w:pPr>
    </w:p>
    <w:p>
      <w:pPr>
        <w:jc w:val="both"/>
        <w:ind w:firstLine="1505"/>
        <w:spacing w:after="0" w:line="304" w:lineRule="auto"/>
        <w:tabs>
          <w:tab w:leader="none" w:pos="1889"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10,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55" w:lineRule="exact"/>
        <w:rPr>
          <w:rFonts w:ascii="Arial" w:cs="Arial" w:eastAsia="Arial" w:hAnsi="Arial"/>
          <w:sz w:val="19"/>
          <w:szCs w:val="19"/>
          <w:color w:val="auto"/>
        </w:rPr>
      </w:pPr>
    </w:p>
    <w:p>
      <w:pPr>
        <w:jc w:val="both"/>
        <w:ind w:firstLine="1505"/>
        <w:spacing w:after="0" w:line="266" w:lineRule="auto"/>
        <w:tabs>
          <w:tab w:leader="none" w:pos="1883"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“interested stockholder” means any Person (other than the Corporation or any direct or indirect majority-owned subsidiary of the Corporation) that (i) is the owner of fifteen percent (15%) or more of the outstanding voting stock of the Corporation, or (ii) is an affiliate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5" w:name="page56"/>
    <w:bookmarkEnd w:id="55"/>
    <w:p>
      <w:pPr>
        <w:jc w:val="both"/>
        <w:spacing w:after="0" w:line="302" w:lineRule="auto"/>
        <w:rPr>
          <w:sz w:val="20"/>
          <w:szCs w:val="20"/>
          <w:color w:val="auto"/>
        </w:rPr>
      </w:pPr>
      <w:r>
        <w:rPr>
          <w:rFonts w:ascii="Arial" w:cs="Arial" w:eastAsia="Arial" w:hAnsi="Arial"/>
          <w:sz w:val="19"/>
          <w:szCs w:val="19"/>
          <w:color w:val="auto"/>
        </w:rPr>
        <w:t>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in no case include or be deemed to include (1) the Investors or their direct and indirect transferees, or (2) any Person whose ownership of share in excess of the fifteen percent (15%) limitation set forth herein is the result of any action taken solely by the Corporation; provided that such Person specified in this clause (2)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voting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0" w:lineRule="exact"/>
        <w:rPr>
          <w:sz w:val="20"/>
          <w:szCs w:val="20"/>
          <w:color w:val="auto"/>
        </w:rPr>
      </w:pPr>
    </w:p>
    <w:p>
      <w:pPr>
        <w:spacing w:after="0" w:line="232" w:lineRule="exact"/>
        <w:rPr>
          <w:sz w:val="20"/>
          <w:szCs w:val="20"/>
          <w:color w:val="auto"/>
        </w:rPr>
      </w:pPr>
    </w:p>
    <w:p>
      <w:pPr>
        <w:jc w:val="both"/>
        <w:ind w:firstLine="1505"/>
        <w:spacing w:after="0" w:line="308" w:lineRule="auto"/>
        <w:tabs>
          <w:tab w:leader="none" w:pos="1843"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“Investors” means (1) the Advent Sponsor and any of its affiliates or successors or any group, or any member of any such group, to which such persons are a party under Rule 13d-5 of the Exchange Act, for so long as they collectively own, directly or indirectly, 5% or more of the voting power of the Corporation’s then outstanding shares of voting stock and (2) Spectrum Equity Management, L.P. and any of its affiliates or successors or any group, or any member of any such group, to which such persons are a party under Rule 13d-5 of the Exchange Act, for so long as they collectively own, directly or indirectly, 5% or more of the voting power of the Corporation’s then outstanding shares of voting stock.</w:t>
      </w:r>
    </w:p>
    <w:p>
      <w:pPr>
        <w:spacing w:after="0" w:line="153" w:lineRule="exact"/>
        <w:rPr>
          <w:rFonts w:ascii="Arial" w:cs="Arial" w:eastAsia="Arial" w:hAnsi="Arial"/>
          <w:sz w:val="19"/>
          <w:szCs w:val="19"/>
          <w:color w:val="auto"/>
        </w:rPr>
      </w:pPr>
    </w:p>
    <w:p>
      <w:pPr>
        <w:ind w:firstLine="1505"/>
        <w:spacing w:after="0" w:line="276" w:lineRule="auto"/>
        <w:tabs>
          <w:tab w:leader="none" w:pos="1863" w:val="left"/>
        </w:tabs>
        <w:numPr>
          <w:ilvl w:val="0"/>
          <w:numId w:val="31"/>
        </w:numPr>
        <w:rPr>
          <w:rFonts w:ascii="Arial" w:cs="Arial" w:eastAsia="Arial" w:hAnsi="Arial"/>
          <w:sz w:val="22"/>
          <w:szCs w:val="22"/>
          <w:color w:val="auto"/>
        </w:rPr>
      </w:pPr>
      <w:r>
        <w:rPr>
          <w:rFonts w:ascii="Arial" w:cs="Arial" w:eastAsia="Arial" w:hAnsi="Arial"/>
          <w:sz w:val="22"/>
          <w:szCs w:val="22"/>
          <w:color w:val="auto"/>
        </w:rPr>
        <w:t>“owner,” including the terms “own” and “owned,” when used with respect to any stock, means a Person that individually or with or through any of its affiliates or associates:</w:t>
      </w:r>
    </w:p>
    <w:p>
      <w:pPr>
        <w:spacing w:after="0" w:line="174" w:lineRule="exact"/>
        <w:rPr>
          <w:rFonts w:ascii="Arial" w:cs="Arial" w:eastAsia="Arial" w:hAnsi="Arial"/>
          <w:sz w:val="22"/>
          <w:szCs w:val="22"/>
          <w:color w:val="auto"/>
        </w:rPr>
      </w:pPr>
    </w:p>
    <w:p>
      <w:pPr>
        <w:ind w:left="2560" w:hanging="306"/>
        <w:spacing w:after="0"/>
        <w:tabs>
          <w:tab w:leader="none" w:pos="25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beneficially owns such stock, directly or indirectly; or</w:t>
      </w:r>
    </w:p>
    <w:p>
      <w:pPr>
        <w:spacing w:after="0" w:line="233" w:lineRule="exact"/>
        <w:rPr>
          <w:rFonts w:ascii="Arial" w:cs="Arial" w:eastAsia="Arial" w:hAnsi="Arial"/>
          <w:sz w:val="22"/>
          <w:szCs w:val="22"/>
          <w:color w:val="auto"/>
        </w:rPr>
      </w:pPr>
    </w:p>
    <w:p>
      <w:pPr>
        <w:jc w:val="both"/>
        <w:ind w:firstLine="2254"/>
        <w:spacing w:after="0" w:line="305" w:lineRule="auto"/>
        <w:tabs>
          <w:tab w:leader="none" w:pos="2566" w:val="left"/>
        </w:tabs>
        <w:numPr>
          <w:ilvl w:val="1"/>
          <w:numId w:val="31"/>
        </w:numPr>
        <w:rPr>
          <w:rFonts w:ascii="Arial" w:cs="Arial" w:eastAsia="Arial" w:hAnsi="Arial"/>
          <w:sz w:val="19"/>
          <w:szCs w:val="19"/>
          <w:color w:val="auto"/>
        </w:rPr>
      </w:pPr>
      <w:r>
        <w:rPr>
          <w:rFonts w:ascii="Arial" w:cs="Arial" w:eastAsia="Arial" w:hAnsi="Arial"/>
          <w:sz w:val="19"/>
          <w:szCs w:val="19"/>
          <w:color w:val="auto"/>
        </w:rPr>
        <w:t>has (a) the right to acquire such stock (whether such right is exercisable immediately or only after the passage of time) pursuant to any agreement, arrangement or understanding, or upon the exercise of conversion rights, exchange rights, warrants,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54" w:lineRule="exact"/>
        <w:rPr>
          <w:rFonts w:ascii="Arial" w:cs="Arial" w:eastAsia="Arial" w:hAnsi="Arial"/>
          <w:sz w:val="19"/>
          <w:szCs w:val="19"/>
          <w:color w:val="auto"/>
        </w:rPr>
      </w:pPr>
    </w:p>
    <w:p>
      <w:pPr>
        <w:jc w:val="both"/>
        <w:ind w:firstLine="2254"/>
        <w:spacing w:after="0" w:line="262" w:lineRule="auto"/>
        <w:tabs>
          <w:tab w:leader="none" w:pos="2588" w:val="left"/>
        </w:tabs>
        <w:numPr>
          <w:ilvl w:val="1"/>
          <w:numId w:val="31"/>
        </w:numPr>
        <w:rPr>
          <w:rFonts w:ascii="Arial" w:cs="Arial" w:eastAsia="Arial" w:hAnsi="Arial"/>
          <w:sz w:val="22"/>
          <w:szCs w:val="22"/>
          <w:color w:val="auto"/>
        </w:rPr>
      </w:pPr>
      <w:r>
        <w:rPr>
          <w:rFonts w:ascii="Arial" w:cs="Arial" w:eastAsia="Arial" w:hAnsi="Arial"/>
          <w:sz w:val="22"/>
          <w:szCs w:val="22"/>
          <w:color w:val="auto"/>
        </w:rPr>
        <w:t>has any agreement, arrangement or understanding for the purpose of acquiring, holding, voting (except voting pursuant to a revocable proxy or consent as described in clause (b) of Section 10.4(vi)(2)), or disposing of such stock with any other Person that beneficially owns, or whose affiliates or associates beneficially own, directly or indirectly, such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6" w:name="page57"/>
    <w:bookmarkEnd w:id="56"/>
    <w:p>
      <w:pPr>
        <w:ind w:left="1500"/>
        <w:spacing w:after="0"/>
        <w:rPr>
          <w:sz w:val="20"/>
          <w:szCs w:val="20"/>
          <w:color w:val="auto"/>
        </w:rPr>
      </w:pPr>
      <w:r>
        <w:rPr>
          <w:rFonts w:ascii="Arial" w:cs="Arial" w:eastAsia="Arial" w:hAnsi="Arial"/>
          <w:sz w:val="19"/>
          <w:szCs w:val="19"/>
          <w:color w:val="auto"/>
        </w:rPr>
        <w:t>(vii) “stock” means, with respect to any corporation, capital stock and, with respect to any other entity, 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equity interest.</w:t>
      </w:r>
    </w:p>
    <w:p>
      <w:pPr>
        <w:spacing w:after="0" w:line="229" w:lineRule="exact"/>
        <w:rPr>
          <w:sz w:val="20"/>
          <w:szCs w:val="20"/>
          <w:color w:val="auto"/>
        </w:rPr>
      </w:pPr>
    </w:p>
    <w:p>
      <w:pPr>
        <w:jc w:val="both"/>
        <w:ind w:firstLine="1505"/>
        <w:spacing w:after="0" w:line="262" w:lineRule="auto"/>
        <w:tabs>
          <w:tab w:leader="none" w:pos="2032" w:val="left"/>
        </w:tabs>
        <w:numPr>
          <w:ilvl w:val="1"/>
          <w:numId w:val="32"/>
        </w:numPr>
        <w:rPr>
          <w:rFonts w:ascii="Arial" w:cs="Arial" w:eastAsia="Arial" w:hAnsi="Arial"/>
          <w:sz w:val="22"/>
          <w:szCs w:val="22"/>
          <w:color w:val="auto"/>
        </w:rPr>
      </w:pPr>
      <w:r>
        <w:rPr>
          <w:rFonts w:ascii="Arial" w:cs="Arial" w:eastAsia="Arial" w:hAnsi="Arial"/>
          <w:sz w:val="22"/>
          <w:szCs w:val="22"/>
          <w:color w:val="auto"/>
        </w:rPr>
        <w:t>“voting stock”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Section 10 shall refer to such percentage of the votes of such voting stock..</w:t>
      </w:r>
    </w:p>
    <w:p>
      <w:pPr>
        <w:spacing w:after="0" w:line="191" w:lineRule="exact"/>
        <w:rPr>
          <w:rFonts w:ascii="Arial" w:cs="Arial" w:eastAsia="Arial" w:hAnsi="Arial"/>
          <w:sz w:val="22"/>
          <w:szCs w:val="22"/>
          <w:color w:val="auto"/>
        </w:rPr>
      </w:pPr>
    </w:p>
    <w:p>
      <w:pPr>
        <w:jc w:val="both"/>
        <w:ind w:firstLine="8"/>
        <w:spacing w:after="0" w:line="271" w:lineRule="auto"/>
        <w:tabs>
          <w:tab w:leader="none" w:pos="316"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Limitation of Liability of Directors</w:t>
      </w:r>
      <w:r>
        <w:rPr>
          <w:rFonts w:ascii="Arial" w:cs="Arial" w:eastAsia="Arial" w:hAnsi="Arial"/>
          <w:sz w:val="21"/>
          <w:szCs w:val="21"/>
          <w:color w:val="auto"/>
        </w:rPr>
        <w:t>.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11, or adoption of any provision of this Certificate of Incorporation (including any certificate of designations relating to any series or class of Preferred Stock) inconsistent with this Section 11,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189" w:lineRule="exact"/>
        <w:rPr>
          <w:rFonts w:ascii="Arial" w:cs="Arial" w:eastAsia="Arial" w:hAnsi="Arial"/>
          <w:sz w:val="21"/>
          <w:szCs w:val="21"/>
          <w:color w:val="auto"/>
        </w:rPr>
      </w:pPr>
    </w:p>
    <w:p>
      <w:pPr>
        <w:jc w:val="both"/>
        <w:ind w:firstLine="8"/>
        <w:spacing w:after="0" w:line="296" w:lineRule="auto"/>
        <w:tabs>
          <w:tab w:leader="none" w:pos="33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Indemnification and Advancement</w:t>
      </w:r>
      <w:r>
        <w:rPr>
          <w:rFonts w:ascii="Arial" w:cs="Arial" w:eastAsia="Arial" w:hAnsi="Arial"/>
          <w:sz w:val="19"/>
          <w:szCs w:val="19"/>
          <w:color w:val="auto"/>
        </w:rPr>
        <w:t>. The Corporation shall indemnify, advance expenses to and hold harmless, to the fullest extent permitted by applicable law as it presently exists or may hereafter be amended, any current or former director or officer of the Corporation (“</w:t>
      </w:r>
      <w:r>
        <w:rPr>
          <w:rFonts w:ascii="Arial" w:cs="Arial" w:eastAsia="Arial" w:hAnsi="Arial"/>
          <w:sz w:val="19"/>
          <w:szCs w:val="19"/>
          <w:u w:val="single" w:color="auto"/>
          <w:color w:val="auto"/>
        </w:rPr>
        <w:t>Indemnitee</w:t>
      </w:r>
      <w:r>
        <w:rPr>
          <w:rFonts w:ascii="Arial" w:cs="Arial" w:eastAsia="Arial" w:hAnsi="Arial"/>
          <w:sz w:val="19"/>
          <w:szCs w:val="19"/>
          <w:color w:val="auto"/>
        </w:rPr>
        <w:t>”) who was or is made or is threatened to be made a party or is otherwise involved in any “Proceeding,” which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or officer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w:t>
      </w:r>
    </w:p>
    <w:p>
      <w:pPr>
        <w:spacing w:after="0" w:line="11" w:lineRule="exact"/>
        <w:rPr>
          <w:rFonts w:ascii="Arial" w:cs="Arial" w:eastAsia="Arial" w:hAnsi="Arial"/>
          <w:sz w:val="19"/>
          <w:szCs w:val="19"/>
          <w:color w:val="auto"/>
        </w:rPr>
      </w:pPr>
    </w:p>
    <w:p>
      <w:pPr>
        <w:jc w:val="both"/>
        <w:ind w:firstLine="8"/>
        <w:spacing w:after="0" w:line="315" w:lineRule="auto"/>
        <w:tabs>
          <w:tab w:leader="none" w:pos="385"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the Indemnitee believes in good faith that a given situation may lead to or culminate in the institution of a Proceeding, this shall be considered a Proceeding under this Section 12. Neither any amendment nor repeal of this Section 12, nor the adoption of any provision of this Certificate of Incorporation inconsistent with this Section 12, shall eliminate or reduce the effect of this Section 12 in respect of any acts or omissions occurring prior to such alteration, amendment,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addition to, repeal or adoption. This provision should be read in conjunction with Article VI of the Bylaws.</w:t>
      </w:r>
    </w:p>
    <w:p>
      <w:pPr>
        <w:spacing w:after="0" w:line="233" w:lineRule="exact"/>
        <w:rPr>
          <w:sz w:val="20"/>
          <w:szCs w:val="20"/>
          <w:color w:val="auto"/>
        </w:rPr>
      </w:pPr>
    </w:p>
    <w:p>
      <w:pPr>
        <w:jc w:val="both"/>
        <w:ind w:firstLine="8"/>
        <w:spacing w:after="0" w:line="273" w:lineRule="auto"/>
        <w:tabs>
          <w:tab w:leader="none" w:pos="324"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Amendment to the By-Laws</w:t>
      </w:r>
      <w:r>
        <w:rPr>
          <w:rFonts w:ascii="Arial" w:cs="Arial" w:eastAsia="Arial" w:hAnsi="Arial"/>
          <w:sz w:val="21"/>
          <w:szCs w:val="21"/>
          <w:color w:val="auto"/>
        </w:rPr>
        <w:t>. In furtherance and not in limitation of the powers conferred upon it by the laws of the State of Delaware, the Board is expressly authorized and empowered to make, alter, amend, add to or repeal any and all Bylaws by resolution of the Board. In addition to any vote required by this Certificate of Incorporation (including any certificate of designations relating to any series or class of Preferred Stock) or applicable law, the affirmative vote of the holders of at least a majority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183" w:lineRule="exact"/>
        <w:rPr>
          <w:rFonts w:ascii="Arial" w:cs="Arial" w:eastAsia="Arial" w:hAnsi="Arial"/>
          <w:sz w:val="21"/>
          <w:szCs w:val="21"/>
          <w:color w:val="auto"/>
        </w:rPr>
      </w:pPr>
    </w:p>
    <w:p>
      <w:pPr>
        <w:jc w:val="both"/>
        <w:ind w:firstLine="8"/>
        <w:spacing w:after="0" w:line="261" w:lineRule="auto"/>
        <w:tabs>
          <w:tab w:leader="none" w:pos="337"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Corporation reserves the right, at any time and from time to time, to alter, amend, add to or repeal any provision contained in this Certificate of Incorporation (including any certificate of designations relating to any series or class of Preferred Stock) in any manner now or hereafter prescribed by the laws of the State of Delaware, and all rights, preferences, privileges and powers of any nature conferred upon stockholders, directors or any other Persons herein are granted subject to this reservation.</w:t>
      </w:r>
    </w:p>
    <w:p>
      <w:pPr>
        <w:spacing w:after="0" w:line="190" w:lineRule="exact"/>
        <w:rPr>
          <w:rFonts w:ascii="Arial" w:cs="Arial" w:eastAsia="Arial" w:hAnsi="Arial"/>
          <w:sz w:val="22"/>
          <w:szCs w:val="22"/>
          <w:color w:val="auto"/>
        </w:rPr>
      </w:pPr>
    </w:p>
    <w:p>
      <w:pPr>
        <w:ind w:left="340" w:hanging="332"/>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Exclusive Forum</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1"/>
          <w:szCs w:val="21"/>
          <w:color w:val="auto"/>
        </w:rPr>
        <w:t>15.1 Unless the Corporation consents in writing to the selection of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behalf of the Corporation; (b) action asserting a claim of breach of a fiduciary duty owed by or other wrongdoing by any current or former director, officer, employee, agent or stockholder of the Corporation to the Corporation or the Corporation’s stockholders; (c) action asserting a claim arising under any provision of the DGCL or this Certificate of Incorporation or the By-laws (as either may be amended from time to time), or as to which the DGCL confers jurisdiction on the Court of Chancery of the State of Delaware; or (d) action asserting a claim governed by the internal affairs doctrine. This Section 15.1 shall not apply in any respect to claims or causes of action brought to enforce a duty or liability created by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the Securities Exchange Act of 1934, as amended, or the rules and regulations promulgated thereunder or any other claim or cause of action for which the federal courts have exclusive jurisdiction.</w:t>
      </w:r>
    </w:p>
    <w:p>
      <w:pPr>
        <w:spacing w:after="0" w:line="18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15.2 Unless the Corporation consents in writing to the selection of an alternative forum, the federal district courts of the United States of America shall be the sole and exclusive forum for the resolution of any action asserting a claim arising under the Securities Act or the rules and regulations promulgated thereunder.</w:t>
      </w:r>
    </w:p>
    <w:p>
      <w:pPr>
        <w:spacing w:after="0" w:line="185" w:lineRule="exact"/>
        <w:rPr>
          <w:sz w:val="20"/>
          <w:szCs w:val="20"/>
          <w:color w:val="auto"/>
        </w:rPr>
      </w:pPr>
    </w:p>
    <w:p>
      <w:pPr>
        <w:jc w:val="both"/>
        <w:ind w:firstLine="8"/>
        <w:spacing w:after="0" w:line="262" w:lineRule="auto"/>
        <w:tabs>
          <w:tab w:leader="none" w:pos="36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22"/>
          <w:szCs w:val="22"/>
          <w:color w:val="auto"/>
        </w:rPr>
        <w:t>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95" w:lineRule="exact"/>
        <w:rPr>
          <w:sz w:val="20"/>
          <w:szCs w:val="20"/>
          <w:color w:val="auto"/>
        </w:rPr>
      </w:pPr>
    </w:p>
    <w:p>
      <w:pPr>
        <w:jc w:val="both"/>
        <w:ind w:firstLine="8"/>
        <w:spacing w:after="0" w:line="300" w:lineRule="auto"/>
        <w:tabs>
          <w:tab w:leader="none" w:pos="33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Corporate Opportunity</w:t>
      </w:r>
      <w:r>
        <w:rPr>
          <w:rFonts w:ascii="Arial" w:cs="Arial" w:eastAsia="Arial" w:hAnsi="Arial"/>
          <w:sz w:val="19"/>
          <w:szCs w:val="19"/>
          <w:color w:val="auto"/>
        </w:rPr>
        <w:t>. To the fullest extent permitted by Section 122(17) of the DGCL and except as may be otherwise expressly agreed in writing by the Corporation, the Corporation, on behalf of itself and its subsidiaries, renounces any interest or expectancy of the Corporation and its subsidiaries in, or in being offered an opportunity to participate in, business opportunities, which are from time to time presented to the Advent Sponsor, Spectrum Equity Management, L.P., 22C Capital LLC or any of their respective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to the fullest extent permitted by law,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 the alteration, amendment, addition to or repeal of this Section 17, nor the adoption of any provision of this Certificate of Incorporation (including any certificate of designations relating to any series or class of Preferred Stock) inconsistent with this Section 17, shall eliminate or reduce the effect of this Section 17 in respect of any business opportunity first identified or any other matter occurring, or any cause of action, suit or claim that, but for this Section 17, would accrue or arise, prior to such alteration, amendment, addition, repeal or adoption.</w:t>
      </w:r>
    </w:p>
    <w:p>
      <w:pPr>
        <w:spacing w:after="0" w:line="163" w:lineRule="exact"/>
        <w:rPr>
          <w:rFonts w:ascii="Arial" w:cs="Arial" w:eastAsia="Arial" w:hAnsi="Arial"/>
          <w:sz w:val="19"/>
          <w:szCs w:val="19"/>
          <w:color w:val="auto"/>
        </w:rPr>
      </w:pPr>
    </w:p>
    <w:p>
      <w:pPr>
        <w:ind w:firstLine="8"/>
        <w:spacing w:after="0" w:line="276" w:lineRule="auto"/>
        <w:tabs>
          <w:tab w:leader="none" w:pos="351"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Certificate of Incorporation, unless the context otherwise requires or as set forth in another Section of this Certificate of Incorporation, the term:</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Advent Sponsor</w:t>
      </w:r>
      <w:r>
        <w:rPr>
          <w:rFonts w:ascii="Arial" w:cs="Arial" w:eastAsia="Arial" w:hAnsi="Arial"/>
          <w:sz w:val="22"/>
          <w:szCs w:val="22"/>
          <w:color w:val="auto"/>
        </w:rPr>
        <w:t>” means Advent International Corporation.</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1"/>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AIDH Topco, LLC</w:t>
      </w:r>
      <w:r>
        <w:rPr>
          <w:rFonts w:ascii="Arial" w:cs="Arial" w:eastAsia="Arial" w:hAnsi="Arial"/>
          <w:sz w:val="21"/>
          <w:szCs w:val="21"/>
          <w:color w:val="auto"/>
        </w:rPr>
        <w:t>” means AIDH Topco, LLC, a Delaware limited liability company or any</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successor thereto.</w:t>
      </w:r>
    </w:p>
    <w:p>
      <w:pPr>
        <w:spacing w:after="0" w:line="228" w:lineRule="exact"/>
        <w:rPr>
          <w:rFonts w:ascii="Arial" w:cs="Arial" w:eastAsia="Arial" w:hAnsi="Arial"/>
          <w:sz w:val="21"/>
          <w:szCs w:val="21"/>
          <w:color w:val="auto"/>
        </w:rPr>
      </w:pPr>
    </w:p>
    <w:p>
      <w:pPr>
        <w:jc w:val="both"/>
        <w:ind w:firstLine="1678"/>
        <w:spacing w:after="0" w:line="261" w:lineRule="auto"/>
        <w:tabs>
          <w:tab w:leader="none" w:pos="2793"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any Person, any other Person directly or indirectly controlling, controlled by or under common control with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9" w:name="page60"/>
    <w:bookmarkEnd w:id="59"/>
    <w:p>
      <w:pPr>
        <w:jc w:val="both"/>
        <w:ind w:firstLine="1678"/>
        <w:spacing w:after="0" w:line="262" w:lineRule="auto"/>
        <w:tabs>
          <w:tab w:leader="none" w:pos="2793"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91" w:lineRule="exact"/>
        <w:rPr>
          <w:rFonts w:ascii="Arial" w:cs="Arial" w:eastAsia="Arial" w:hAnsi="Arial"/>
          <w:sz w:val="22"/>
          <w:szCs w:val="22"/>
          <w:color w:val="auto"/>
        </w:rPr>
      </w:pPr>
    </w:p>
    <w:p>
      <w:pPr>
        <w:ind w:right="20" w:firstLine="1678"/>
        <w:spacing w:after="0" w:line="276" w:lineRule="auto"/>
        <w:tabs>
          <w:tab w:leader="none" w:pos="2793"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Management Holdings Units</w:t>
      </w:r>
      <w:r>
        <w:rPr>
          <w:rFonts w:ascii="Arial" w:cs="Arial" w:eastAsia="Arial" w:hAnsi="Arial"/>
          <w:sz w:val="22"/>
          <w:szCs w:val="22"/>
          <w:color w:val="auto"/>
        </w:rPr>
        <w:t>” has the meaning set forth in the Second Amended and Restated LLC Agreement of AIDH Topco, LLC.</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is defined in Section 7.2.</w:t>
      </w:r>
    </w:p>
    <w:p>
      <w:pPr>
        <w:spacing w:after="0" w:line="233" w:lineRule="exact"/>
        <w:rPr>
          <w:rFonts w:ascii="Arial" w:cs="Arial" w:eastAsia="Arial" w:hAnsi="Arial"/>
          <w:sz w:val="22"/>
          <w:szCs w:val="22"/>
          <w:color w:val="auto"/>
        </w:rPr>
      </w:pPr>
    </w:p>
    <w:p>
      <w:pPr>
        <w:jc w:val="both"/>
        <w:ind w:firstLine="1678"/>
        <w:spacing w:after="0" w:line="259" w:lineRule="auto"/>
        <w:tabs>
          <w:tab w:leader="none" w:pos="2793"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 Event</w:t>
      </w:r>
      <w:r>
        <w:rPr>
          <w:rFonts w:ascii="Arial" w:cs="Arial" w:eastAsia="Arial" w:hAnsi="Arial"/>
          <w:sz w:val="22"/>
          <w:szCs w:val="22"/>
          <w:color w:val="auto"/>
        </w:rPr>
        <w:t>” means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direct or indirect parent) resulting from such transaction or series of transactions in substantially the same proportions as immediately prior to such transaction or series of transactions.</w:t>
      </w:r>
    </w:p>
    <w:p>
      <w:pPr>
        <w:spacing w:after="0" w:line="192" w:lineRule="exact"/>
        <w:rPr>
          <w:rFonts w:ascii="Arial" w:cs="Arial" w:eastAsia="Arial" w:hAnsi="Arial"/>
          <w:sz w:val="22"/>
          <w:szCs w:val="22"/>
          <w:color w:val="auto"/>
        </w:rPr>
      </w:pPr>
    </w:p>
    <w:p>
      <w:pPr>
        <w:jc w:val="both"/>
        <w:ind w:firstLine="1678"/>
        <w:spacing w:after="0" w:line="261" w:lineRule="auto"/>
        <w:tabs>
          <w:tab w:leader="none" w:pos="2793"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or employee.</w:t>
      </w:r>
    </w:p>
    <w:p>
      <w:pPr>
        <w:spacing w:after="0" w:line="190" w:lineRule="exact"/>
        <w:rPr>
          <w:rFonts w:ascii="Arial" w:cs="Arial" w:eastAsia="Arial" w:hAnsi="Arial"/>
          <w:sz w:val="22"/>
          <w:szCs w:val="22"/>
          <w:color w:val="auto"/>
        </w:rPr>
      </w:pPr>
    </w:p>
    <w:p>
      <w:pPr>
        <w:ind w:firstLine="1678"/>
        <w:spacing w:after="0" w:line="276" w:lineRule="auto"/>
        <w:tabs>
          <w:tab w:leader="none" w:pos="2793"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any successor law or statute, together with the rules and regulations promulgated thereunder.</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Unit</w:t>
      </w:r>
      <w:r>
        <w:rPr>
          <w:rFonts w:ascii="Arial" w:cs="Arial" w:eastAsia="Arial" w:hAnsi="Arial"/>
          <w:sz w:val="22"/>
          <w:szCs w:val="22"/>
          <w:color w:val="auto"/>
        </w:rPr>
        <w:t>” means a nonvoting interest unit of AIDH Topco, LLC.</w:t>
      </w:r>
    </w:p>
    <w:p>
      <w:pPr>
        <w:spacing w:after="0" w:line="233" w:lineRule="exact"/>
        <w:rPr>
          <w:rFonts w:ascii="Arial" w:cs="Arial" w:eastAsia="Arial" w:hAnsi="Arial"/>
          <w:sz w:val="22"/>
          <w:szCs w:val="22"/>
          <w:color w:val="auto"/>
        </w:rPr>
      </w:pPr>
    </w:p>
    <w:p>
      <w:pPr>
        <w:ind w:firstLine="1678"/>
        <w:spacing w:after="0" w:line="301" w:lineRule="auto"/>
        <w:tabs>
          <w:tab w:leader="none" w:pos="2793" w:val="left"/>
        </w:tabs>
        <w:numPr>
          <w:ilvl w:val="0"/>
          <w:numId w:val="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Paired Interest</w:t>
      </w:r>
      <w:r>
        <w:rPr>
          <w:rFonts w:ascii="Arial" w:cs="Arial" w:eastAsia="Arial" w:hAnsi="Arial"/>
          <w:sz w:val="21"/>
          <w:szCs w:val="21"/>
          <w:color w:val="auto"/>
        </w:rPr>
        <w:t>” means one LLC Unit together with one share of Class B Common Stock, subject to adjustment pursuant to Article 10 of the Second Amended and Restated LLC Agreement of AIDH Topco, LLC.</w:t>
      </w:r>
    </w:p>
    <w:p>
      <w:pPr>
        <w:spacing w:after="0" w:line="150" w:lineRule="exact"/>
        <w:rPr>
          <w:rFonts w:ascii="Arial" w:cs="Arial" w:eastAsia="Arial" w:hAnsi="Arial"/>
          <w:sz w:val="21"/>
          <w:szCs w:val="21"/>
          <w:color w:val="auto"/>
        </w:rPr>
      </w:pPr>
    </w:p>
    <w:p>
      <w:pPr>
        <w:jc w:val="both"/>
        <w:ind w:firstLine="1678"/>
        <w:spacing w:after="0" w:line="273" w:lineRule="auto"/>
        <w:tabs>
          <w:tab w:leader="none" w:pos="2793" w:val="left"/>
        </w:tabs>
        <w:numPr>
          <w:ilvl w:val="0"/>
          <w:numId w:val="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Transferee</w:t>
      </w:r>
      <w:r>
        <w:rPr>
          <w:rFonts w:ascii="Arial" w:cs="Arial" w:eastAsia="Arial" w:hAnsi="Arial"/>
          <w:sz w:val="21"/>
          <w:szCs w:val="21"/>
          <w:color w:val="auto"/>
        </w:rPr>
        <w:t xml:space="preserve">” means (i) in the case of any transferor that is not a natural person, any Person that is an Affiliate of such transferor and (ii) in the case of any transferor that is a natural person, (A) any Person to whom Common Stock is transferred from such transferor (1) by will or the laws of descent and distribution or (2) by gift without consideration of any kind;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 (2), such transferee is the spouse, the lineal descendant, sibling, parent, heir, executor, administrator, testamentary trustee, legatee or beneficiary of such transferor, (B) a trust that is for the exclusive benefit of such transferor or its Permitted Transferees under (A) above or (C) any institution qualified as tax-exempt under Section 501(c)(3) of the Code.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60" w:name="page61"/>
    <w:bookmarkEnd w:id="60"/>
    <w:p>
      <w:pPr>
        <w:ind w:firstLine="1678"/>
        <w:spacing w:after="0" w:line="276" w:lineRule="auto"/>
        <w:tabs>
          <w:tab w:leader="none" w:pos="2793"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firm, corporation, limited liability company, association, trust, unincorporated organization or other entity.</w:t>
      </w:r>
    </w:p>
    <w:p>
      <w:pPr>
        <w:spacing w:after="0" w:line="174" w:lineRule="exact"/>
        <w:rPr>
          <w:rFonts w:ascii="Arial" w:cs="Arial" w:eastAsia="Arial" w:hAnsi="Arial"/>
          <w:sz w:val="22"/>
          <w:szCs w:val="22"/>
          <w:color w:val="auto"/>
        </w:rPr>
      </w:pPr>
    </w:p>
    <w:p>
      <w:pPr>
        <w:jc w:val="both"/>
        <w:ind w:firstLine="1678"/>
        <w:spacing w:after="0" w:line="279" w:lineRule="auto"/>
        <w:tabs>
          <w:tab w:leader="none" w:pos="2793" w:val="left"/>
        </w:tabs>
        <w:numPr>
          <w:ilvl w:val="0"/>
          <w:numId w:val="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Amended and Restated LLC Agreement of AIDH Topco, LLC</w:t>
      </w:r>
      <w:r>
        <w:rPr>
          <w:rFonts w:ascii="Arial" w:cs="Arial" w:eastAsia="Arial" w:hAnsi="Arial"/>
          <w:sz w:val="21"/>
          <w:szCs w:val="21"/>
          <w:color w:val="auto"/>
        </w:rPr>
        <w:t>” means the Second Amended and Restated Limited Liability Company Agreement, dated as of September 14, 2021, by and among the Corporation, the other members of AIDH Topco and the other Persons that may become parties thereto from time to time, as the same may be amended, restated, supplemented and/or otherwise modified, from time to time.</w:t>
      </w:r>
    </w:p>
    <w:p>
      <w:pPr>
        <w:spacing w:after="0" w:line="173" w:lineRule="exact"/>
        <w:rPr>
          <w:rFonts w:ascii="Arial" w:cs="Arial" w:eastAsia="Arial" w:hAnsi="Arial"/>
          <w:sz w:val="21"/>
          <w:szCs w:val="21"/>
          <w:color w:val="auto"/>
        </w:rPr>
      </w:pPr>
    </w:p>
    <w:p>
      <w:pPr>
        <w:jc w:val="both"/>
        <w:ind w:firstLine="1678"/>
        <w:spacing w:after="0" w:line="300" w:lineRule="auto"/>
        <w:tabs>
          <w:tab w:leader="none" w:pos="2793"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of a share of Class B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following shall not be considered a “Transfer”: (i)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 entering into a customary voting or support agreement (with or without granting a proxy) in connection with any merger, consolidation or other combination transaction of the Corporation, whether effectuated through one transaction or series of related transactions (including a tender offer followed by a merger in which holders of Class A Common Stock receive the same consideration per share paid in the tender offer); (iii)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foreclosure on such shares or other similar action by the pledgee shall constitute a “Transfer”; or (iv) the fact that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61" w:name="page62"/>
    <w:bookmarkEnd w:id="61"/>
    <w:p>
      <w:pPr>
        <w:ind w:firstLine="749"/>
        <w:spacing w:after="0" w:line="276" w:lineRule="auto"/>
        <w:rPr>
          <w:sz w:val="20"/>
          <w:szCs w:val="20"/>
          <w:color w:val="auto"/>
        </w:rPr>
      </w:pPr>
      <w:r>
        <w:rPr>
          <w:rFonts w:ascii="Arial" w:cs="Arial" w:eastAsia="Arial" w:hAnsi="Arial"/>
          <w:sz w:val="22"/>
          <w:szCs w:val="22"/>
          <w:color w:val="auto"/>
        </w:rPr>
        <w:t>IN WITNESS WHEREOF, this Amended and Restated Certificate of Incorporation of Definitive Healthcare Corp. has been duly executed by the officer below this 14th day of September, 2021.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Jason Krantz</w:t>
            </w:r>
          </w:p>
        </w:tc>
      </w:tr>
      <w:tr>
        <w:trPr>
          <w:trHeight w:val="271"/>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040" w:type="dxa"/>
            <w:vAlign w:val="bottom"/>
          </w:tcPr>
          <w:p>
            <w:pPr>
              <w:spacing w:after="0"/>
              <w:rPr>
                <w:sz w:val="20"/>
                <w:szCs w:val="20"/>
                <w:color w:val="auto"/>
              </w:rPr>
            </w:pPr>
            <w:r>
              <w:rPr>
                <w:rFonts w:ascii="Arial" w:cs="Arial" w:eastAsia="Arial" w:hAnsi="Arial"/>
                <w:sz w:val="22"/>
                <w:szCs w:val="22"/>
                <w:color w:val="auto"/>
              </w:rPr>
              <w:t>Jason Krantz</w:t>
            </w:r>
          </w:p>
        </w:tc>
      </w:tr>
      <w:tr>
        <w:trPr>
          <w:trHeight w:val="27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04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Amended and Restated Certificate of Incorporation</w:t>
      </w:r>
      <w:r>
        <w:rPr>
          <w:rFonts w:ascii="Arial" w:cs="Arial" w:eastAsia="Arial" w:hAnsi="Arial"/>
          <w:sz w:val="22"/>
          <w:szCs w:val="22"/>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WEIL:\98076216\7\40590.0003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Weil Draft 9/13/2021</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3.2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DEFINITIVE HEALTHCARE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September 14,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STOCKHOLDERS</w:t>
      </w:r>
    </w:p>
    <w:p>
      <w:pPr>
        <w:spacing w:after="0" w:line="239" w:lineRule="exact"/>
        <w:rPr>
          <w:sz w:val="20"/>
          <w:szCs w:val="20"/>
          <w:color w:val="auto"/>
        </w:rPr>
      </w:pPr>
    </w:p>
    <w:p>
      <w:pPr>
        <w:jc w:val="both"/>
        <w:ind w:firstLine="1310"/>
        <w:spacing w:after="0" w:line="259"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Annual Meetings</w:t>
      </w:r>
      <w:r>
        <w:rPr>
          <w:rFonts w:ascii="Arial" w:cs="Arial" w:eastAsia="Arial" w:hAnsi="Arial"/>
          <w:sz w:val="22"/>
          <w:szCs w:val="22"/>
          <w:color w:val="auto"/>
        </w:rPr>
        <w:t>. The annual meeting of the stockholders of Definitive Healthcare Corp. (the “</w:t>
      </w:r>
      <w:r>
        <w:rPr>
          <w:rFonts w:ascii="Arial" w:cs="Arial" w:eastAsia="Arial" w:hAnsi="Arial"/>
          <w:sz w:val="22"/>
          <w:szCs w:val="22"/>
          <w:u w:val="single" w:color="auto"/>
          <w:color w:val="auto"/>
        </w:rPr>
        <w:t>Corporation</w:t>
      </w:r>
      <w:r>
        <w:rPr>
          <w:rFonts w:ascii="Arial" w:cs="Arial" w:eastAsia="Arial" w:hAnsi="Arial"/>
          <w:sz w:val="22"/>
          <w:szCs w:val="22"/>
          <w:color w:val="auto"/>
        </w:rPr>
        <w:t>”) for the election of directors and for the transaction of such other business as properly may come before such meeting shall be held at such place, either within or without the State of Delaware, or, within the sole discretion of the Board of Directors of the Corporation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or “</w:t>
      </w:r>
      <w:r>
        <w:rPr>
          <w:rFonts w:ascii="Arial" w:cs="Arial" w:eastAsia="Arial" w:hAnsi="Arial"/>
          <w:sz w:val="22"/>
          <w:szCs w:val="22"/>
          <w:u w:val="single" w:color="auto"/>
          <w:color w:val="auto"/>
        </w:rPr>
        <w:t>Board</w:t>
      </w:r>
      <w:r>
        <w:rPr>
          <w:rFonts w:ascii="Arial" w:cs="Arial" w:eastAsia="Arial" w:hAnsi="Arial"/>
          <w:sz w:val="22"/>
          <w:szCs w:val="22"/>
          <w:color w:val="auto"/>
        </w:rPr>
        <w:t>”), and subject to such guidelines and procedures as the Board of Directors may adopt, by means of remote communication as authorized by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and at such date and at such time as may be fixed from time to time by resolution of the Board of Directors and set forth in the notice of the meeting.</w:t>
      </w:r>
    </w:p>
    <w:p>
      <w:pPr>
        <w:spacing w:after="0" w:line="195" w:lineRule="exact"/>
        <w:rPr>
          <w:sz w:val="20"/>
          <w:szCs w:val="20"/>
          <w:color w:val="auto"/>
        </w:rPr>
      </w:pPr>
    </w:p>
    <w:p>
      <w:pPr>
        <w:jc w:val="both"/>
        <w:ind w:firstLine="1310"/>
        <w:spacing w:after="0" w:line="306"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Special Meetings</w:t>
      </w:r>
      <w:r>
        <w:rPr>
          <w:rFonts w:ascii="Arial" w:cs="Arial" w:eastAsia="Arial" w:hAnsi="Arial"/>
          <w:sz w:val="19"/>
          <w:szCs w:val="19"/>
          <w:color w:val="auto"/>
        </w:rPr>
        <w:t>. Subject to the terms of any one or more series or classes of preferred stock, special meetings of the stockholders of the Corporation, for any purpose or purposes, may be called at any time, but only by or at the direction of a majority of the directors then in office, the Chairperson of the Board of Directors or the Chief Executive Officer of the Corporation. The ability of stockholders to call a special meeting of stockholders is specifically denied. Any such special meetings of the stockholders shall be held at such places, within or without the State of Delaware, or, within the sole discretion of the Board of Directors, and subject to such guidelines and procedures as the Board of Directors may adopt, by means of remote communication as authorized by the DGCL, as shall be specified in the notice thereof.</w:t>
      </w:r>
    </w:p>
    <w:p>
      <w:pPr>
        <w:spacing w:after="0" w:line="156" w:lineRule="exact"/>
        <w:rPr>
          <w:sz w:val="20"/>
          <w:szCs w:val="20"/>
          <w:color w:val="auto"/>
        </w:rPr>
      </w:pPr>
    </w:p>
    <w:p>
      <w:pPr>
        <w:jc w:val="both"/>
        <w:ind w:firstLine="1310"/>
        <w:spacing w:after="0" w:line="279"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Stockholder Action by Consent</w:t>
      </w:r>
      <w:r>
        <w:rPr>
          <w:rFonts w:ascii="Arial" w:cs="Arial" w:eastAsia="Arial" w:hAnsi="Arial"/>
          <w:sz w:val="21"/>
          <w:szCs w:val="21"/>
          <w:color w:val="auto"/>
        </w:rPr>
        <w:t>. Any action required or permitted to be taken at any annual or special meeting of stockholders of the Corporation may be taken without a meeting, without prior notice and without a vote only to the extent permitted by and in the manner provided in the Certificate of Incorporation of the Corporation (as it may be amended from time to time, the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and in accordance with applicable law.</w:t>
      </w:r>
    </w:p>
    <w:p>
      <w:pPr>
        <w:spacing w:after="0" w:line="17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Notice of Meetings; Waiver</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62" w:lineRule="auto"/>
        <w:tabs>
          <w:tab w:leader="none" w:pos="1929" w:val="left"/>
        </w:tabs>
        <w:numPr>
          <w:ilvl w:val="0"/>
          <w:numId w:val="40"/>
        </w:numPr>
        <w:rPr>
          <w:rFonts w:ascii="Arial" w:cs="Arial" w:eastAsia="Arial" w:hAnsi="Arial"/>
          <w:sz w:val="22"/>
          <w:szCs w:val="22"/>
          <w:color w:val="auto"/>
        </w:rPr>
      </w:pPr>
      <w:r>
        <w:rPr>
          <w:rFonts w:ascii="Arial" w:cs="Arial" w:eastAsia="Arial" w:hAnsi="Arial"/>
          <w:sz w:val="22"/>
          <w:szCs w:val="22"/>
          <w:color w:val="auto"/>
        </w:rPr>
        <w:t>Unless otherwise prescribed by statute or the Certificate of Incorporation of the Corporation , the Secretary of the Corporation or any Assistant Secretary shall cause notice of the place, if any, date and hour of each meeting of the stockholders, and, in the case of a special meeting, the purpose or purposes for which such meeting is called, and the means of remote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3" w:name="page64"/>
    <w:bookmarkEnd w:id="63"/>
    <w:p>
      <w:pPr>
        <w:jc w:val="both"/>
        <w:spacing w:after="0" w:line="262" w:lineRule="auto"/>
        <w:rPr>
          <w:sz w:val="20"/>
          <w:szCs w:val="20"/>
          <w:color w:val="auto"/>
        </w:rPr>
      </w:pPr>
      <w:r>
        <w:rPr>
          <w:rFonts w:ascii="Arial" w:cs="Arial" w:eastAsia="Arial" w:hAnsi="Arial"/>
          <w:sz w:val="22"/>
          <w:szCs w:val="22"/>
          <w:color w:val="auto"/>
        </w:rPr>
        <w:t>communication, if any, by which stockholders and proxyholders may be deemed to be present in person and vote at such meeting, to be given personally by mail or by electronic transmission, or as otherwise provided in these Bylaws, not fewer than ten (10) nor more than sixty (60) days prior to the meeting, except as otherwise required by applicable law, the Certificate of Incorporation or these Bylaws.</w:t>
      </w:r>
    </w:p>
    <w:p>
      <w:pPr>
        <w:spacing w:after="0" w:line="191" w:lineRule="exact"/>
        <w:rPr>
          <w:sz w:val="20"/>
          <w:szCs w:val="20"/>
          <w:color w:val="auto"/>
        </w:rPr>
      </w:pPr>
    </w:p>
    <w:p>
      <w:pPr>
        <w:jc w:val="both"/>
        <w:ind w:firstLine="1505"/>
        <w:spacing w:after="0" w:line="302" w:lineRule="auto"/>
        <w:tabs>
          <w:tab w:leader="none" w:pos="19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such notices shall be delivered in writing or in any other manner permitted by the DGCL. If mailed, such notice shall be deemed given when deposited in the United States mail, postage prepaid, addressed to the stockholder at his, her or its address as the same appears on the records of the Corporation. If delivered by courier service, notice shall be deemed given at the earlier of when the notice is received or left at such stockholder’s address as the same appears on the records of the Corporation. If given by electronic mail, notice shall be deemed given when directed to such stockholder’s electronic mail address unless the stockholder has notified the Corporation in writing or by electronic transmission of an objection to receiving notice by electronic mail or such notice is prohibited by the DGCL. Notice to stockholders may also be given by other forms of electronic transmission consented to by the stockholder. If given by facsimile telecommunication, such notice shall be deemed given when directed to a number at which the stockholder has consented to receive notice by facsimile. If given by a posting on an electronic network together with separate notice to the stockholder of such specific posting, such notice shall be deemed given upon the later of (x) such posting and (y) the giving of such separate notice. If notice is given by any other form of electronic transmission, such notice shall be deemed given when directed to the stockholder.</w:t>
      </w:r>
    </w:p>
    <w:p>
      <w:pPr>
        <w:spacing w:after="0" w:line="156" w:lineRule="exact"/>
        <w:rPr>
          <w:rFonts w:ascii="Arial" w:cs="Arial" w:eastAsia="Arial" w:hAnsi="Arial"/>
          <w:sz w:val="19"/>
          <w:szCs w:val="19"/>
          <w:color w:val="auto"/>
        </w:rPr>
      </w:pPr>
    </w:p>
    <w:p>
      <w:pPr>
        <w:jc w:val="both"/>
        <w:ind w:firstLine="1505"/>
        <w:spacing w:after="0" w:line="302" w:lineRule="auto"/>
        <w:tabs>
          <w:tab w:leader="none" w:pos="19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Notwithstanding Section 1.04(b) of this Article I, a notice may not be given by electronic transmission (including email) from and after the time: (i) the Corporation is unable to deliver by electronic transmission two (2) consecutive notices given by the Corporation;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 For purposes of these Bylaws, except as otherwise limited by applicable law, the term “</w:t>
      </w:r>
      <w:r>
        <w:rPr>
          <w:rFonts w:ascii="Arial" w:cs="Arial" w:eastAsia="Arial" w:hAnsi="Arial"/>
          <w:sz w:val="19"/>
          <w:szCs w:val="19"/>
          <w:u w:val="single" w:color="auto"/>
          <w:color w:val="auto"/>
        </w:rPr>
        <w:t>electronic transmission</w:t>
      </w:r>
      <w:r>
        <w:rPr>
          <w:rFonts w:ascii="Arial" w:cs="Arial" w:eastAsia="Arial" w:hAnsi="Arial"/>
          <w:sz w:val="19"/>
          <w:szCs w:val="19"/>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jc w:val="both"/>
        <w:ind w:firstLine="1505"/>
        <w:spacing w:after="0" w:line="276" w:lineRule="auto"/>
        <w:tabs>
          <w:tab w:leader="none" w:pos="1929"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written waiver of any notice of any annual or special meeting signed by the person entitled thereto, or a waiver by electronic transmission by the person entitled to notice, shall be deemed equivalent to notice. Neither the business to be transacted at, nor the purpose of, any annual or special meeting of the stockholders need be specified in a written waiver of notice. Attendance of a stockholder at a meeting of stockholders shall constitute a waiver of notice of such meeting, except when the stockholder attends a meeting for the express purpose of objecting, 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the beginning of the meeting, to the transaction of any business on the ground that the meeting is not lawfully called or convened.</w:t>
      </w:r>
    </w:p>
    <w:p>
      <w:pPr>
        <w:spacing w:after="0" w:line="268" w:lineRule="exact"/>
        <w:rPr>
          <w:sz w:val="20"/>
          <w:szCs w:val="20"/>
          <w:color w:val="auto"/>
        </w:rPr>
      </w:pPr>
    </w:p>
    <w:p>
      <w:pPr>
        <w:jc w:val="both"/>
        <w:ind w:firstLine="1505"/>
        <w:spacing w:after="0" w:line="317" w:lineRule="auto"/>
        <w:tabs>
          <w:tab w:leader="none" w:pos="1929"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 stockholder meeting is to be held by means of remote communication and stockholders will take action at such meeting, the notice of such meeting must: (i) specify the means of remote communication, if any, by which stockholders and proxyholders may be deemed to be present and vote at such meeting; and (ii) provide, or be accompanied by, the information required to access the stockholder list. A waiver of notice may be given by electronic transmission.</w:t>
      </w:r>
    </w:p>
    <w:p>
      <w:pPr>
        <w:spacing w:after="0" w:line="142" w:lineRule="exact"/>
        <w:rPr>
          <w:sz w:val="20"/>
          <w:szCs w:val="20"/>
          <w:color w:val="auto"/>
        </w:rPr>
      </w:pPr>
    </w:p>
    <w:p>
      <w:pPr>
        <w:jc w:val="both"/>
        <w:ind w:firstLine="1310"/>
        <w:spacing w:after="0" w:line="271"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Quorum</w:t>
      </w:r>
      <w:r>
        <w:rPr>
          <w:rFonts w:ascii="Arial" w:cs="Arial" w:eastAsia="Arial" w:hAnsi="Arial"/>
          <w:sz w:val="21"/>
          <w:szCs w:val="21"/>
          <w:color w:val="auto"/>
        </w:rPr>
        <w:t>. Except as otherwise required by law or by the Certificate of Incorporation or these Bylaws, at each meeting of stockholders the presence in person or by proxy of the holders of record of a majority in voting power of the shares entitled to vote at a meeting of stockholders shall constitute a quorum for the transaction of business at such meeting. Where a separate vote by one or more classes or series is required, the presence in person or by proxy of the holders of record of a majority in voting power of the shares entitled to vote shall constitute a quorum entitled to take action with respect to that vote on that matter. Shares of the corporation’s capital stock shall neither be entitled to vote nor counted for quorum purposes if such shares belong to (i) the corporation, (ii) another corporation, if a majority of the shares entitled to vote in the election of directors of such other corporation is held, directly or indirectly, by the corporation or (iii) any other entity, if a majority of the voting power of such other entity is otherwise controlled, directly or indirectly, by the corporation; provided, however, that the foregoing shall not limit the right of the corporation to vote stock, including but not limited to its own stock, held by it in a fiduciary capacity.</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Voting</w:t>
      </w:r>
      <w:r>
        <w:rPr>
          <w:rFonts w:ascii="Arial" w:cs="Arial" w:eastAsia="Arial" w:hAnsi="Arial"/>
          <w:sz w:val="22"/>
          <w:szCs w:val="22"/>
          <w:color w:val="auto"/>
        </w:rPr>
        <w:t>.</w:t>
      </w:r>
    </w:p>
    <w:p>
      <w:pPr>
        <w:spacing w:after="0" w:line="233" w:lineRule="exact"/>
        <w:rPr>
          <w:sz w:val="20"/>
          <w:szCs w:val="20"/>
          <w:color w:val="auto"/>
        </w:rPr>
      </w:pPr>
    </w:p>
    <w:p>
      <w:pPr>
        <w:jc w:val="both"/>
        <w:ind w:right="20" w:firstLine="1505"/>
        <w:spacing w:after="0" w:line="266" w:lineRule="auto"/>
        <w:tabs>
          <w:tab w:leader="none" w:pos="1929"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w:t>
      </w:r>
    </w:p>
    <w:p>
      <w:pPr>
        <w:spacing w:after="0" w:line="184" w:lineRule="exact"/>
        <w:rPr>
          <w:rFonts w:ascii="Arial" w:cs="Arial" w:eastAsia="Arial" w:hAnsi="Arial"/>
          <w:sz w:val="22"/>
          <w:szCs w:val="22"/>
          <w:color w:val="auto"/>
        </w:rPr>
      </w:pPr>
    </w:p>
    <w:p>
      <w:pPr>
        <w:ind w:firstLine="1505"/>
        <w:spacing w:after="0" w:line="259" w:lineRule="auto"/>
        <w:tabs>
          <w:tab w:leader="none" w:pos="1929"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Except as otherwise required by law, the Certificate of Incorporation or these Bylaws, directors shall be elected as set forth in Section 2.02 of these Bylaws. All other matters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pacing w:after="0" w:line="195" w:lineRule="exact"/>
        <w:rPr>
          <w:sz w:val="20"/>
          <w:szCs w:val="20"/>
          <w:color w:val="auto"/>
        </w:rPr>
      </w:pPr>
    </w:p>
    <w:p>
      <w:pPr>
        <w:jc w:val="both"/>
        <w:ind w:right="180" w:firstLine="1310"/>
        <w:spacing w:after="0" w:line="26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Voting by Ballot</w:t>
      </w:r>
      <w:r>
        <w:rPr>
          <w:rFonts w:ascii="Arial" w:cs="Arial" w:eastAsia="Arial" w:hAnsi="Arial"/>
          <w:sz w:val="22"/>
          <w:szCs w:val="22"/>
          <w:color w:val="auto"/>
        </w:rPr>
        <w:t>. No vote of the stockholders on an election of directors or any other matter need be taken by written ballot or by electronic transmission unless otherwise provided in the Certificate of Incorporation or required by law.</w:t>
      </w:r>
    </w:p>
    <w:p>
      <w:pPr>
        <w:spacing w:after="0" w:line="185" w:lineRule="exact"/>
        <w:rPr>
          <w:sz w:val="20"/>
          <w:szCs w:val="20"/>
          <w:color w:val="auto"/>
        </w:rPr>
      </w:pPr>
    </w:p>
    <w:p>
      <w:pPr>
        <w:jc w:val="both"/>
        <w:ind w:right="160" w:firstLine="1310"/>
        <w:spacing w:after="0" w:line="276"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Postponement and Adjournment</w:t>
      </w:r>
      <w:r>
        <w:rPr>
          <w:rFonts w:ascii="Arial" w:cs="Arial" w:eastAsia="Arial" w:hAnsi="Arial"/>
          <w:sz w:val="22"/>
          <w:szCs w:val="22"/>
          <w:color w:val="auto"/>
        </w:rPr>
        <w:t>. Any meeting of stockholders may be postponed, rescheduled or cancelled by action of the Board of Directors at any time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5" w:name="page66"/>
    <w:bookmarkEnd w:id="65"/>
    <w:p>
      <w:pPr>
        <w:ind w:right="20"/>
        <w:spacing w:after="0" w:line="302" w:lineRule="auto"/>
        <w:rPr>
          <w:sz w:val="20"/>
          <w:szCs w:val="20"/>
          <w:color w:val="auto"/>
        </w:rPr>
      </w:pPr>
      <w:r>
        <w:rPr>
          <w:rFonts w:ascii="Arial" w:cs="Arial" w:eastAsia="Arial" w:hAnsi="Arial"/>
          <w:sz w:val="19"/>
          <w:szCs w:val="19"/>
          <w:color w:val="auto"/>
        </w:rPr>
        <w:t>advance of such meeting. If a quorum is not present at any meeting of the stockholders, the Chairperson of such meeting shall have the power to adjourn the meeting without a vote of the stockholders. In the absence of a quorum, the stockholders so present may, by the affirmative vote of the holders of a majority in voting power of the shares of the Corporation which are present in person or by proxy and entitled to vote thereon, adjourn the meeting from time to time until a quorum shall attend. Notice of any adjourned meeting of the stockholders of the Corporation need not be given if the place, if any, date and hour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57" w:lineRule="exact"/>
        <w:rPr>
          <w:sz w:val="20"/>
          <w:szCs w:val="20"/>
          <w:color w:val="auto"/>
        </w:rPr>
      </w:pPr>
    </w:p>
    <w:p>
      <w:pPr>
        <w:jc w:val="both"/>
        <w:ind w:firstLine="1310"/>
        <w:spacing w:after="0" w:line="300"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Proxies</w:t>
      </w:r>
      <w:r>
        <w:rPr>
          <w:rFonts w:ascii="Arial" w:cs="Arial" w:eastAsia="Arial" w:hAnsi="Arial"/>
          <w:sz w:val="19"/>
          <w:szCs w:val="19"/>
          <w:color w:val="auto"/>
        </w:rPr>
        <w:t xml:space="preserve">. Any stockholder entitled to vote at any meeting of the stockholders may authorize another person or persons to vote at any such meeting and express such vote on behalf of such stockholder by proxy. A stockholder may authorize a valid proxy by executing a written instrument signed by such stockholder, or by causing such stockholder’s signature to be affixed to such writing by any reasonable means including, but not limited to, by transmitting or authorizing the transmission of a telegram, cablegram or other means of electronic transmission to the person designated as the holder of the proxy, a proxy solicitation firm or a like authorized agent. Such proxy must be filed with the Secretary of the Corporation before or at the time of the meeting at which such proxy will be voted. No such proxy shall be voted or acted upon after the expiration of three (3) years from the date of such proxy, unless such proxy provides for a longer period. A proxy shall be irrevocable if it states that it is irrevocable and if, and only as long as, it is coupled with an interest.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filing with the Secretary of the Corporation either an instrument in writing revoking the proxy or another duly executed proxy bearing a later date. Proxies by telegram, cablegram, or other electronic transmission must either set forth or be submitted with information from which it can be determined that the telegram, cablegram, or other electronic transmission was authorized by the stockholder. Any copy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copy or other reproduction shall be a complete reproduction of the entire original writing or transmission.</w:t>
      </w:r>
    </w:p>
    <w:p>
      <w:pPr>
        <w:spacing w:after="0" w:line="163"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Organization; Procedure</w:t>
      </w:r>
      <w:r>
        <w:rPr>
          <w:rFonts w:ascii="Arial" w:cs="Arial" w:eastAsia="Arial" w:hAnsi="Arial"/>
          <w:sz w:val="19"/>
          <w:szCs w:val="19"/>
          <w:color w:val="auto"/>
        </w:rPr>
        <w:t>. At every meeting of stockholders, the Chairperson of such meeting shall be the Chairperson of the Board or, if no Chairperson of the Board has been elected or in the event of his or her absence or disability, a Chairperson chosen by the Board of Directors. The Secretary of the Corporation, or in the event of his or her absence or disability, an Assistant Secretary, if any, or if there be no Assistant Secretary, in the absence of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6" w:name="page67"/>
    <w:bookmarkEnd w:id="66"/>
    <w:p>
      <w:pPr>
        <w:jc w:val="both"/>
        <w:spacing w:after="0" w:line="266" w:lineRule="auto"/>
        <w:rPr>
          <w:sz w:val="20"/>
          <w:szCs w:val="20"/>
          <w:color w:val="auto"/>
        </w:rPr>
      </w:pPr>
      <w:r>
        <w:rPr>
          <w:rFonts w:ascii="Arial" w:cs="Arial" w:eastAsia="Arial" w:hAnsi="Arial"/>
          <w:sz w:val="22"/>
          <w:szCs w:val="22"/>
          <w:color w:val="auto"/>
        </w:rPr>
        <w:t>Secretary of the Corporation, an appointee of the Chairperson of the meeting, shall act as Secretary of the meeting. The order of business and all other matters of procedure at every meeting of stockholders may be determined by the Chairperson of such meeting.</w:t>
      </w:r>
    </w:p>
    <w:p>
      <w:pPr>
        <w:spacing w:after="0" w:line="185"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Business at Annual and Special Meetings</w:t>
      </w:r>
      <w:r>
        <w:rPr>
          <w:rFonts w:ascii="Arial" w:cs="Arial" w:eastAsia="Arial" w:hAnsi="Arial"/>
          <w:sz w:val="22"/>
          <w:szCs w:val="22"/>
          <w:color w:val="auto"/>
        </w:rPr>
        <w:t>. No business may be transacted at an annual or special meeting of stockholders other than business that is:</w:t>
      </w:r>
    </w:p>
    <w:p>
      <w:pPr>
        <w:spacing w:after="0" w:line="174" w:lineRule="exact"/>
        <w:rPr>
          <w:sz w:val="20"/>
          <w:szCs w:val="20"/>
          <w:color w:val="auto"/>
        </w:rPr>
      </w:pPr>
    </w:p>
    <w:p>
      <w:pPr>
        <w:ind w:right="20" w:firstLine="1505"/>
        <w:spacing w:after="0" w:line="276" w:lineRule="auto"/>
        <w:tabs>
          <w:tab w:leader="none" w:pos="19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specified in a notice of meeting (or any supplement thereto) given by or at the direction of the Board of Directors or a duly authorized committee thereof,</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otherwise brought before the meeting by or at the direction of the Board of Directors or a duly authorized committee thereof or any authorized officer of the Corporation to whom the Board of Directors or such committee shall have delegated such authority, or</w:t>
      </w:r>
    </w:p>
    <w:p>
      <w:pPr>
        <w:spacing w:after="0" w:line="184" w:lineRule="exact"/>
        <w:rPr>
          <w:rFonts w:ascii="Arial" w:cs="Arial" w:eastAsia="Arial" w:hAnsi="Arial"/>
          <w:sz w:val="22"/>
          <w:szCs w:val="22"/>
          <w:color w:val="auto"/>
        </w:rPr>
      </w:pPr>
    </w:p>
    <w:p>
      <w:pPr>
        <w:ind w:right="60" w:firstLine="1505"/>
        <w:spacing w:after="0" w:line="276" w:lineRule="auto"/>
        <w:tabs>
          <w:tab w:leader="none" w:pos="19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otherwise brought before the meeting by a “Noticing Stockholder” who complies with the notice procedures set forth in Section 1.12 of these Bylaws.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Noticing Stockholder</w:t>
      </w:r>
      <w:r>
        <w:rPr>
          <w:rFonts w:ascii="Arial" w:cs="Arial" w:eastAsia="Arial" w:hAnsi="Arial"/>
          <w:sz w:val="22"/>
          <w:szCs w:val="22"/>
          <w:color w:val="auto"/>
        </w:rPr>
        <w:t>” must be a “Record Holder”. A “</w:t>
      </w:r>
      <w:r>
        <w:rPr>
          <w:rFonts w:ascii="Arial" w:cs="Arial" w:eastAsia="Arial" w:hAnsi="Arial"/>
          <w:sz w:val="22"/>
          <w:szCs w:val="22"/>
          <w:u w:val="single" w:color="auto"/>
          <w:color w:val="auto"/>
        </w:rPr>
        <w:t>Record Holder</w:t>
      </w:r>
      <w:r>
        <w:rPr>
          <w:rFonts w:ascii="Arial" w:cs="Arial" w:eastAsia="Arial" w:hAnsi="Arial"/>
          <w:sz w:val="22"/>
          <w:szCs w:val="22"/>
          <w:color w:val="auto"/>
        </w:rPr>
        <w:t>” is a stockholder that holds of record stock of the Corporation entitled to vote at the meeting on the business (including any election of a director) to be appropriately conducted at the meeting. Clause (c) of this Section 1.11 shall be the exclusive means for a Noticing Stockholder to make director nominations or submit other business before a meeting of stockholders (other than proposals brought under Rule 14a-8 under the Securities Exchange Act of 1934, as amended (the “Exchange Act”) and included in the Corporation’s notice of meeting, which proposals are not governed by these Bylaws). Notwithstanding anything in these Bylaws to the contrary, no business shall be conducted at a stockholders’ meeting except in accordance with the procedures set forth in Section 1.11 and Section 1.12 of these Bylaws.</w:t>
      </w:r>
    </w:p>
    <w:p>
      <w:pPr>
        <w:spacing w:after="0" w:line="192"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 In order for a Noticing Stockholder to properly bring any item of business before a meeting of stockholders, the Noticing Stockholder must give timely notice thereof in writing to the Secretary of the Corporation in compliance with the requirements of this Section 1.12. This Section 1.12 shall constitute an “advance notice provision” for annual meetings for purposes of Rule 14a-4(c)(1) under the Exchange Act.</w:t>
      </w:r>
    </w:p>
    <w:p>
      <w:pPr>
        <w:spacing w:after="0" w:line="142" w:lineRule="exact"/>
        <w:rPr>
          <w:sz w:val="20"/>
          <w:szCs w:val="20"/>
          <w:color w:val="auto"/>
        </w:rPr>
      </w:pPr>
    </w:p>
    <w:p>
      <w:pPr>
        <w:ind w:right="20" w:firstLine="1505"/>
        <w:spacing w:after="0" w:line="276" w:lineRule="auto"/>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be timely, a Noticing Stockholder’s notice shall be delivered to the Secretary at the principal executive offices of the Corporation:</w:t>
      </w:r>
    </w:p>
    <w:p>
      <w:pPr>
        <w:spacing w:after="0" w:line="174" w:lineRule="exact"/>
        <w:rPr>
          <w:rFonts w:ascii="Arial" w:cs="Arial" w:eastAsia="Arial" w:hAnsi="Arial"/>
          <w:sz w:val="22"/>
          <w:szCs w:val="22"/>
          <w:color w:val="auto"/>
        </w:rPr>
      </w:pPr>
    </w:p>
    <w:p>
      <w:pPr>
        <w:ind w:left="760" w:firstLine="1494"/>
        <w:spacing w:after="0" w:line="273" w:lineRule="auto"/>
        <w:tabs>
          <w:tab w:leader="none" w:pos="2515" w:val="left"/>
        </w:tabs>
        <w:numPr>
          <w:ilvl w:val="1"/>
          <w:numId w:val="45"/>
        </w:numPr>
        <w:rPr>
          <w:rFonts w:ascii="Arial" w:cs="Arial" w:eastAsia="Arial" w:hAnsi="Arial"/>
          <w:sz w:val="21"/>
          <w:szCs w:val="21"/>
          <w:color w:val="auto"/>
        </w:rPr>
      </w:pPr>
      <w:r>
        <w:rPr>
          <w:rFonts w:ascii="Arial" w:cs="Arial" w:eastAsia="Arial" w:hAnsi="Arial"/>
          <w:sz w:val="21"/>
          <w:szCs w:val="21"/>
          <w:color w:val="auto"/>
        </w:rPr>
        <w:t>in the case of an annual meeting of stockholders, not earlier than the open of business on the one-hundred twentieth (120th) day and not later than the close of business on the ninetieth (90th) day prior to the first anniversary of the preceding year’s annual meeting (which date shall be May 30, 2021 for purposes of the Corporation’s first annual meeting of stockholders after its shares of stock are first publicly traded); provided, however, that in the event the date of the annual meeting is more than thirty (30) days before or more than sixty (60) days after such anniversary date, notice by the stockholder to be timely must be so delivered not earlier than the open of business on the one-hundred twentieth (120th) day prior to the date of such annual meeting and not later than the close of business on the later of the ninetieth (90th) day prior to the date of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7" w:name="page68"/>
    <w:bookmarkEnd w:id="67"/>
    <w:p>
      <w:pPr>
        <w:ind w:left="760" w:right="120"/>
        <w:spacing w:after="0" w:line="284" w:lineRule="auto"/>
        <w:rPr>
          <w:sz w:val="20"/>
          <w:szCs w:val="20"/>
          <w:color w:val="auto"/>
        </w:rPr>
      </w:pPr>
      <w:r>
        <w:rPr>
          <w:rFonts w:ascii="Arial" w:cs="Arial" w:eastAsia="Arial" w:hAnsi="Arial"/>
          <w:sz w:val="21"/>
          <w:szCs w:val="21"/>
          <w:color w:val="auto"/>
        </w:rPr>
        <w:t>annual meeting or, if the first public announcement by the Corporation of the date of such annual meeting is less than one hundred (100) days prior to the date of such annual meeting, the tenth (10th) day following the day on which public announcement of the date of such meeting is first made by the Corporation;</w:t>
      </w:r>
    </w:p>
    <w:p>
      <w:pPr>
        <w:spacing w:after="0" w:line="169" w:lineRule="exact"/>
        <w:rPr>
          <w:sz w:val="20"/>
          <w:szCs w:val="20"/>
          <w:color w:val="auto"/>
        </w:rPr>
      </w:pPr>
    </w:p>
    <w:p>
      <w:pPr>
        <w:jc w:val="both"/>
        <w:ind w:left="760" w:firstLine="1494"/>
        <w:spacing w:after="0" w:line="276" w:lineRule="auto"/>
        <w:tabs>
          <w:tab w:leader="none" w:pos="2604" w:val="left"/>
        </w:tabs>
        <w:numPr>
          <w:ilvl w:val="1"/>
          <w:numId w:val="46"/>
        </w:numPr>
        <w:rPr>
          <w:rFonts w:ascii="Arial" w:cs="Arial" w:eastAsia="Arial" w:hAnsi="Arial"/>
          <w:sz w:val="21"/>
          <w:szCs w:val="21"/>
          <w:color w:val="auto"/>
        </w:rPr>
      </w:pPr>
      <w:r>
        <w:rPr>
          <w:rFonts w:ascii="Arial" w:cs="Arial" w:eastAsia="Arial" w:hAnsi="Arial"/>
          <w:sz w:val="21"/>
          <w:szCs w:val="21"/>
          <w:color w:val="auto"/>
        </w:rPr>
        <w:t>in the case of a special meeting of stockholders called for the purpose of electing directors, not earlier than the open of business on the one-hundred twentieth (120th) day prior to such special meeting and not later than the close of business on the later of the ninetieth (90th) day prior to such special meeting or the tenth (10th) day following the date on which notice of the date of the special meeting was mailed or public disclosure of the date of the special meeting was made by the Corporation, whichever first occurs; and</w:t>
      </w:r>
    </w:p>
    <w:p>
      <w:pPr>
        <w:spacing w:after="0" w:line="177" w:lineRule="exact"/>
        <w:rPr>
          <w:rFonts w:ascii="Arial" w:cs="Arial" w:eastAsia="Arial" w:hAnsi="Arial"/>
          <w:sz w:val="21"/>
          <w:szCs w:val="21"/>
          <w:color w:val="auto"/>
        </w:rPr>
      </w:pPr>
    </w:p>
    <w:p>
      <w:pPr>
        <w:jc w:val="both"/>
        <w:ind w:left="760" w:firstLine="1494"/>
        <w:spacing w:after="0" w:line="266" w:lineRule="auto"/>
        <w:tabs>
          <w:tab w:leader="none" w:pos="2686" w:val="left"/>
        </w:tabs>
        <w:numPr>
          <w:ilvl w:val="1"/>
          <w:numId w:val="46"/>
        </w:numPr>
        <w:rPr>
          <w:rFonts w:ascii="Arial" w:cs="Arial" w:eastAsia="Arial" w:hAnsi="Arial"/>
          <w:sz w:val="22"/>
          <w:szCs w:val="22"/>
          <w:color w:val="auto"/>
        </w:rPr>
      </w:pPr>
      <w:r>
        <w:rPr>
          <w:rFonts w:ascii="Arial" w:cs="Arial" w:eastAsia="Arial" w:hAnsi="Arial"/>
          <w:sz w:val="22"/>
          <w:szCs w:val="22"/>
          <w:color w:val="auto"/>
        </w:rPr>
        <w:t>in no event shall any adjournment or postponement of an annual or special meeting, or the announcement thereof, commence a new time period (or extend the time period) for the giving of a stockholder’s notice as described above.</w:t>
      </w:r>
    </w:p>
    <w:p>
      <w:pPr>
        <w:spacing w:after="0" w:line="184" w:lineRule="exact"/>
        <w:rPr>
          <w:rFonts w:ascii="Arial" w:cs="Arial" w:eastAsia="Arial" w:hAnsi="Arial"/>
          <w:sz w:val="22"/>
          <w:szCs w:val="22"/>
          <w:color w:val="auto"/>
        </w:rPr>
      </w:pPr>
    </w:p>
    <w:p>
      <w:pPr>
        <w:ind w:right="40" w:firstLine="1505"/>
        <w:spacing w:after="0" w:line="276" w:lineRule="auto"/>
        <w:tabs>
          <w:tab w:leader="none" w:pos="19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be in proper form, whether in regard to a nominee for election to the Board of Directors or other business, a Noticing Stockholder’s notice to the Secretary must:</w:t>
      </w:r>
    </w:p>
    <w:p>
      <w:pPr>
        <w:spacing w:after="0" w:line="174" w:lineRule="exact"/>
        <w:rPr>
          <w:rFonts w:ascii="Arial" w:cs="Arial" w:eastAsia="Arial" w:hAnsi="Arial"/>
          <w:sz w:val="22"/>
          <w:szCs w:val="22"/>
          <w:color w:val="auto"/>
        </w:rPr>
      </w:pPr>
    </w:p>
    <w:p>
      <w:pPr>
        <w:ind w:left="760" w:firstLine="1494"/>
        <w:spacing w:after="0" w:line="276" w:lineRule="auto"/>
        <w:tabs>
          <w:tab w:leader="none" w:pos="2521" w:val="left"/>
        </w:tabs>
        <w:numPr>
          <w:ilvl w:val="1"/>
          <w:numId w:val="47"/>
        </w:numPr>
        <w:rPr>
          <w:rFonts w:ascii="Arial" w:cs="Arial" w:eastAsia="Arial" w:hAnsi="Arial"/>
          <w:sz w:val="22"/>
          <w:szCs w:val="22"/>
          <w:color w:val="auto"/>
        </w:rPr>
      </w:pPr>
      <w:r>
        <w:rPr>
          <w:rFonts w:ascii="Arial" w:cs="Arial" w:eastAsia="Arial" w:hAnsi="Arial"/>
          <w:sz w:val="22"/>
          <w:szCs w:val="22"/>
          <w:color w:val="auto"/>
        </w:rPr>
        <w:t>set forth, as to the Noticing Stockholder, the following information together with a representation as to the accuracy of the information:</w:t>
      </w:r>
    </w:p>
    <w:p>
      <w:pPr>
        <w:spacing w:after="0" w:line="174" w:lineRule="exact"/>
        <w:rPr>
          <w:rFonts w:ascii="Arial" w:cs="Arial" w:eastAsia="Arial" w:hAnsi="Arial"/>
          <w:sz w:val="22"/>
          <w:szCs w:val="22"/>
          <w:color w:val="auto"/>
        </w:rPr>
      </w:pPr>
    </w:p>
    <w:p>
      <w:pPr>
        <w:ind w:left="3440" w:hanging="437"/>
        <w:spacing w:after="0"/>
        <w:tabs>
          <w:tab w:leader="none" w:pos="3440" w:val="left"/>
        </w:tabs>
        <w:numPr>
          <w:ilvl w:val="2"/>
          <w:numId w:val="47"/>
        </w:numPr>
        <w:rPr>
          <w:rFonts w:ascii="Arial" w:cs="Arial" w:eastAsia="Arial" w:hAnsi="Arial"/>
          <w:sz w:val="19"/>
          <w:szCs w:val="19"/>
          <w:color w:val="auto"/>
        </w:rPr>
      </w:pPr>
      <w:r>
        <w:rPr>
          <w:rFonts w:ascii="Arial" w:cs="Arial" w:eastAsia="Arial" w:hAnsi="Arial"/>
          <w:sz w:val="19"/>
          <w:szCs w:val="19"/>
          <w:color w:val="auto"/>
        </w:rPr>
        <w:t>the name and address of the Noticing Stockholder as they appear on the Corporation’s</w:t>
      </w:r>
    </w:p>
    <w:p>
      <w:pPr>
        <w:spacing w:after="0" w:line="5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books (the “</w:t>
      </w:r>
      <w:r>
        <w:rPr>
          <w:rFonts w:ascii="Arial" w:cs="Arial" w:eastAsia="Arial" w:hAnsi="Arial"/>
          <w:sz w:val="22"/>
          <w:szCs w:val="22"/>
          <w:u w:val="single" w:color="auto"/>
          <w:color w:val="auto"/>
        </w:rPr>
        <w:t>Holder</w:t>
      </w:r>
      <w:r>
        <w:rPr>
          <w:rFonts w:ascii="Arial" w:cs="Arial" w:eastAsia="Arial" w:hAnsi="Arial"/>
          <w:sz w:val="22"/>
          <w:szCs w:val="22"/>
          <w:color w:val="auto"/>
        </w:rPr>
        <w:t>”);</w:t>
      </w:r>
    </w:p>
    <w:p>
      <w:pPr>
        <w:spacing w:after="0" w:line="228" w:lineRule="exact"/>
        <w:rPr>
          <w:rFonts w:ascii="Arial" w:cs="Arial" w:eastAsia="Arial" w:hAnsi="Arial"/>
          <w:sz w:val="19"/>
          <w:szCs w:val="19"/>
          <w:color w:val="auto"/>
        </w:rPr>
      </w:pPr>
    </w:p>
    <w:p>
      <w:pPr>
        <w:jc w:val="both"/>
        <w:ind w:left="760" w:firstLine="2243"/>
        <w:spacing w:after="0" w:line="308" w:lineRule="auto"/>
        <w:tabs>
          <w:tab w:leader="none" w:pos="3438" w:val="left"/>
        </w:tabs>
        <w:numPr>
          <w:ilvl w:val="2"/>
          <w:numId w:val="47"/>
        </w:numPr>
        <w:rPr>
          <w:rFonts w:ascii="Arial" w:cs="Arial" w:eastAsia="Arial" w:hAnsi="Arial"/>
          <w:sz w:val="19"/>
          <w:szCs w:val="19"/>
          <w:color w:val="auto"/>
        </w:rPr>
      </w:pPr>
      <w:r>
        <w:rPr>
          <w:rFonts w:ascii="Arial" w:cs="Arial" w:eastAsia="Arial" w:hAnsi="Arial"/>
          <w:sz w:val="19"/>
          <w:szCs w:val="19"/>
          <w:color w:val="auto"/>
        </w:rPr>
        <w:t>the class or series and number of shares of the Corporation that are, directly or indirectly, owned of record or beneficially owned (within the meaning of Rule 13d-3 under the Exchange Act) by the Holder or any Stockholder Associated Person of the Noticing Stockholder (except that such Holder or Stockholder Associated Person of the Noticing Stockholder shall in all events be deemed to beneficially own any shares of any class or series of the Corporation as to which such Holder or Stockholder Associated Person of the Noticing Stockholder has a right to acquire beneficial ownership at any time in the future) and the date such ownership was acquired;</w:t>
      </w:r>
    </w:p>
    <w:p>
      <w:pPr>
        <w:spacing w:after="0" w:line="153" w:lineRule="exact"/>
        <w:rPr>
          <w:rFonts w:ascii="Arial" w:cs="Arial" w:eastAsia="Arial" w:hAnsi="Arial"/>
          <w:sz w:val="19"/>
          <w:szCs w:val="19"/>
          <w:color w:val="auto"/>
        </w:rPr>
      </w:pPr>
    </w:p>
    <w:p>
      <w:pPr>
        <w:jc w:val="both"/>
        <w:ind w:left="760" w:firstLine="2243"/>
        <w:spacing w:after="0" w:line="273" w:lineRule="auto"/>
        <w:tabs>
          <w:tab w:leader="none" w:pos="3438" w:val="left"/>
        </w:tabs>
        <w:numPr>
          <w:ilvl w:val="2"/>
          <w:numId w:val="47"/>
        </w:numPr>
        <w:rPr>
          <w:rFonts w:ascii="Arial" w:cs="Arial" w:eastAsia="Arial" w:hAnsi="Arial"/>
          <w:sz w:val="21"/>
          <w:szCs w:val="21"/>
          <w:color w:val="auto"/>
        </w:rPr>
      </w:pPr>
      <w:r>
        <w:rPr>
          <w:rFonts w:ascii="Arial" w:cs="Arial" w:eastAsia="Arial" w:hAnsi="Arial"/>
          <w:sz w:val="21"/>
          <w:szCs w:val="21"/>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price, value or volatility of any class or series of shares of the Corporation, whether or not the instrument or right shall be subject to settlement in the underlying class or series of capital stock of the Corporation or otherwise (a “</w:t>
      </w:r>
      <w:r>
        <w:rPr>
          <w:rFonts w:ascii="Arial" w:cs="Arial" w:eastAsia="Arial" w:hAnsi="Arial"/>
          <w:sz w:val="21"/>
          <w:szCs w:val="21"/>
          <w:u w:val="single" w:color="auto"/>
          <w:color w:val="auto"/>
        </w:rPr>
        <w:t>Derivative Instrument</w:t>
      </w:r>
      <w:r>
        <w:rPr>
          <w:rFonts w:ascii="Arial" w:cs="Arial" w:eastAsia="Arial" w:hAnsi="Arial"/>
          <w:sz w:val="21"/>
          <w:szCs w:val="21"/>
          <w:color w:val="auto"/>
        </w:rPr>
        <w:t>”) that is directly or indirectly owned beneficially by the Holder or any Stockholder Associated Person of the Noticing Stockholder and any other direct or indirect opportunity to profit or share in any profit derived from any increase or decrease in the price, value or volatility of shares of the Corporation;</w:t>
      </w:r>
    </w:p>
    <w:p>
      <w:pPr>
        <w:spacing w:after="0" w:line="178" w:lineRule="exact"/>
        <w:rPr>
          <w:rFonts w:ascii="Arial" w:cs="Arial" w:eastAsia="Arial" w:hAnsi="Arial"/>
          <w:sz w:val="21"/>
          <w:szCs w:val="21"/>
          <w:color w:val="auto"/>
        </w:rPr>
      </w:pPr>
    </w:p>
    <w:p>
      <w:pPr>
        <w:ind w:left="760" w:right="40" w:firstLine="2243"/>
        <w:spacing w:after="0" w:line="276" w:lineRule="auto"/>
        <w:tabs>
          <w:tab w:leader="none" w:pos="3438" w:val="left"/>
        </w:tabs>
        <w:numPr>
          <w:ilvl w:val="2"/>
          <w:numId w:val="47"/>
        </w:numPr>
        <w:rPr>
          <w:rFonts w:ascii="Arial" w:cs="Arial" w:eastAsia="Arial" w:hAnsi="Arial"/>
          <w:sz w:val="22"/>
          <w:szCs w:val="22"/>
          <w:color w:val="auto"/>
        </w:rPr>
      </w:pPr>
      <w:r>
        <w:rPr>
          <w:rFonts w:ascii="Arial" w:cs="Arial" w:eastAsia="Arial" w:hAnsi="Arial"/>
          <w:sz w:val="22"/>
          <w:szCs w:val="22"/>
          <w:color w:val="auto"/>
        </w:rPr>
        <w:t>any proxy, contract, arrangement, understanding or relationship pursuant to which the Holder or Stockholder Associated Person of the Noticing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68" w:name="page69"/>
    <w:bookmarkEnd w:id="68"/>
    <w:p>
      <w:pPr>
        <w:ind w:left="760"/>
        <w:spacing w:after="0"/>
        <w:rPr>
          <w:sz w:val="20"/>
          <w:szCs w:val="20"/>
          <w:color w:val="auto"/>
        </w:rPr>
      </w:pPr>
      <w:r>
        <w:rPr>
          <w:rFonts w:ascii="Arial" w:cs="Arial" w:eastAsia="Arial" w:hAnsi="Arial"/>
          <w:sz w:val="22"/>
          <w:szCs w:val="22"/>
          <w:color w:val="auto"/>
        </w:rPr>
        <w:t>Stockholder has a right to vote or has granted a right to vote any shares of any security of the Corporation;</w:t>
      </w:r>
    </w:p>
    <w:p>
      <w:pPr>
        <w:spacing w:after="0" w:line="233" w:lineRule="exact"/>
        <w:rPr>
          <w:sz w:val="20"/>
          <w:szCs w:val="20"/>
          <w:color w:val="auto"/>
        </w:rPr>
      </w:pPr>
    </w:p>
    <w:p>
      <w:pPr>
        <w:jc w:val="both"/>
        <w:ind w:left="760" w:firstLine="2243"/>
        <w:spacing w:after="0" w:line="317" w:lineRule="auto"/>
        <w:tabs>
          <w:tab w:leader="none" w:pos="3438"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short interest in any security of the Corporation (for purposes of these Bylaws a person shall be deemed to have a short interest in a security if the Holder or any Stockholder Associated Person of the Noticing Stockholder directly or indirectly, through any contract, arrangement, understanding, relationship or otherwise, has the opportunity to profit or share in any profit derived from any decrease in the value of the subject security);</w:t>
      </w:r>
    </w:p>
    <w:p>
      <w:pPr>
        <w:spacing w:after="0" w:line="141" w:lineRule="exact"/>
        <w:rPr>
          <w:rFonts w:ascii="Arial" w:cs="Arial" w:eastAsia="Arial" w:hAnsi="Arial"/>
          <w:sz w:val="19"/>
          <w:szCs w:val="19"/>
          <w:color w:val="auto"/>
        </w:rPr>
      </w:pPr>
    </w:p>
    <w:p>
      <w:pPr>
        <w:ind w:left="760" w:firstLine="2243"/>
        <w:spacing w:after="0" w:line="266" w:lineRule="auto"/>
        <w:tabs>
          <w:tab w:leader="none" w:pos="343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rights to dividends on the shares of any security of the Corporation owned beneficially by the Holder or any Stockholder Associated Person of the Noticing Stockholder that are separated or separable from the underlying shares of the Corporation;</w:t>
      </w:r>
    </w:p>
    <w:p>
      <w:pPr>
        <w:spacing w:after="0" w:line="184" w:lineRule="exact"/>
        <w:rPr>
          <w:rFonts w:ascii="Arial" w:cs="Arial" w:eastAsia="Arial" w:hAnsi="Arial"/>
          <w:sz w:val="22"/>
          <w:szCs w:val="22"/>
          <w:color w:val="auto"/>
        </w:rPr>
      </w:pPr>
    </w:p>
    <w:p>
      <w:pPr>
        <w:jc w:val="both"/>
        <w:ind w:left="760" w:firstLine="2243"/>
        <w:spacing w:after="0" w:line="311" w:lineRule="auto"/>
        <w:tabs>
          <w:tab w:leader="none" w:pos="3438"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proportionate interest in shares of the Corporation or Derivative Instruments held, directly or indirectly, by a general or limited partnership or limited liability company or similar entity in which the Holder or any Stockholder Associated Person of the Noticing Stockholder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150" w:lineRule="exact"/>
        <w:rPr>
          <w:rFonts w:ascii="Arial" w:cs="Arial" w:eastAsia="Arial" w:hAnsi="Arial"/>
          <w:sz w:val="19"/>
          <w:szCs w:val="19"/>
          <w:color w:val="auto"/>
        </w:rPr>
      </w:pPr>
    </w:p>
    <w:p>
      <w:pPr>
        <w:jc w:val="both"/>
        <w:ind w:left="760" w:firstLine="2243"/>
        <w:spacing w:after="0" w:line="266" w:lineRule="auto"/>
        <w:tabs>
          <w:tab w:leader="none" w:pos="343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performance-related fees (other than an asset-based fee) that the Holder or any Stockholder Associated Person of the Noticing Stockholder is entitled to based on any increase or decrease in the value of shares of the Corporation or Derivative Instruments or short interests, if any;</w:t>
      </w:r>
    </w:p>
    <w:p>
      <w:pPr>
        <w:spacing w:after="0" w:line="184" w:lineRule="exact"/>
        <w:rPr>
          <w:rFonts w:ascii="Arial" w:cs="Arial" w:eastAsia="Arial" w:hAnsi="Arial"/>
          <w:sz w:val="22"/>
          <w:szCs w:val="22"/>
          <w:color w:val="auto"/>
        </w:rPr>
      </w:pPr>
    </w:p>
    <w:p>
      <w:pPr>
        <w:ind w:left="760" w:right="40" w:firstLine="2243"/>
        <w:spacing w:after="0" w:line="276" w:lineRule="auto"/>
        <w:tabs>
          <w:tab w:leader="none" w:pos="343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arrangements, rights, or other interests described in Sections 1.12(b)(i)(C)-(H) held by members of such Holder’s immediate family sharing the same household;</w:t>
      </w:r>
    </w:p>
    <w:p>
      <w:pPr>
        <w:spacing w:after="0" w:line="174" w:lineRule="exact"/>
        <w:rPr>
          <w:rFonts w:ascii="Arial" w:cs="Arial" w:eastAsia="Arial" w:hAnsi="Arial"/>
          <w:sz w:val="22"/>
          <w:szCs w:val="22"/>
          <w:color w:val="auto"/>
        </w:rPr>
      </w:pPr>
    </w:p>
    <w:p>
      <w:pPr>
        <w:jc w:val="both"/>
        <w:ind w:left="760" w:firstLine="2243"/>
        <w:spacing w:after="0" w:line="311" w:lineRule="auto"/>
        <w:tabs>
          <w:tab w:leader="none" w:pos="3438"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representation that the Noticing Stockholder intends to appear in person or by proxy at the meeting to nominate the person(s) named or propose the business specified in the notice and whether or not such stockholder intends to deliver a proxy statement and/or form of proxy to holders of at least the percentage of the Corporation’s outstanding shares required to approve the nomination(s) or the business proposed and/or otherwise to solicit proxies from stockholders in support of the nomination(s) or the business proposed;</w:t>
      </w:r>
    </w:p>
    <w:p>
      <w:pPr>
        <w:spacing w:after="0" w:line="150" w:lineRule="exact"/>
        <w:rPr>
          <w:rFonts w:ascii="Arial" w:cs="Arial" w:eastAsia="Arial" w:hAnsi="Arial"/>
          <w:sz w:val="19"/>
          <w:szCs w:val="19"/>
          <w:color w:val="auto"/>
        </w:rPr>
      </w:pPr>
    </w:p>
    <w:p>
      <w:pPr>
        <w:jc w:val="both"/>
        <w:ind w:left="760" w:firstLine="2243"/>
        <w:spacing w:after="0" w:line="261" w:lineRule="auto"/>
        <w:tabs>
          <w:tab w:leader="none" w:pos="343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certification regarding whether or not such Holder and any Stockholder Associated Person of the Noticing Stockholder have complied with all applicable federal, state and other legal requirements in connection with such Holder’s and/or Stockholder Associated Persons’ acquisition of shares or other securities of the Corporation and/or such Holder’s and/or Stockholder Associated Persons’ acts or omissions as a stockholder of the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9" w:name="page70"/>
    <w:bookmarkEnd w:id="69"/>
    <w:p>
      <w:pPr>
        <w:jc w:val="both"/>
        <w:ind w:left="760" w:firstLine="2243"/>
        <w:spacing w:after="0" w:line="317" w:lineRule="auto"/>
        <w:tabs>
          <w:tab w:leader="none" w:pos="343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other information relating to the Holder and/or Stockholder Associated Person of the Noticing Stockholder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thereunder; and</w:t>
      </w:r>
    </w:p>
    <w:p>
      <w:pPr>
        <w:spacing w:after="0" w:line="141" w:lineRule="exact"/>
        <w:rPr>
          <w:rFonts w:ascii="Arial" w:cs="Arial" w:eastAsia="Arial" w:hAnsi="Arial"/>
          <w:sz w:val="19"/>
          <w:szCs w:val="19"/>
          <w:color w:val="auto"/>
        </w:rPr>
      </w:pPr>
    </w:p>
    <w:p>
      <w:pPr>
        <w:ind w:left="3440" w:hanging="437"/>
        <w:spacing w:after="0"/>
        <w:tabs>
          <w:tab w:leader="none" w:pos="34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other information as reasonably requested by the Corporation.</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Such information shall be provided as of the date of the notice and shall be supplemented by the Holder not later than ten (10) days after the record date for the meeting to disclose such ownership as of the record date.</w:t>
      </w:r>
    </w:p>
    <w:p>
      <w:pPr>
        <w:spacing w:after="0" w:line="174" w:lineRule="exact"/>
        <w:rPr>
          <w:sz w:val="20"/>
          <w:szCs w:val="20"/>
          <w:color w:val="auto"/>
        </w:rPr>
      </w:pPr>
    </w:p>
    <w:p>
      <w:pPr>
        <w:ind w:left="760" w:firstLine="1494"/>
        <w:spacing w:after="0" w:line="276" w:lineRule="auto"/>
        <w:tabs>
          <w:tab w:leader="none" w:pos="2613"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notice relates to any business other than a nomination of a director or directors that the stockholder proposes to bring before the meeting, the notice must set forth:</w:t>
      </w:r>
    </w:p>
    <w:p>
      <w:pPr>
        <w:spacing w:after="0" w:line="174" w:lineRule="exact"/>
        <w:rPr>
          <w:rFonts w:ascii="Arial" w:cs="Arial" w:eastAsia="Arial" w:hAnsi="Arial"/>
          <w:sz w:val="22"/>
          <w:szCs w:val="22"/>
          <w:color w:val="auto"/>
        </w:rPr>
      </w:pPr>
    </w:p>
    <w:p>
      <w:pPr>
        <w:jc w:val="both"/>
        <w:ind w:left="760" w:right="20" w:firstLine="2243"/>
        <w:spacing w:after="0" w:line="262" w:lineRule="auto"/>
        <w:tabs>
          <w:tab w:leader="none" w:pos="3438" w:val="left"/>
        </w:tabs>
        <w:numPr>
          <w:ilvl w:val="1"/>
          <w:numId w:val="50"/>
        </w:numPr>
        <w:rPr>
          <w:rFonts w:ascii="Arial" w:cs="Arial" w:eastAsia="Arial" w:hAnsi="Arial"/>
          <w:sz w:val="22"/>
          <w:szCs w:val="22"/>
          <w:color w:val="auto"/>
        </w:rPr>
      </w:pPr>
      <w:r>
        <w:rPr>
          <w:rFonts w:ascii="Arial" w:cs="Arial" w:eastAsia="Arial" w:hAnsi="Arial"/>
          <w:sz w:val="22"/>
          <w:szCs w:val="22"/>
          <w:color w:val="auto"/>
        </w:rPr>
        <w:t>a reasonably detailed description of the business desired to be brought before the meeting (including the text of any resolutions proposed for consideration), the reasons for conducting such business at the meeting, and any material direct or indirect interest of the Holder or any Stockholder Associated Persons in such business; and</w:t>
      </w:r>
    </w:p>
    <w:p>
      <w:pPr>
        <w:spacing w:after="0" w:line="191" w:lineRule="exact"/>
        <w:rPr>
          <w:rFonts w:ascii="Arial" w:cs="Arial" w:eastAsia="Arial" w:hAnsi="Arial"/>
          <w:sz w:val="22"/>
          <w:szCs w:val="22"/>
          <w:color w:val="auto"/>
        </w:rPr>
      </w:pPr>
    </w:p>
    <w:p>
      <w:pPr>
        <w:jc w:val="both"/>
        <w:ind w:left="760" w:firstLine="2243"/>
        <w:spacing w:after="0" w:line="266" w:lineRule="auto"/>
        <w:tabs>
          <w:tab w:leader="none" w:pos="3438" w:val="left"/>
        </w:tabs>
        <w:numPr>
          <w:ilvl w:val="1"/>
          <w:numId w:val="50"/>
        </w:numPr>
        <w:rPr>
          <w:rFonts w:ascii="Arial" w:cs="Arial" w:eastAsia="Arial" w:hAnsi="Arial"/>
          <w:sz w:val="22"/>
          <w:szCs w:val="22"/>
          <w:color w:val="auto"/>
        </w:rPr>
      </w:pPr>
      <w:r>
        <w:rPr>
          <w:rFonts w:ascii="Arial" w:cs="Arial" w:eastAsia="Arial" w:hAnsi="Arial"/>
          <w:sz w:val="22"/>
          <w:szCs w:val="22"/>
          <w:color w:val="auto"/>
        </w:rPr>
        <w:t>a reasonably detailed description of all agreements, arrangements and understandings, direct and indirect, between the Holder, and any other person or persons (including their names) in connection with the proposal of such business by the Holder.</w:t>
      </w:r>
    </w:p>
    <w:p>
      <w:pPr>
        <w:spacing w:after="0" w:line="184" w:lineRule="exact"/>
        <w:rPr>
          <w:rFonts w:ascii="Arial" w:cs="Arial" w:eastAsia="Arial" w:hAnsi="Arial"/>
          <w:sz w:val="22"/>
          <w:szCs w:val="22"/>
          <w:color w:val="auto"/>
        </w:rPr>
      </w:pPr>
    </w:p>
    <w:p>
      <w:pPr>
        <w:ind w:left="760" w:firstLine="1494"/>
        <w:spacing w:after="0" w:line="276" w:lineRule="auto"/>
        <w:tabs>
          <w:tab w:leader="none" w:pos="2635"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set forth, as to each person, if any, whom the Holder proposes to nominate for election or reelection to the Board of Directors:</w:t>
      </w:r>
    </w:p>
    <w:p>
      <w:pPr>
        <w:spacing w:after="0" w:line="174" w:lineRule="exact"/>
        <w:rPr>
          <w:rFonts w:ascii="Arial" w:cs="Arial" w:eastAsia="Arial" w:hAnsi="Arial"/>
          <w:sz w:val="22"/>
          <w:szCs w:val="22"/>
          <w:color w:val="auto"/>
        </w:rPr>
      </w:pPr>
    </w:p>
    <w:p>
      <w:pPr>
        <w:jc w:val="both"/>
        <w:ind w:left="760" w:firstLine="2243"/>
        <w:spacing w:after="0" w:line="266" w:lineRule="auto"/>
        <w:tabs>
          <w:tab w:leader="none" w:pos="3438"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information with respect to such proposed nominee that would be required to be set forth in a Noticing Stockholder’s notice pursuant to this Section 1.12 if such proposed nominee were a Noticing Stockholder;</w:t>
      </w:r>
    </w:p>
    <w:p>
      <w:pPr>
        <w:spacing w:after="0" w:line="184" w:lineRule="exact"/>
        <w:rPr>
          <w:rFonts w:ascii="Arial" w:cs="Arial" w:eastAsia="Arial" w:hAnsi="Arial"/>
          <w:sz w:val="22"/>
          <w:szCs w:val="22"/>
          <w:color w:val="auto"/>
        </w:rPr>
      </w:pPr>
    </w:p>
    <w:p>
      <w:pPr>
        <w:jc w:val="both"/>
        <w:ind w:left="760" w:firstLine="2243"/>
        <w:spacing w:after="0" w:line="273" w:lineRule="auto"/>
        <w:tabs>
          <w:tab w:leader="none" w:pos="3438" w:val="left"/>
        </w:tabs>
        <w:numPr>
          <w:ilvl w:val="1"/>
          <w:numId w:val="50"/>
        </w:numPr>
        <w:rPr>
          <w:rFonts w:ascii="Arial" w:cs="Arial" w:eastAsia="Arial" w:hAnsi="Arial"/>
          <w:sz w:val="21"/>
          <w:szCs w:val="21"/>
          <w:color w:val="auto"/>
        </w:rPr>
      </w:pPr>
      <w:r>
        <w:rPr>
          <w:rFonts w:ascii="Arial" w:cs="Arial" w:eastAsia="Arial" w:hAnsi="Arial"/>
          <w:sz w:val="21"/>
          <w:szCs w:val="21"/>
          <w:color w:val="auto"/>
        </w:rPr>
        <w:t>all information relating to the nominee (including, without limitation, the nominee’s name, age, business and residence address and principal occupation or employment and the class or series and number of shares of capital stock of the Corporation that are owned beneficially or of record by the nominee)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serving as a director if elected);</w:t>
      </w:r>
    </w:p>
    <w:p>
      <w:pPr>
        <w:spacing w:after="0" w:line="183" w:lineRule="exact"/>
        <w:rPr>
          <w:rFonts w:ascii="Arial" w:cs="Arial" w:eastAsia="Arial" w:hAnsi="Arial"/>
          <w:sz w:val="21"/>
          <w:szCs w:val="21"/>
          <w:color w:val="auto"/>
        </w:rPr>
      </w:pPr>
    </w:p>
    <w:p>
      <w:pPr>
        <w:ind w:left="760" w:right="40" w:firstLine="2243"/>
        <w:spacing w:after="0" w:line="276" w:lineRule="auto"/>
        <w:tabs>
          <w:tab w:leader="none" w:pos="3438" w:val="left"/>
        </w:tabs>
        <w:numPr>
          <w:ilvl w:val="1"/>
          <w:numId w:val="50"/>
        </w:numPr>
        <w:rPr>
          <w:rFonts w:ascii="Arial" w:cs="Arial" w:eastAsia="Arial" w:hAnsi="Arial"/>
          <w:sz w:val="22"/>
          <w:szCs w:val="22"/>
          <w:color w:val="auto"/>
        </w:rPr>
      </w:pPr>
      <w:r>
        <w:rPr>
          <w:rFonts w:ascii="Arial" w:cs="Arial" w:eastAsia="Arial" w:hAnsi="Arial"/>
          <w:sz w:val="22"/>
          <w:szCs w:val="22"/>
          <w:color w:val="auto"/>
        </w:rPr>
        <w:t>a description of any agreements, arrangements and understandings between or among such stockholder or any Stockholder Associated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0" w:name="page71"/>
    <w:bookmarkEnd w:id="70"/>
    <w:p>
      <w:pPr>
        <w:ind w:left="760"/>
        <w:spacing w:after="0" w:line="276" w:lineRule="auto"/>
        <w:rPr>
          <w:sz w:val="20"/>
          <w:szCs w:val="20"/>
          <w:color w:val="auto"/>
        </w:rPr>
      </w:pPr>
      <w:r>
        <w:rPr>
          <w:rFonts w:ascii="Arial" w:cs="Arial" w:eastAsia="Arial" w:hAnsi="Arial"/>
          <w:sz w:val="22"/>
          <w:szCs w:val="22"/>
          <w:color w:val="auto"/>
        </w:rPr>
        <w:t>on the one hand, and any other persons (including any Stockholder Associated Person), on the other hand, in connection with the nomination of such person for election as a director; and</w:t>
      </w:r>
    </w:p>
    <w:p>
      <w:pPr>
        <w:spacing w:after="0" w:line="174" w:lineRule="exact"/>
        <w:rPr>
          <w:sz w:val="20"/>
          <w:szCs w:val="20"/>
          <w:color w:val="auto"/>
        </w:rPr>
      </w:pPr>
    </w:p>
    <w:p>
      <w:pPr>
        <w:ind w:left="760" w:firstLine="2243"/>
        <w:spacing w:after="0" w:line="273" w:lineRule="auto"/>
        <w:tabs>
          <w:tab w:leader="none" w:pos="3438" w:val="left"/>
        </w:tabs>
        <w:numPr>
          <w:ilvl w:val="2"/>
          <w:numId w:val="51"/>
        </w:numPr>
        <w:rPr>
          <w:rFonts w:ascii="Arial" w:cs="Arial" w:eastAsia="Arial" w:hAnsi="Arial"/>
          <w:sz w:val="21"/>
          <w:szCs w:val="21"/>
          <w:color w:val="auto"/>
        </w:rPr>
      </w:pPr>
      <w:r>
        <w:rPr>
          <w:rFonts w:ascii="Arial" w:cs="Arial" w:eastAsia="Arial" w:hAnsi="Arial"/>
          <w:sz w:val="21"/>
          <w:szCs w:val="21"/>
          <w:color w:val="auto"/>
        </w:rPr>
        <w:t>a description of all direct and indirect compensation and other material monetary agreements, arrangements, and understandings during the past three years, and any other material relationships, between or among the Holder and respective affiliates and associates,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178" w:lineRule="exact"/>
        <w:rPr>
          <w:rFonts w:ascii="Arial" w:cs="Arial" w:eastAsia="Arial" w:hAnsi="Arial"/>
          <w:sz w:val="21"/>
          <w:szCs w:val="21"/>
          <w:color w:val="auto"/>
        </w:rPr>
      </w:pPr>
    </w:p>
    <w:p>
      <w:pPr>
        <w:jc w:val="both"/>
        <w:ind w:left="760" w:firstLine="1494"/>
        <w:spacing w:after="0" w:line="258" w:lineRule="auto"/>
        <w:tabs>
          <w:tab w:leader="none" w:pos="2689" w:val="left"/>
        </w:tabs>
        <w:numPr>
          <w:ilvl w:val="1"/>
          <w:numId w:val="52"/>
        </w:numPr>
        <w:rPr>
          <w:rFonts w:ascii="Arial" w:cs="Arial" w:eastAsia="Arial" w:hAnsi="Arial"/>
          <w:sz w:val="22"/>
          <w:szCs w:val="22"/>
          <w:color w:val="auto"/>
        </w:rPr>
      </w:pPr>
      <w:r>
        <w:rPr>
          <w:rFonts w:ascii="Arial" w:cs="Arial" w:eastAsia="Arial" w:hAnsi="Arial"/>
          <w:sz w:val="22"/>
          <w:szCs w:val="22"/>
          <w:color w:val="auto"/>
        </w:rPr>
        <w:t>with respect to each nominee for election or reelection to the Board of Directors, the Noticing Stockholder shall include a completed and signed questionnaire, representation, and agreement required by Section 1.13 of these Bylaws. The Corporation may require any proposed nominee to furnish such other information as may reasonably be required by the Corporation to determine the eligibility of the proposed nominee to serve as an independent director of the Corporation or that could be material to a reasonable stockholder’s understanding of the independence, or lack thereof, of the nominee. The number of nominees a Noticing Stockholder may nominate for election at an annual or special meeting (or in the case of Noticing Stockholder giving the notice on behalf of a beneficial owner, the number of nominees a Noticing Stockholder may nominate for election at the annual or special meeting on behalf of such beneficial owner) shall not exceed the number of directors to be elected at such annual or special meeting.</w:t>
      </w:r>
    </w:p>
    <w:p>
      <w:pPr>
        <w:spacing w:after="0" w:line="196" w:lineRule="exact"/>
        <w:rPr>
          <w:rFonts w:ascii="Arial" w:cs="Arial" w:eastAsia="Arial" w:hAnsi="Arial"/>
          <w:sz w:val="22"/>
          <w:szCs w:val="22"/>
          <w:color w:val="auto"/>
        </w:rPr>
      </w:pPr>
    </w:p>
    <w:p>
      <w:pPr>
        <w:ind w:left="1940" w:hanging="435"/>
        <w:spacing w:after="0"/>
        <w:tabs>
          <w:tab w:leader="none" w:pos="19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purposes of these Bylaws:</w:t>
      </w:r>
    </w:p>
    <w:p>
      <w:pPr>
        <w:spacing w:after="0" w:line="233" w:lineRule="exact"/>
        <w:rPr>
          <w:rFonts w:ascii="Arial" w:cs="Arial" w:eastAsia="Arial" w:hAnsi="Arial"/>
          <w:sz w:val="22"/>
          <w:szCs w:val="22"/>
          <w:color w:val="auto"/>
        </w:rPr>
      </w:pPr>
    </w:p>
    <w:p>
      <w:pPr>
        <w:jc w:val="both"/>
        <w:ind w:left="760" w:firstLine="1494"/>
        <w:spacing w:after="0" w:line="284" w:lineRule="auto"/>
        <w:tabs>
          <w:tab w:leader="none" w:pos="2515" w:val="left"/>
        </w:tabs>
        <w:numPr>
          <w:ilvl w:val="1"/>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announcement</w:t>
      </w:r>
      <w:r>
        <w:rPr>
          <w:rFonts w:ascii="Arial" w:cs="Arial" w:eastAsia="Arial" w:hAnsi="Arial"/>
          <w:sz w:val="21"/>
          <w:szCs w:val="21"/>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168" w:lineRule="exact"/>
        <w:rPr>
          <w:rFonts w:ascii="Arial" w:cs="Arial" w:eastAsia="Arial" w:hAnsi="Arial"/>
          <w:sz w:val="21"/>
          <w:szCs w:val="21"/>
          <w:color w:val="auto"/>
        </w:rPr>
      </w:pPr>
    </w:p>
    <w:p>
      <w:pPr>
        <w:jc w:val="both"/>
        <w:ind w:left="760" w:firstLine="1494"/>
        <w:spacing w:after="0" w:line="279" w:lineRule="auto"/>
        <w:tabs>
          <w:tab w:leader="none" w:pos="2575" w:val="left"/>
        </w:tabs>
        <w:numPr>
          <w:ilvl w:val="1"/>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Stockholder Associated Person</w:t>
      </w:r>
      <w:r>
        <w:rPr>
          <w:rFonts w:ascii="Arial" w:cs="Arial" w:eastAsia="Arial" w:hAnsi="Arial"/>
          <w:sz w:val="21"/>
          <w:szCs w:val="21"/>
          <w:color w:val="auto"/>
        </w:rPr>
        <w:t>” means, with respect to any stockholder, (A) any beneficial owner of shares of stock of the Corporation owned of record or beneficially by such stockholder (other than a stockholder that is a depositary) and (B) any person controlling, controlled by or under common control with any stockholder, or any Stockholder Associated Person identified in clause (A) above; and</w:t>
      </w:r>
    </w:p>
    <w:p>
      <w:pPr>
        <w:spacing w:after="0" w:line="173" w:lineRule="exact"/>
        <w:rPr>
          <w:rFonts w:ascii="Arial" w:cs="Arial" w:eastAsia="Arial" w:hAnsi="Arial"/>
          <w:sz w:val="21"/>
          <w:szCs w:val="21"/>
          <w:color w:val="auto"/>
        </w:rPr>
      </w:pPr>
    </w:p>
    <w:p>
      <w:pPr>
        <w:jc w:val="both"/>
        <w:ind w:left="760" w:firstLine="1494"/>
        <w:spacing w:after="0" w:line="261" w:lineRule="auto"/>
        <w:tabs>
          <w:tab w:leader="none" w:pos="2649"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and “</w:t>
      </w:r>
      <w:r>
        <w:rPr>
          <w:rFonts w:ascii="Arial" w:cs="Arial" w:eastAsia="Arial" w:hAnsi="Arial"/>
          <w:sz w:val="22"/>
          <w:szCs w:val="22"/>
          <w:u w:val="single" w:color="auto"/>
          <w:color w:val="auto"/>
        </w:rPr>
        <w:t>Associate</w:t>
      </w:r>
      <w:r>
        <w:rPr>
          <w:rFonts w:ascii="Arial" w:cs="Arial" w:eastAsia="Arial" w:hAnsi="Arial"/>
          <w:sz w:val="22"/>
          <w:szCs w:val="22"/>
          <w:color w:val="auto"/>
        </w:rPr>
        <w:t>” are defined by reference to Rule 12b-2 under the Exchange Act. An “affiliate” is any “person that directly, or indirectly through one or more intermediaries, controls, or is controlled by, or is under common control with, the person specified.” “</w:t>
      </w:r>
      <w:r>
        <w:rPr>
          <w:rFonts w:ascii="Arial" w:cs="Arial" w:eastAsia="Arial" w:hAnsi="Arial"/>
          <w:sz w:val="22"/>
          <w:szCs w:val="22"/>
          <w:u w:val="single" w:color="auto"/>
          <w:color w:val="auto"/>
        </w:rPr>
        <w:t>Control</w:t>
      </w:r>
      <w:r>
        <w:rPr>
          <w:rFonts w:ascii="Arial" w:cs="Arial" w:eastAsia="Arial" w:hAnsi="Arial"/>
          <w:sz w:val="22"/>
          <w:szCs w:val="22"/>
          <w:color w:val="auto"/>
        </w:rPr>
        <w:t>” is defined as the “possession, direct or indirect, of the power to direct or cause the direction of the management policies of a person, whether through the ownership of voting securities, by contract, or otherwise.” The term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1" w:name="page72"/>
    <w:bookmarkEnd w:id="71"/>
    <w:p>
      <w:pPr>
        <w:jc w:val="both"/>
        <w:ind w:left="7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associate</w:t>
      </w:r>
      <w:r>
        <w:rPr>
          <w:rFonts w:ascii="Arial" w:cs="Arial" w:eastAsia="Arial" w:hAnsi="Arial"/>
          <w:sz w:val="21"/>
          <w:szCs w:val="21"/>
          <w:color w:val="auto"/>
        </w:rPr>
        <w:t>” of a person means: (i) any corporation or organization (other than the registrant or a majority-owned subsidiary of the registrant) of which such person is an officer or partner or is, directly or indirectly, the beneficial owner of ten (10) percent or more of any class of equity securities, (ii) any trust or other estate in which such person has a substantial beneficial interest or as to which such person serves as trustee or in a similar fiduciary capacity, and (iii) any relative or spouse of such person, or any relative of such spouse, who has the same home as such person or who is a director or officer of the registrant or any of its parents or subsidiaries.</w:t>
      </w:r>
    </w:p>
    <w:p>
      <w:pPr>
        <w:spacing w:after="0" w:line="182" w:lineRule="exact"/>
        <w:rPr>
          <w:sz w:val="20"/>
          <w:szCs w:val="20"/>
          <w:color w:val="auto"/>
        </w:rPr>
      </w:pPr>
    </w:p>
    <w:p>
      <w:pPr>
        <w:jc w:val="both"/>
        <w:ind w:firstLine="1505"/>
        <w:spacing w:after="0" w:line="302" w:lineRule="auto"/>
        <w:tabs>
          <w:tab w:leader="none" w:pos="1929" w:val="left"/>
        </w:tabs>
        <w:numPr>
          <w:ilvl w:val="0"/>
          <w:numId w:val="54"/>
        </w:numPr>
        <w:rPr>
          <w:rFonts w:ascii="Arial" w:cs="Arial" w:eastAsia="Arial" w:hAnsi="Arial"/>
          <w:sz w:val="19"/>
          <w:szCs w:val="19"/>
          <w:color w:val="auto"/>
        </w:rPr>
      </w:pPr>
      <w:r>
        <w:rPr>
          <w:rFonts w:ascii="Arial" w:cs="Arial" w:eastAsia="Arial" w:hAnsi="Arial"/>
          <w:sz w:val="19"/>
          <w:szCs w:val="19"/>
          <w:color w:val="auto"/>
        </w:rPr>
        <w:t>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provided, however, that, once business has been properly brought before the meeting in accordance with Section 1.12, nothing in this Section 1.12(d) shall be deemed to preclude discussion by any stockholder of such business. If any information submitted pursuant to this Section 1.12 by any stockholder proposing a nominee(s) for election as a director at a meeting of stockholders is inaccurate in any material respect, such information shall be deemed not to have been provided in accordance with Section 1.12.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compliance with the procedures set forth in these Bylaws and, if he or she should determine that any proposed nomination or business is not in compliance with these Bylaws, he or she shall so declare to the meeting and any such nomination or business not properly brought before the meeting shall be disregarded or not be transacted.</w:t>
      </w:r>
    </w:p>
    <w:p>
      <w:pPr>
        <w:spacing w:after="0" w:line="156" w:lineRule="exact"/>
        <w:rPr>
          <w:rFonts w:ascii="Arial" w:cs="Arial" w:eastAsia="Arial" w:hAnsi="Arial"/>
          <w:sz w:val="19"/>
          <w:szCs w:val="19"/>
          <w:color w:val="auto"/>
        </w:rPr>
      </w:pPr>
    </w:p>
    <w:p>
      <w:pPr>
        <w:jc w:val="both"/>
        <w:ind w:firstLine="1505"/>
        <w:spacing w:after="0" w:line="261" w:lineRule="auto"/>
        <w:tabs>
          <w:tab w:leader="none" w:pos="1929"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Notwithstanding the foregoing provisions of these Bylaws, a Noticing Stockholder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other business to be considered pursuant to Section 1.11 or Section 1.12 of these Bylaws.</w:t>
      </w:r>
    </w:p>
    <w:p>
      <w:pPr>
        <w:spacing w:after="0" w:line="190" w:lineRule="exact"/>
        <w:rPr>
          <w:rFonts w:ascii="Arial" w:cs="Arial" w:eastAsia="Arial" w:hAnsi="Arial"/>
          <w:sz w:val="22"/>
          <w:szCs w:val="22"/>
          <w:color w:val="auto"/>
        </w:rPr>
      </w:pPr>
    </w:p>
    <w:p>
      <w:pPr>
        <w:jc w:val="both"/>
        <w:ind w:firstLine="1505"/>
        <w:spacing w:after="0" w:line="259" w:lineRule="auto"/>
        <w:tabs>
          <w:tab w:leader="none" w:pos="1929"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Nothing in these Bylaws shall be deemed to (i) affect any rights of (A) stockholders to request inclusion of proposals in the Corporation’s proxy statement pursuant to Rule 14a-8 under the Exchange Act or (B) the holders of any series or class of preferred stock, if any, if so provided under any applicable certificate of designation for such preferred stock or in the Certificate or Incorporation, or (ii) affect any rights of any holders of shares of any class or series of stock pursuant to a stockholders’ agreement with the Corporation existing on the date on which these Bylaws were adopted or impose any requirements, restrictions or limitations under Sections 1.11, 1.12 or 1.13 of these Bylaws unless expressly imposed by any such stockholders’ agreement.</w:t>
      </w:r>
    </w:p>
    <w:p>
      <w:pPr>
        <w:spacing w:after="0" w:line="195" w:lineRule="exact"/>
        <w:rPr>
          <w:sz w:val="20"/>
          <w:szCs w:val="20"/>
          <w:color w:val="auto"/>
        </w:rPr>
      </w:pPr>
    </w:p>
    <w:p>
      <w:pPr>
        <w:jc w:val="both"/>
        <w:ind w:firstLine="1310"/>
        <w:spacing w:after="0" w:line="262"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Submission of Questionnaire, Representation and Agreement</w:t>
      </w:r>
      <w:r>
        <w:rPr>
          <w:rFonts w:ascii="Arial" w:cs="Arial" w:eastAsia="Arial" w:hAnsi="Arial"/>
          <w:sz w:val="22"/>
          <w:szCs w:val="22"/>
          <w:color w:val="auto"/>
        </w:rPr>
        <w:t>. To be eligible to be a nominee for election or reelection as a director of the Corporation by a Holder, a person must complete and deliver (in accordance with the time periods prescribed for delivery of notice under Section 1.12 of these Bylaws) to the Secretary at the principal executive offices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2" w:name="page73"/>
    <w:bookmarkEnd w:id="72"/>
    <w:p>
      <w:pPr>
        <w:jc w:val="both"/>
        <w:spacing w:after="0" w:line="262" w:lineRule="auto"/>
        <w:rPr>
          <w:sz w:val="20"/>
          <w:szCs w:val="20"/>
          <w:color w:val="auto"/>
        </w:rPr>
      </w:pPr>
      <w:r>
        <w:rPr>
          <w:rFonts w:ascii="Arial" w:cs="Arial" w:eastAsia="Arial" w:hAnsi="Arial"/>
          <w:sz w:val="22"/>
          <w:szCs w:val="22"/>
          <w:color w:val="auto"/>
        </w:rPr>
        <w:t>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191" w:lineRule="exact"/>
        <w:rPr>
          <w:sz w:val="20"/>
          <w:szCs w:val="20"/>
          <w:color w:val="auto"/>
        </w:rPr>
      </w:pPr>
    </w:p>
    <w:p>
      <w:pPr>
        <w:ind w:left="1940" w:hanging="435"/>
        <w:spacing w:after="0"/>
        <w:tabs>
          <w:tab w:leader="none" w:pos="19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is not and will not become a party to:</w:t>
      </w:r>
    </w:p>
    <w:p>
      <w:pPr>
        <w:spacing w:after="0" w:line="233" w:lineRule="exact"/>
        <w:rPr>
          <w:rFonts w:ascii="Arial" w:cs="Arial" w:eastAsia="Arial" w:hAnsi="Arial"/>
          <w:sz w:val="22"/>
          <w:szCs w:val="22"/>
          <w:color w:val="auto"/>
        </w:rPr>
      </w:pPr>
    </w:p>
    <w:p>
      <w:pPr>
        <w:jc w:val="both"/>
        <w:ind w:left="760" w:firstLine="1494"/>
        <w:spacing w:after="0" w:line="284" w:lineRule="auto"/>
        <w:tabs>
          <w:tab w:leader="none" w:pos="2519"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agreement, arrangement or understanding with, and has not given any commitment or assurance to, any person or entity as to how the person, if elected as a director of the Corporation, will act or vote on any issue or question (a “</w:t>
      </w:r>
      <w:r>
        <w:rPr>
          <w:rFonts w:ascii="Arial" w:cs="Arial" w:eastAsia="Arial" w:hAnsi="Arial"/>
          <w:sz w:val="21"/>
          <w:szCs w:val="21"/>
          <w:u w:val="single" w:color="auto"/>
          <w:color w:val="auto"/>
        </w:rPr>
        <w:t>Voting Commitment</w:t>
      </w:r>
      <w:r>
        <w:rPr>
          <w:rFonts w:ascii="Arial" w:cs="Arial" w:eastAsia="Arial" w:hAnsi="Arial"/>
          <w:sz w:val="21"/>
          <w:szCs w:val="21"/>
          <w:color w:val="auto"/>
        </w:rPr>
        <w:t>”) that has not been disclosed to the Corporation, or</w:t>
      </w:r>
    </w:p>
    <w:p>
      <w:pPr>
        <w:spacing w:after="0" w:line="168" w:lineRule="exact"/>
        <w:rPr>
          <w:rFonts w:ascii="Arial" w:cs="Arial" w:eastAsia="Arial" w:hAnsi="Arial"/>
          <w:sz w:val="21"/>
          <w:szCs w:val="21"/>
          <w:color w:val="auto"/>
        </w:rPr>
      </w:pPr>
    </w:p>
    <w:p>
      <w:pPr>
        <w:ind w:left="760" w:firstLine="1494"/>
        <w:spacing w:after="0" w:line="276" w:lineRule="auto"/>
        <w:tabs>
          <w:tab w:leader="none" w:pos="2587"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Voting Commitment that could limit or interfere with the person’s ability to comply, if elected as a director of the Corporation, with the person’s fiduciary duties under applicable law,</w:t>
      </w:r>
    </w:p>
    <w:p>
      <w:pPr>
        <w:spacing w:after="0" w:line="174" w:lineRule="exact"/>
        <w:rPr>
          <w:rFonts w:ascii="Arial" w:cs="Arial" w:eastAsia="Arial" w:hAnsi="Arial"/>
          <w:sz w:val="22"/>
          <w:szCs w:val="22"/>
          <w:color w:val="auto"/>
        </w:rPr>
      </w:pPr>
    </w:p>
    <w:p>
      <w:pPr>
        <w:jc w:val="both"/>
        <w:ind w:firstLine="1505"/>
        <w:spacing w:after="0" w:line="284" w:lineRule="auto"/>
        <w:tabs>
          <w:tab w:leader="none" w:pos="1929" w:val="left"/>
        </w:tabs>
        <w:numPr>
          <w:ilvl w:val="0"/>
          <w:numId w:val="55"/>
        </w:numPr>
        <w:rPr>
          <w:rFonts w:ascii="Arial" w:cs="Arial" w:eastAsia="Arial" w:hAnsi="Arial"/>
          <w:sz w:val="21"/>
          <w:szCs w:val="21"/>
          <w:color w:val="auto"/>
        </w:rPr>
      </w:pPr>
      <w:r>
        <w:rPr>
          <w:rFonts w:ascii="Arial" w:cs="Arial" w:eastAsia="Arial" w:hAnsi="Arial"/>
          <w:sz w:val="21"/>
          <w:szCs w:val="2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168" w:lineRule="exact"/>
        <w:rPr>
          <w:rFonts w:ascii="Arial" w:cs="Arial" w:eastAsia="Arial" w:hAnsi="Arial"/>
          <w:sz w:val="21"/>
          <w:szCs w:val="21"/>
          <w:color w:val="auto"/>
        </w:rPr>
      </w:pPr>
    </w:p>
    <w:p>
      <w:pPr>
        <w:jc w:val="both"/>
        <w:ind w:firstLine="1505"/>
        <w:spacing w:after="0" w:line="262" w:lineRule="auto"/>
        <w:tabs>
          <w:tab w:leader="none" w:pos="1929"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91" w:lineRule="exact"/>
        <w:rPr>
          <w:sz w:val="20"/>
          <w:szCs w:val="20"/>
          <w:color w:val="auto"/>
        </w:rPr>
      </w:pPr>
    </w:p>
    <w:p>
      <w:pPr>
        <w:jc w:val="both"/>
        <w:ind w:firstLine="1310"/>
        <w:spacing w:after="0" w:line="260"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u w:val="single" w:color="auto"/>
          <w:color w:val="auto"/>
        </w:rPr>
        <w:t>Inspectors of Elections</w:t>
      </w:r>
      <w:r>
        <w:rPr>
          <w:rFonts w:ascii="Arial" w:cs="Arial" w:eastAsia="Arial" w:hAnsi="Arial"/>
          <w:sz w:val="22"/>
          <w:szCs w:val="22"/>
          <w:color w:val="auto"/>
        </w:rPr>
        <w:t>. Preceding any meeting of the stockholders, if required by law, the Board of Directors shall appoint one (1) or more persons to act as “inspectors” of elections, and may designate one (1) or more alternate inspectors. In the event no inspector or alternate is able to act, the Chairperson of such meeting shall appoint one (1)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 shall:</w:t>
      </w:r>
    </w:p>
    <w:p>
      <w:pPr>
        <w:spacing w:after="0" w:line="192" w:lineRule="exact"/>
        <w:rPr>
          <w:sz w:val="20"/>
          <w:szCs w:val="20"/>
          <w:color w:val="auto"/>
        </w:rPr>
      </w:pPr>
    </w:p>
    <w:p>
      <w:pPr>
        <w:ind w:left="1940" w:hanging="435"/>
        <w:spacing w:after="0"/>
        <w:tabs>
          <w:tab w:leader="none" w:pos="1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ascertain the number of shares outstanding and the voting power of each;</w:t>
      </w:r>
    </w:p>
    <w:p>
      <w:pPr>
        <w:spacing w:after="0" w:line="233" w:lineRule="exact"/>
        <w:rPr>
          <w:rFonts w:ascii="Arial" w:cs="Arial" w:eastAsia="Arial" w:hAnsi="Arial"/>
          <w:sz w:val="22"/>
          <w:szCs w:val="22"/>
          <w:color w:val="auto"/>
        </w:rPr>
      </w:pPr>
    </w:p>
    <w:p>
      <w:pPr>
        <w:ind w:right="20" w:firstLine="1505"/>
        <w:spacing w:after="0" w:line="276" w:lineRule="auto"/>
        <w:tabs>
          <w:tab w:leader="none" w:pos="1929"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determine the shares represented at a meeting, the authenticity, validity, and effect of proxies and ballots, and the existence of a quorum;</w:t>
      </w:r>
    </w:p>
    <w:p>
      <w:pPr>
        <w:spacing w:after="0" w:line="174" w:lineRule="exact"/>
        <w:rPr>
          <w:rFonts w:ascii="Arial" w:cs="Arial" w:eastAsia="Arial" w:hAnsi="Arial"/>
          <w:sz w:val="22"/>
          <w:szCs w:val="22"/>
          <w:color w:val="auto"/>
        </w:rPr>
      </w:pPr>
    </w:p>
    <w:p>
      <w:pPr>
        <w:ind w:firstLine="1505"/>
        <w:spacing w:after="0" w:line="276" w:lineRule="auto"/>
        <w:tabs>
          <w:tab w:leader="none" w:pos="1929" w:val="left"/>
        </w:tabs>
        <w:numPr>
          <w:ilvl w:val="0"/>
          <w:numId w:val="56"/>
        </w:numPr>
        <w:rPr>
          <w:rFonts w:ascii="Arial" w:cs="Arial" w:eastAsia="Arial" w:hAnsi="Arial"/>
          <w:sz w:val="22"/>
          <w:szCs w:val="22"/>
          <w:color w:val="auto"/>
        </w:rPr>
      </w:pPr>
      <w:r>
        <w:rPr>
          <w:rFonts w:ascii="Arial" w:cs="Arial" w:eastAsia="Arial" w:hAnsi="Arial"/>
          <w:sz w:val="22"/>
          <w:szCs w:val="22"/>
          <w:color w:val="auto"/>
        </w:rPr>
        <w:t>specify the information relied upon to determine the validity of electronic transmissions in accordance with Section 1.09 of these Bylaws;</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count all votes and ballots;</w:t>
      </w:r>
    </w:p>
    <w:p>
      <w:pPr>
        <w:spacing w:after="0" w:line="233" w:lineRule="exact"/>
        <w:rPr>
          <w:rFonts w:ascii="Arial" w:cs="Arial" w:eastAsia="Arial" w:hAnsi="Arial"/>
          <w:sz w:val="22"/>
          <w:szCs w:val="22"/>
          <w:color w:val="auto"/>
        </w:rPr>
      </w:pPr>
    </w:p>
    <w:p>
      <w:pPr>
        <w:ind w:right="40" w:firstLine="1505"/>
        <w:spacing w:after="0" w:line="276" w:lineRule="auto"/>
        <w:tabs>
          <w:tab w:leader="none" w:pos="1929"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determine and retain for a reasonable period a record of the disposition of any challenges made to any determination by the inspectors;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3" w:name="page74"/>
    <w:bookmarkEnd w:id="73"/>
    <w:p>
      <w:pPr>
        <w:ind w:left="1940" w:hanging="435"/>
        <w:spacing w:after="0"/>
        <w:tabs>
          <w:tab w:leader="none" w:pos="19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certify his or her determination of the number of shares represented at the meeting, and his or her count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all votes and ballots;</w:t>
      </w:r>
    </w:p>
    <w:p>
      <w:pPr>
        <w:spacing w:after="0" w:line="228" w:lineRule="exact"/>
        <w:rPr>
          <w:rFonts w:ascii="Arial" w:cs="Arial" w:eastAsia="Arial" w:hAnsi="Arial"/>
          <w:sz w:val="19"/>
          <w:szCs w:val="19"/>
          <w:color w:val="auto"/>
        </w:rPr>
      </w:pPr>
    </w:p>
    <w:p>
      <w:pPr>
        <w:ind w:left="1940" w:hanging="435"/>
        <w:spacing w:after="0"/>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appoint or retain other persons or entities to assist in the performance of the duties of inspector;</w:t>
      </w:r>
    </w:p>
    <w:p>
      <w:pPr>
        <w:spacing w:after="0" w:line="233" w:lineRule="exact"/>
        <w:rPr>
          <w:rFonts w:ascii="Arial" w:cs="Arial" w:eastAsia="Arial" w:hAnsi="Arial"/>
          <w:sz w:val="22"/>
          <w:szCs w:val="22"/>
          <w:color w:val="auto"/>
        </w:rPr>
      </w:pPr>
    </w:p>
    <w:p>
      <w:pPr>
        <w:jc w:val="both"/>
        <w:ind w:firstLine="1505"/>
        <w:spacing w:after="0" w:line="304" w:lineRule="auto"/>
        <w:tabs>
          <w:tab w:leader="none" w:pos="1929"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 determining the shares represented and the validity of proxies and ballots, be limited to an examination of the proxies, any envelopes submitted with those proxies, any information provided in accordance with Section 1.09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paragraph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 and</w:t>
      </w:r>
    </w:p>
    <w:p>
      <w:pPr>
        <w:spacing w:after="0" w:line="155" w:lineRule="exact"/>
        <w:rPr>
          <w:rFonts w:ascii="Arial" w:cs="Arial" w:eastAsia="Arial" w:hAnsi="Arial"/>
          <w:sz w:val="19"/>
          <w:szCs w:val="19"/>
          <w:color w:val="auto"/>
        </w:rPr>
      </w:pPr>
    </w:p>
    <w:p>
      <w:pPr>
        <w:ind w:left="1940" w:hanging="435"/>
        <w:spacing w:after="0"/>
        <w:tabs>
          <w:tab w:leader="none" w:pos="19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do any other acts that may be proper to conduct the election or vote with fairness to all stockholders.</w:t>
      </w:r>
    </w:p>
    <w:p>
      <w:pPr>
        <w:spacing w:after="0" w:line="268" w:lineRule="exact"/>
        <w:rPr>
          <w:sz w:val="20"/>
          <w:szCs w:val="20"/>
          <w:color w:val="auto"/>
        </w:rPr>
      </w:pPr>
    </w:p>
    <w:p>
      <w:pPr>
        <w:jc w:val="both"/>
        <w:ind w:firstLine="1310"/>
        <w:spacing w:after="0" w:line="261"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u w:val="single" w:color="auto"/>
          <w:color w:val="auto"/>
        </w:rPr>
        <w:t>Opening and Closing of Polls</w:t>
      </w:r>
      <w:r>
        <w:rPr>
          <w:rFonts w:ascii="Arial" w:cs="Arial" w:eastAsia="Arial" w:hAnsi="Arial"/>
          <w:sz w:val="22"/>
          <w:szCs w:val="22"/>
          <w:color w:val="auto"/>
        </w:rPr>
        <w:t>. The date and time for the opening and the closing of the polls for each matter to be voted upon at a stockholder meeting shall be fixed by the Chairperson of the meeting and announced at the meeting. The inspector shall be prohibited from accepting any ballots, proxies or votes or any revocations thereof or changes thereto after the closing of the polls, unless the Delaware Court of Chancery upon application by a stockholder shall determine otherwise.</w:t>
      </w:r>
    </w:p>
    <w:p>
      <w:pPr>
        <w:spacing w:after="0" w:line="190" w:lineRule="exact"/>
        <w:rPr>
          <w:sz w:val="20"/>
          <w:szCs w:val="20"/>
          <w:color w:val="auto"/>
        </w:rPr>
      </w:pPr>
    </w:p>
    <w:p>
      <w:pPr>
        <w:jc w:val="both"/>
        <w:ind w:firstLine="1310"/>
        <w:spacing w:after="0" w:line="301"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 The Corporation shall prepare,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4" w:name="page75"/>
    <w:bookmarkEnd w:id="74"/>
    <w:p>
      <w:pPr>
        <w:jc w:val="both"/>
        <w:spacing w:after="0" w:line="276" w:lineRule="auto"/>
        <w:rPr>
          <w:sz w:val="20"/>
          <w:szCs w:val="20"/>
          <w:color w:val="auto"/>
        </w:rPr>
      </w:pPr>
      <w:r>
        <w:rPr>
          <w:rFonts w:ascii="Arial" w:cs="Arial" w:eastAsia="Arial" w:hAnsi="Arial"/>
          <w:sz w:val="22"/>
          <w:szCs w:val="22"/>
          <w:color w:val="auto"/>
        </w:rPr>
        <w:t>this Section 1.16 or to vote in person or by proxy at any meeting of the stockholders. The Corporation shall not be required to include electronic mail addresses or other electronic contact information on such list.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BOARD OF DIRECTORS</w:t>
      </w:r>
    </w:p>
    <w:p>
      <w:pPr>
        <w:spacing w:after="0" w:line="239" w:lineRule="exact"/>
        <w:rPr>
          <w:sz w:val="20"/>
          <w:szCs w:val="20"/>
          <w:color w:val="auto"/>
        </w:rPr>
      </w:pPr>
    </w:p>
    <w:p>
      <w:pPr>
        <w:jc w:val="both"/>
        <w:ind w:firstLine="1310"/>
        <w:spacing w:after="0" w:line="273"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General Powers</w:t>
      </w:r>
      <w:r>
        <w:rPr>
          <w:rFonts w:ascii="Arial" w:cs="Arial" w:eastAsia="Arial" w:hAnsi="Arial"/>
          <w:sz w:val="21"/>
          <w:szCs w:val="21"/>
          <w:color w:val="auto"/>
        </w:rPr>
        <w:t>. Except as may otherwise be provided by the DGCL or the Certificate of Incorporation, the business and affairs of the Corporation shall be managed by or under the direction of the Board of Directors. In addition to the powers and authority expressly conferred upon it by applicable law, the Certificate of Incorporation (including any certificate of designations relating to any series or class of preferred stock) or these Bylaws, the Board of Directors is hereby empowered to exercise all such powers and do all such acts and things as may be exercised or done by the Corporation, except as otherwise specifically required by law or as otherwise provided in the Certificate of Incorporation (including any certificate of designations relating to any series or class of preferred stock).</w:t>
      </w:r>
    </w:p>
    <w:p>
      <w:pPr>
        <w:spacing w:after="0" w:line="183" w:lineRule="exact"/>
        <w:rPr>
          <w:sz w:val="20"/>
          <w:szCs w:val="20"/>
          <w:color w:val="auto"/>
        </w:rPr>
      </w:pPr>
    </w:p>
    <w:p>
      <w:pPr>
        <w:jc w:val="both"/>
        <w:ind w:firstLine="1310"/>
        <w:spacing w:after="0" w:line="311"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Number, Election and Qualification</w:t>
      </w:r>
      <w:r>
        <w:rPr>
          <w:rFonts w:ascii="Arial" w:cs="Arial" w:eastAsia="Arial" w:hAnsi="Arial"/>
          <w:sz w:val="19"/>
          <w:szCs w:val="19"/>
          <w:color w:val="auto"/>
        </w:rPr>
        <w:t>. Subject to the terms of any one or more series or classes of preferred stock, the total number of directors constituting the Board of Directors shall be at least one, or such larger number as may be fixed from time to time exclusively by resolution adopted by the Board of Directors. No reduction of the authorized number of directors shall have the effect of removing any director before that director’s term of office expires. To the extent set forth in the Certificate of Incorporation, the directors of the Corporation shall be divided into classes with terms set forth therein.</w:t>
      </w:r>
    </w:p>
    <w:p>
      <w:pPr>
        <w:spacing w:after="0" w:line="150" w:lineRule="exact"/>
        <w:rPr>
          <w:sz w:val="20"/>
          <w:szCs w:val="20"/>
          <w:color w:val="auto"/>
        </w:rPr>
      </w:pPr>
    </w:p>
    <w:p>
      <w:pPr>
        <w:ind w:right="20" w:firstLine="1310"/>
        <w:spacing w:after="0" w:line="302"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The Chairperson of the Board</w:t>
      </w:r>
      <w:r>
        <w:rPr>
          <w:rFonts w:ascii="Arial" w:cs="Arial" w:eastAsia="Arial" w:hAnsi="Arial"/>
          <w:sz w:val="19"/>
          <w:szCs w:val="19"/>
          <w:color w:val="auto"/>
        </w:rPr>
        <w:t>. The Board of Directors may elect a Chairperson of the Board from among its members. If elected, the Board of Directors shall designate the Chairperson of the Board as either a non-executive Chairperson of the Board or an executive Chairperson of the Board. The Chairperson of the Board shall not be deemed an officer of the Corporation, unless the Board shall determine otherwise. Subject to the control vested in the Board by statute, by the Certificate of Incorporation, or by these Bylaws, the Chairperson of the Board shall, if present, preside over all meetings of the stockholders and of the Board and shall have such other duties and powers as from time to time may be assigned to him or her by the Board, the Certificate of Incorporation or these Bylaws. References in these Bylaws to the “Chairperson of the Board” shall mean the non-executive Chairperson of the Board or executive Chairperson of the Board, as designated by the Board of Directors from time to time. In the absence (or inability or refusal to act) of the Chairperson of the Board, the Chief Executive Officer (if such person shall be a director) or such other director or officer of the Corporation designated by the Chairperson of the Board shall preside when present at all meetings of the stockholders and the Board.</w:t>
      </w:r>
    </w:p>
    <w:p>
      <w:pPr>
        <w:spacing w:after="0" w:line="162"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Annual and Regular Meetings</w:t>
      </w:r>
      <w:r>
        <w:rPr>
          <w:rFonts w:ascii="Arial" w:cs="Arial" w:eastAsia="Arial" w:hAnsi="Arial"/>
          <w:sz w:val="19"/>
          <w:szCs w:val="19"/>
          <w:color w:val="auto"/>
        </w:rPr>
        <w:t>. The annual meeting of the Board of Directors for the purpose of electing officers and for the transaction of such other business as may come before the meeting shall be held after the annual meeting of the stockholders and may be held at such places within or without the State of Delaware and at such times as the Board may from time to time determine, and if so determined notice thereof need not be given. Notice of such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5" w:name="page76"/>
    <w:bookmarkEnd w:id="75"/>
    <w:p>
      <w:pPr>
        <w:jc w:val="both"/>
        <w:spacing w:after="0" w:line="303" w:lineRule="auto"/>
        <w:rPr>
          <w:sz w:val="20"/>
          <w:szCs w:val="20"/>
          <w:color w:val="auto"/>
        </w:rPr>
      </w:pPr>
      <w:r>
        <w:rPr>
          <w:rFonts w:ascii="Arial" w:cs="Arial" w:eastAsia="Arial" w:hAnsi="Arial"/>
          <w:sz w:val="19"/>
          <w:szCs w:val="19"/>
          <w:color w:val="auto"/>
        </w:rPr>
        <w:t xml:space="preserve">annual meeting of the Board of Directors need not be given. The Board of Directors from time to time may by resolution provide for the holding of regular meetings and fix the place (which may be within or without the State of Delaware) and the date and hour of such meetings. Notice of regular meetings need not be given,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electronic mail or other electronic means, to each director who shall not have been present at the meeting at which such action was taken, addressed to him or her at his or her usual place of business, or shall be delivered to him or her personally. Notice of such action need not be given to any director who attends the first regular meeting after such action is taken, except when the director attends such meeting for the express purpose of objecting, at the beginning of the meeting, to the transaction of any business because the meeting is not lawfully called or convened.</w:t>
      </w:r>
    </w:p>
    <w:p>
      <w:pPr>
        <w:spacing w:after="0" w:line="158" w:lineRule="exact"/>
        <w:rPr>
          <w:sz w:val="20"/>
          <w:szCs w:val="20"/>
          <w:color w:val="auto"/>
        </w:rPr>
      </w:pPr>
    </w:p>
    <w:p>
      <w:pPr>
        <w:jc w:val="both"/>
        <w:ind w:firstLine="1310"/>
        <w:spacing w:after="0" w:line="297"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Special Meetings; Notice</w:t>
      </w:r>
      <w:r>
        <w:rPr>
          <w:rFonts w:ascii="Arial" w:cs="Arial" w:eastAsia="Arial" w:hAnsi="Arial"/>
          <w:sz w:val="19"/>
          <w:szCs w:val="19"/>
          <w:color w:val="auto"/>
        </w:rPr>
        <w:t>. Special meetings of the Board of Directors for any purpose or purposes shall be held whenever called by the Chairperson of the Board, Chief Executive Officer or by the Board of Directors pursuant to the following sentence, at such place (within or without the State of Delaware), date and hour as may be specified in the notices of such meetings. Special meetings of the Board of Directors also may be held whenever called pursuant to a resolution approved by the Board of Directors. Notice shall be duly given to each director (a) in person or by telephone at least twenty-four</w:t>
      </w:r>
    </w:p>
    <w:p>
      <w:pPr>
        <w:spacing w:after="0" w:line="3" w:lineRule="exact"/>
        <w:rPr>
          <w:sz w:val="20"/>
          <w:szCs w:val="20"/>
          <w:color w:val="auto"/>
        </w:rPr>
      </w:pPr>
    </w:p>
    <w:p>
      <w:pPr>
        <w:jc w:val="both"/>
        <w:ind w:firstLine="8"/>
        <w:spacing w:after="0" w:line="306" w:lineRule="auto"/>
        <w:tabs>
          <w:tab w:leader="none" w:pos="432" w:val="left"/>
        </w:tabs>
        <w:numPr>
          <w:ilvl w:val="0"/>
          <w:numId w:val="58"/>
        </w:numPr>
        <w:rPr>
          <w:rFonts w:ascii="Arial" w:cs="Arial" w:eastAsia="Arial" w:hAnsi="Arial"/>
          <w:sz w:val="19"/>
          <w:szCs w:val="19"/>
          <w:color w:val="auto"/>
        </w:rPr>
      </w:pPr>
      <w:r>
        <w:rPr>
          <w:rFonts w:ascii="Arial" w:cs="Arial" w:eastAsia="Arial" w:hAnsi="Arial"/>
          <w:sz w:val="19"/>
          <w:szCs w:val="19"/>
          <w:color w:val="auto"/>
        </w:rPr>
        <w:t>hours in advance of the meeting, (b) by sending written notice by reputable overnight courier, telecopy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to such other address as any director may request by notice to the Secretary at least seventy-two (72) hours in advance of the meeting. Notice of any special meeting need not be given to any director who attends such meeting except when the director attends such meeting for the express purpose of objecting, at the beginning of the meeting, to the transaction of any business because the meeting is not lawfully called or convened.</w:t>
      </w:r>
    </w:p>
    <w:p>
      <w:pPr>
        <w:spacing w:after="0" w:line="152" w:lineRule="exact"/>
        <w:rPr>
          <w:sz w:val="20"/>
          <w:szCs w:val="20"/>
          <w:color w:val="auto"/>
        </w:rPr>
      </w:pPr>
    </w:p>
    <w:p>
      <w:pPr>
        <w:jc w:val="both"/>
        <w:ind w:firstLine="1310"/>
        <w:spacing w:after="0" w:line="262"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Quorum; Voting</w:t>
      </w:r>
      <w:r>
        <w:rPr>
          <w:rFonts w:ascii="Arial" w:cs="Arial" w:eastAsia="Arial" w:hAnsi="Arial"/>
          <w:sz w:val="22"/>
          <w:szCs w:val="22"/>
          <w:color w:val="auto"/>
        </w:rPr>
        <w:t>. At all meetings of the Board of Directors, the presence of at least a majority of the total number of directors shall constitute a quorum for the transaction of business. Except as otherwise required by law, the Certificate of Incorporation or these Bylaws, the vote of at least a majority of the directors present at any meeting at which a quorum is present shall be the act of the Board of Directors.</w:t>
      </w:r>
    </w:p>
    <w:p>
      <w:pPr>
        <w:spacing w:after="0" w:line="191"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Adjournment</w:t>
      </w:r>
      <w:r>
        <w:rPr>
          <w:rFonts w:ascii="Arial" w:cs="Arial" w:eastAsia="Arial" w:hAnsi="Arial"/>
          <w:sz w:val="22"/>
          <w:szCs w:val="22"/>
          <w:color w:val="auto"/>
        </w:rPr>
        <w:t>. A majority of the directors present, whether or not a quorum is present, may adjourn any meeting of the Board of Directors to another time or place.</w:t>
      </w:r>
    </w:p>
    <w:p>
      <w:pPr>
        <w:spacing w:after="0" w:line="174" w:lineRule="exact"/>
        <w:rPr>
          <w:sz w:val="20"/>
          <w:szCs w:val="20"/>
          <w:color w:val="auto"/>
        </w:rPr>
      </w:pPr>
    </w:p>
    <w:p>
      <w:pPr>
        <w:jc w:val="both"/>
        <w:ind w:firstLine="1310"/>
        <w:spacing w:after="0" w:line="260"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Action Without a Meeting</w:t>
      </w:r>
      <w:r>
        <w:rPr>
          <w:rFonts w:ascii="Arial" w:cs="Arial" w:eastAsia="Arial" w:hAnsi="Arial"/>
          <w:sz w:val="22"/>
          <w:szCs w:val="22"/>
          <w:color w:val="auto"/>
        </w:rPr>
        <w:t>. Any action required or permitted to be taken at any meeting of the Board of Directors, or any committee thereof, may be taken without a meeting if all members of the Board of Directors or committee, as the case may be, consent thereto in writing or by electronic transmission. After the action is taken, the consents or consents relating thereto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6" w:name="page77"/>
    <w:bookmarkEnd w:id="76"/>
    <w:p>
      <w:pPr>
        <w:jc w:val="both"/>
        <w:ind w:firstLine="1310"/>
        <w:spacing w:after="0" w:line="311"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Regulations; Manner of Acting</w:t>
      </w:r>
      <w:r>
        <w:rPr>
          <w:rFonts w:ascii="Arial" w:cs="Arial" w:eastAsia="Arial" w:hAnsi="Arial"/>
          <w:sz w:val="19"/>
          <w:szCs w:val="19"/>
          <w:color w:val="auto"/>
        </w:rPr>
        <w:t>. To the extent consistent with applicable law, the Certificate of Incorporation and these Bylaws, the Board of Directors may adopt by resolution such rules and regulations for the conduct of meetings of the Board of Directors and for the management of the property, affairs and business of the Corporation as the Board of Directors may deem appropriate. The directors shall act only as a Board of Directors and the individual directors shall have no power in their individual capacities unless expressly authorized by the Board of Directors.</w:t>
      </w:r>
    </w:p>
    <w:p>
      <w:pPr>
        <w:spacing w:after="0" w:line="150" w:lineRule="exact"/>
        <w:rPr>
          <w:sz w:val="20"/>
          <w:szCs w:val="20"/>
          <w:color w:val="auto"/>
        </w:rPr>
      </w:pPr>
    </w:p>
    <w:p>
      <w:pPr>
        <w:jc w:val="both"/>
        <w:ind w:firstLine="1310"/>
        <w:spacing w:after="0" w:line="279"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u w:val="single" w:color="auto"/>
          <w:color w:val="auto"/>
        </w:rPr>
        <w:t>Action by Telephonic Communications</w:t>
      </w:r>
      <w:r>
        <w:rPr>
          <w:rFonts w:ascii="Arial" w:cs="Arial" w:eastAsia="Arial" w:hAnsi="Arial"/>
          <w:sz w:val="21"/>
          <w:szCs w:val="21"/>
          <w:color w:val="auto"/>
        </w:rPr>
        <w:t>. Members of the Board of Directors, or any committee thereof, may participate in a meeting of the Board or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73" w:lineRule="exact"/>
        <w:rPr>
          <w:sz w:val="20"/>
          <w:szCs w:val="20"/>
          <w:color w:val="auto"/>
        </w:rPr>
      </w:pPr>
    </w:p>
    <w:p>
      <w:pPr>
        <w:jc w:val="both"/>
        <w:ind w:firstLine="1310"/>
        <w:spacing w:after="0" w:line="266"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Resignations</w:t>
      </w:r>
      <w:r>
        <w:rPr>
          <w:rFonts w:ascii="Arial" w:cs="Arial" w:eastAsia="Arial" w:hAnsi="Arial"/>
          <w:sz w:val="22"/>
          <w:szCs w:val="22"/>
          <w:color w:val="auto"/>
        </w:rPr>
        <w:t>. Any director may resign at any time by submitting an electronic transmission or by delivering a written notice of resignation, signed by such director, to the Chairperson of the Board or the Secretary. Unless otherwise specified therein, such resignation shall take effect upon delivery.</w:t>
      </w:r>
    </w:p>
    <w:p>
      <w:pPr>
        <w:spacing w:after="0" w:line="185" w:lineRule="exact"/>
        <w:rPr>
          <w:sz w:val="20"/>
          <w:szCs w:val="20"/>
          <w:color w:val="auto"/>
        </w:rPr>
      </w:pPr>
    </w:p>
    <w:p>
      <w:pPr>
        <w:ind w:left="1320"/>
        <w:spacing w:after="0"/>
        <w:tabs>
          <w:tab w:leader="none" w:pos="2640" w:val="left"/>
          <w:tab w:leader="none" w:pos="480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22"/>
          <w:szCs w:val="22"/>
          <w:u w:val="single" w:color="auto"/>
          <w:color w:val="auto"/>
        </w:rPr>
        <w:t>Removal of Directors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Directors may be removed from office as provided in the Certificate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229" w:lineRule="exact"/>
        <w:rPr>
          <w:sz w:val="20"/>
          <w:szCs w:val="20"/>
          <w:color w:val="auto"/>
        </w:rPr>
      </w:pPr>
    </w:p>
    <w:p>
      <w:pPr>
        <w:jc w:val="both"/>
        <w:ind w:firstLine="1310"/>
        <w:spacing w:after="0" w:line="274"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Vacancies and Newly Created Directorships</w:t>
      </w:r>
      <w:r>
        <w:rPr>
          <w:rFonts w:ascii="Arial" w:cs="Arial" w:eastAsia="Arial" w:hAnsi="Arial"/>
          <w:sz w:val="21"/>
          <w:szCs w:val="21"/>
          <w:color w:val="auto"/>
        </w:rPr>
        <w:t>. Subject to the terms of any one or more series or classes of preferred stock,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82" w:lineRule="exact"/>
        <w:rPr>
          <w:sz w:val="20"/>
          <w:szCs w:val="20"/>
          <w:color w:val="auto"/>
        </w:rPr>
      </w:pPr>
    </w:p>
    <w:p>
      <w:pPr>
        <w:jc w:val="both"/>
        <w:ind w:firstLine="1310"/>
        <w:spacing w:after="0" w:line="305"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Compensation</w:t>
      </w:r>
      <w:r>
        <w:rPr>
          <w:rFonts w:ascii="Arial" w:cs="Arial" w:eastAsia="Arial" w:hAnsi="Arial"/>
          <w:sz w:val="19"/>
          <w:szCs w:val="19"/>
          <w:color w:val="auto"/>
        </w:rPr>
        <w:t>. The amount, if any, which each director shall be entitled to receive as compensation for such director’s services, shall be fixed from time to time by resolution of the Board of Directors or any committee thereof or as an agreement between the Corporation and any director. The directors may be reimbursed their out-of-pocket expenses, if any, of attendance at each meeting of the Board of Directors in accordance with the Corporation’s policies in effect from time to time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and reimbursement for service as committee members.</w:t>
      </w:r>
    </w:p>
    <w:p>
      <w:pPr>
        <w:spacing w:after="0" w:line="155"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Reliance on Accounts and Reports, Etc</w:t>
      </w:r>
      <w:r>
        <w:rPr>
          <w:rFonts w:ascii="Arial" w:cs="Arial" w:eastAsia="Arial" w:hAnsi="Arial"/>
          <w:sz w:val="19"/>
          <w:szCs w:val="19"/>
          <w:color w:val="auto"/>
        </w:rPr>
        <w:t>. A director, or a member of any committee designated by the Board of Directors, shall, in the performance of such director’s or member’s duties, be fully protected in relying in good faith upon the records of the Corporation and upon information, opinions, reports or statements presented to the Corporation by any of the Corporation’s officers or employees, or committees designated by the Board of Directors, or by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7" w:name="page78"/>
    <w:bookmarkEnd w:id="77"/>
    <w:p>
      <w:pPr>
        <w:jc w:val="both"/>
        <w:spacing w:after="0" w:line="266" w:lineRule="auto"/>
        <w:rPr>
          <w:sz w:val="20"/>
          <w:szCs w:val="20"/>
          <w:color w:val="auto"/>
        </w:rPr>
      </w:pPr>
      <w:r>
        <w:rPr>
          <w:rFonts w:ascii="Arial" w:cs="Arial" w:eastAsia="Arial" w:hAnsi="Arial"/>
          <w:sz w:val="22"/>
          <w:szCs w:val="22"/>
          <w:color w:val="auto"/>
        </w:rPr>
        <w:t>any other person as to the matters the director or the member reasonably believes are within such other person’s professional or expert competence and who the director or member reasonably believes or determines has been selected with reasonable care by or on behalf of the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COMMITTEES</w:t>
      </w:r>
    </w:p>
    <w:p>
      <w:pPr>
        <w:spacing w:after="0" w:line="239" w:lineRule="exact"/>
        <w:rPr>
          <w:sz w:val="20"/>
          <w:szCs w:val="20"/>
          <w:color w:val="auto"/>
        </w:rPr>
      </w:pPr>
    </w:p>
    <w:p>
      <w:pPr>
        <w:ind w:left="1320"/>
        <w:spacing w:after="0"/>
        <w:tabs>
          <w:tab w:leader="none" w:pos="26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by resolution, may designate from among its members one</w:t>
      </w:r>
    </w:p>
    <w:p>
      <w:pPr>
        <w:spacing w:after="0" w:line="21" w:lineRule="exact"/>
        <w:rPr>
          <w:sz w:val="20"/>
          <w:szCs w:val="20"/>
          <w:color w:val="auto"/>
        </w:rPr>
      </w:pPr>
    </w:p>
    <w:p>
      <w:pPr>
        <w:jc w:val="both"/>
        <w:ind w:firstLine="8"/>
        <w:spacing w:after="0" w:line="259" w:lineRule="auto"/>
        <w:tabs>
          <w:tab w:leader="none" w:pos="311" w:val="left"/>
        </w:tabs>
        <w:numPr>
          <w:ilvl w:val="0"/>
          <w:numId w:val="59"/>
        </w:numPr>
        <w:rPr>
          <w:rFonts w:ascii="Arial" w:cs="Arial" w:eastAsia="Arial" w:hAnsi="Arial"/>
          <w:sz w:val="22"/>
          <w:szCs w:val="22"/>
          <w:color w:val="auto"/>
        </w:rPr>
      </w:pPr>
      <w:r>
        <w:rPr>
          <w:rFonts w:ascii="Arial" w:cs="Arial" w:eastAsia="Arial" w:hAnsi="Arial"/>
          <w:sz w:val="22"/>
          <w:szCs w:val="22"/>
          <w:color w:val="auto"/>
        </w:rPr>
        <w:t>or more committees of the Board of Directors, each consisting of one or more directors as from time to time may be fixed by the Board of Directors. Any such committee shall serve at the pleasure of the Board of Directors. . The Board of Directors may appoint a Chairperson of any committee, who shall preside at meetings of any such committee. The Board of Directors may elect one (1) or more of its members as alternate members of any such committee who may take the place of any absent or disqualified member or members at any meeting of such committee, upon request of the Chairperson of the Board or the Chairperson of such committee.</w:t>
      </w:r>
    </w:p>
    <w:p>
      <w:pPr>
        <w:spacing w:after="0" w:line="194" w:lineRule="exact"/>
        <w:rPr>
          <w:sz w:val="20"/>
          <w:szCs w:val="20"/>
          <w:color w:val="auto"/>
        </w:rPr>
      </w:pPr>
    </w:p>
    <w:p>
      <w:pPr>
        <w:jc w:val="both"/>
        <w:ind w:firstLine="1310"/>
        <w:spacing w:after="0" w:line="274"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Powers</w:t>
      </w:r>
      <w:r>
        <w:rPr>
          <w:rFonts w:ascii="Arial" w:cs="Arial" w:eastAsia="Arial" w:hAnsi="Arial"/>
          <w:sz w:val="21"/>
          <w:szCs w:val="21"/>
          <w:color w:val="auto"/>
        </w:rPr>
        <w:t>. Subject to any limitation imposed by applicable law, each committee shall have and may exercise such powers of the Board of Directors as may be provided by resolution or resolutions of the Board of Directors or provided in charters or other organization documents of such committee approved by the Board of Directors. No committee shall have the power or authority: to approve or adopt, or recommend to the stockholders, any action or matter (other than the election or removal of directors) expressly required by the DGCL to be submitted by the Board of Directors to the stockholders for approval; or to adopt, amend or repeal the Bylaws of the Corporation.</w:t>
      </w:r>
    </w:p>
    <w:p>
      <w:pPr>
        <w:spacing w:after="0" w:line="182"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Proceedings</w:t>
      </w:r>
      <w:r>
        <w:rPr>
          <w:rFonts w:ascii="Arial" w:cs="Arial" w:eastAsia="Arial" w:hAnsi="Arial"/>
          <w:sz w:val="19"/>
          <w:szCs w:val="19"/>
          <w:color w:val="auto"/>
        </w:rPr>
        <w:t>. Except as otherwise provided herein or required by law, each committee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next following any such proceedings.</w:t>
      </w:r>
    </w:p>
    <w:p>
      <w:pPr>
        <w:spacing w:after="0" w:line="142" w:lineRule="exact"/>
        <w:rPr>
          <w:sz w:val="20"/>
          <w:szCs w:val="20"/>
          <w:color w:val="auto"/>
        </w:rPr>
      </w:pPr>
    </w:p>
    <w:p>
      <w:pPr>
        <w:jc w:val="both"/>
        <w:ind w:firstLine="1310"/>
        <w:spacing w:after="0" w:line="304"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Quorum and Manner of Acting</w:t>
      </w:r>
      <w:r>
        <w:rPr>
          <w:rFonts w:ascii="Arial" w:cs="Arial" w:eastAsia="Arial" w:hAnsi="Arial"/>
          <w:sz w:val="19"/>
          <w:szCs w:val="19"/>
          <w:color w:val="auto"/>
        </w:rPr>
        <w:t>. Except as may be otherwise provided in the resolution creating such committee or in the rules of such committee, at all meetings of any committee, the presence of members (or alternate members) constituting a majority of the total number of committee members serving shall constitute a quorum for the transaction of business, except that, in the case of one-member committees, the presence of one member shall constitute a quorum and in the case of two-member committees, the presence of two members shall constitute a quorum. The act of the majority of the members present at any meeting at which a quorum is present shall be the act of such committee. Any action required or permitted to be taken at any meeting of any committee may be taken without a meeting In accordance with Section 2.08 of Article II of these Bylaws. The members of any committee shall act only as a committee, and the individual members of such committee shall have no power in their individual capacities unless expressly authorized by the Board of Directors or the committee.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8" w:name="page79"/>
    <w:bookmarkEnd w:id="78"/>
    <w:p>
      <w:pPr>
        <w:jc w:val="both"/>
        <w:ind w:firstLine="1310"/>
        <w:spacing w:after="0" w:line="279"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Action by Telephonic Communications</w:t>
      </w:r>
      <w:r>
        <w:rPr>
          <w:rFonts w:ascii="Arial" w:cs="Arial" w:eastAsia="Arial" w:hAnsi="Arial"/>
          <w:sz w:val="21"/>
          <w:szCs w:val="21"/>
          <w:color w:val="auto"/>
        </w:rPr>
        <w:t>. Unless otherwise provided by the Board of Directors, members of any committee may participate in a meeting of such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73" w:lineRule="exact"/>
        <w:rPr>
          <w:sz w:val="20"/>
          <w:szCs w:val="20"/>
          <w:color w:val="auto"/>
        </w:rPr>
      </w:pPr>
    </w:p>
    <w:p>
      <w:pPr>
        <w:jc w:val="both"/>
        <w:ind w:firstLine="1310"/>
        <w:spacing w:after="0" w:line="279"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Absent or Disqualified Members</w:t>
      </w:r>
      <w:r>
        <w:rPr>
          <w:rFonts w:ascii="Arial" w:cs="Arial" w:eastAsia="Arial" w:hAnsi="Arial"/>
          <w:sz w:val="21"/>
          <w:szCs w:val="21"/>
          <w:color w:val="auto"/>
        </w:rPr>
        <w:t>. In the absence or disqualification of a member of any committee, if no alternate member is present to act in his or her stead,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73" w:lineRule="exact"/>
        <w:rPr>
          <w:sz w:val="20"/>
          <w:szCs w:val="20"/>
          <w:color w:val="auto"/>
        </w:rPr>
      </w:pPr>
    </w:p>
    <w:p>
      <w:pPr>
        <w:jc w:val="both"/>
        <w:ind w:firstLine="1310"/>
        <w:spacing w:after="0" w:line="327"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Resignations</w:t>
      </w:r>
      <w:r>
        <w:rPr>
          <w:rFonts w:ascii="Arial" w:cs="Arial" w:eastAsia="Arial" w:hAnsi="Arial"/>
          <w:sz w:val="19"/>
          <w:szCs w:val="19"/>
          <w:color w:val="auto"/>
        </w:rPr>
        <w:t>. Any member (and any alternate member) of any committee may resign at any time by submitting an electronic transmission or by delivering a written notice of resignation, signed by such member, to the Board of Directors or the Chairperson of the Board. Unless otherwise specified therein, such resignation shall take effect upon delivery.</w:t>
      </w:r>
    </w:p>
    <w:p>
      <w:pPr>
        <w:spacing w:after="0" w:line="133"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Removal</w:t>
      </w:r>
      <w:r>
        <w:rPr>
          <w:rFonts w:ascii="Arial" w:cs="Arial" w:eastAsia="Arial" w:hAnsi="Arial"/>
          <w:sz w:val="22"/>
          <w:szCs w:val="22"/>
          <w:color w:val="auto"/>
        </w:rPr>
        <w:t>. Any member (and any alternate member) of any committee may be removed at any time, either for or without cause, by resolution adopted by the Board of Directors.</w:t>
      </w:r>
    </w:p>
    <w:p>
      <w:pPr>
        <w:spacing w:after="0" w:line="174" w:lineRule="exact"/>
        <w:rPr>
          <w:sz w:val="20"/>
          <w:szCs w:val="20"/>
          <w:color w:val="auto"/>
        </w:rPr>
      </w:pPr>
    </w:p>
    <w:p>
      <w:pPr>
        <w:jc w:val="both"/>
        <w:ind w:firstLine="1310"/>
        <w:spacing w:after="0" w:line="266"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Vacancies</w:t>
      </w:r>
      <w:r>
        <w:rPr>
          <w:rFonts w:ascii="Arial" w:cs="Arial" w:eastAsia="Arial" w:hAnsi="Arial"/>
          <w:sz w:val="22"/>
          <w:szCs w:val="22"/>
          <w:color w:val="auto"/>
        </w:rPr>
        <w:t>. If any vacancy shall occur in any committee, by reason of disqualification, death, resignation, removal or otherwise, the remaining members (and any alternate members) shall continue to act, and any such vacancy may be filled by the Board of Directors.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OFFICERS</w:t>
      </w:r>
    </w:p>
    <w:p>
      <w:pPr>
        <w:spacing w:after="0" w:line="239" w:lineRule="exact"/>
        <w:rPr>
          <w:sz w:val="20"/>
          <w:szCs w:val="20"/>
          <w:color w:val="auto"/>
        </w:rPr>
      </w:pPr>
    </w:p>
    <w:p>
      <w:pPr>
        <w:jc w:val="both"/>
        <w:ind w:firstLine="1310"/>
        <w:spacing w:after="0" w:line="303"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Board of Directors may elect a Chief Executive Officer to serve at the pleasure of the Board of Directors. The Chief Executive Officer shall (a) supervise the implementation of policies adopted or approved by the Board of Directors, (b) exercise a general supervision and superintendence over all the business and affairs of the Corporation subject to the authority of the Board of Directors, (c) appoint and remove subordinate officers, agents and employees, except those appointed by the Board of Directors, and (d) possess such other powers and perform such other duties as may be assigned to him or her by these Bylaws, as may from time to time be assigned by the Board of Directors and as may be incident to the office of Chief Executive Officer of the Corporation. The Chief Executive Officer shall have general authority to execute bonds, deeds and contracts in the name of the Corporation, except where required or permitted by law to be otherwise signed and executed and except that the other officers of the Corporation may sign and execute documents when so authorized by these Bylaws, the Board of Directors or the Chief Executive Officer.</w:t>
      </w:r>
    </w:p>
    <w:p>
      <w:pPr>
        <w:spacing w:after="0" w:line="158" w:lineRule="exact"/>
        <w:rPr>
          <w:sz w:val="20"/>
          <w:szCs w:val="20"/>
          <w:color w:val="auto"/>
        </w:rPr>
      </w:pPr>
    </w:p>
    <w:p>
      <w:pPr>
        <w:ind w:right="120" w:firstLine="1310"/>
        <w:spacing w:after="0" w:line="276"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Chief Financial Officer of the Corporation</w:t>
      </w:r>
      <w:r>
        <w:rPr>
          <w:rFonts w:ascii="Arial" w:cs="Arial" w:eastAsia="Arial" w:hAnsi="Arial"/>
          <w:sz w:val="22"/>
          <w:szCs w:val="22"/>
          <w:color w:val="auto"/>
        </w:rPr>
        <w:t>. The Board of Directors may elect a Chief Financial Officer of the Corporation to serve at the pleasure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9" w:name="page80"/>
    <w:bookmarkEnd w:id="79"/>
    <w:p>
      <w:pPr>
        <w:jc w:val="both"/>
        <w:spacing w:after="0" w:line="273" w:lineRule="auto"/>
        <w:rPr>
          <w:sz w:val="20"/>
          <w:szCs w:val="20"/>
          <w:color w:val="auto"/>
        </w:rPr>
      </w:pPr>
      <w:r>
        <w:rPr>
          <w:rFonts w:ascii="Arial" w:cs="Arial" w:eastAsia="Arial" w:hAnsi="Arial"/>
          <w:sz w:val="21"/>
          <w:szCs w:val="21"/>
          <w:color w:val="auto"/>
        </w:rPr>
        <w:t>Board of Directors. The Chief Financial Officer of the Corporation shall (a) have the custody of the corporate funds and securities, except as otherwise provided by the Board of Directors, (b) keep full and accurate accounts of receipts and disbursements in books belonging to the Corporation, (c) deposit all moneys and other valuable effects in the name and to the credit of the Corporation in such depositories as may be designated by the Board of Directors, (d) disburse the funds of the Corporation as may be ordered by the Board of Directors, taking proper vouchers for such disbursements, and (e) render to the Chief Executive Officer and the Board of Directors, whenever they may require it, an account of all his or her transactions as Chief Financial Officer and of the financial condition of the Corporation.</w:t>
      </w:r>
    </w:p>
    <w:p>
      <w:pPr>
        <w:spacing w:after="0" w:line="183" w:lineRule="exact"/>
        <w:rPr>
          <w:sz w:val="20"/>
          <w:szCs w:val="20"/>
          <w:color w:val="auto"/>
        </w:rPr>
      </w:pPr>
    </w:p>
    <w:p>
      <w:pPr>
        <w:jc w:val="both"/>
        <w:ind w:firstLine="1310"/>
        <w:spacing w:after="0" w:line="271"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u w:val="single" w:color="auto"/>
          <w:color w:val="auto"/>
        </w:rPr>
        <w:t>Treasurer and Assistant Treasurers</w:t>
      </w:r>
      <w:r>
        <w:rPr>
          <w:rFonts w:ascii="Arial" w:cs="Arial" w:eastAsia="Arial" w:hAnsi="Arial"/>
          <w:sz w:val="21"/>
          <w:szCs w:val="21"/>
          <w:color w:val="auto"/>
        </w:rPr>
        <w:t>. The Board of Directors may elect a Treasurer of the Corporation and any number of Assistant Treasurers to serve at the pleasure of the Board of Directors. The Treasurer shall perform such duties and shall have such powers as may from time to time be assigned by the Board or the Chief Executive Officer or the Chief Financial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authorized by the Board or the Chief Executive Officer, to make proper accounts of such funds, and to render as required by the Board statements of all such transactions and of the financial condition of the Corporation. 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184" w:lineRule="exact"/>
        <w:rPr>
          <w:sz w:val="20"/>
          <w:szCs w:val="20"/>
          <w:color w:val="auto"/>
        </w:rPr>
      </w:pPr>
    </w:p>
    <w:p>
      <w:pPr>
        <w:jc w:val="both"/>
        <w:ind w:firstLine="1310"/>
        <w:spacing w:after="0" w:line="302"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Secretary of the Corporation</w:t>
      </w:r>
      <w:r>
        <w:rPr>
          <w:rFonts w:ascii="Arial" w:cs="Arial" w:eastAsia="Arial" w:hAnsi="Arial"/>
          <w:sz w:val="19"/>
          <w:szCs w:val="19"/>
          <w:color w:val="auto"/>
        </w:rPr>
        <w:t>. The Board of Directors shall elect a Secretary of the Corporation to serve at the pleasure of the Board of Directors. The Secretary of the Corporation shall (a) keep minutes of all meetings of the stockholders and of the Board of Directors, (b) authenticate records of the Corporation, (c) give, or cause to be given, notice of all meetings of the stockholders and special meetings of the Board of Directors, and (d) in general, have such powers and perform such other duties as may be assigned to him or her by these Bylaws, as may from time to time be assigned to him or her by the Board of Directors or the Chief Executive Officer and as may be incident to the office of Secretary of the Corporation.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see that all books, reports, statements certificates and other documents and records required by law to be kept or filed are properly kept or filed, as the case may be, which may be kept or filed (subject to any provision contained in the DGCL) outside the State of Delaware at such place or places as may be designated from time to time by the Board of Directors.</w:t>
      </w:r>
    </w:p>
    <w:p>
      <w:pPr>
        <w:spacing w:after="0" w:line="200" w:lineRule="exact"/>
        <w:rPr>
          <w:sz w:val="20"/>
          <w:szCs w:val="20"/>
          <w:color w:val="auto"/>
        </w:rPr>
      </w:pPr>
    </w:p>
    <w:p>
      <w:pPr>
        <w:spacing w:after="0" w:line="232"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Other Officers Elected by Board of Directors</w:t>
      </w:r>
      <w:r>
        <w:rPr>
          <w:rFonts w:ascii="Arial" w:cs="Arial" w:eastAsia="Arial" w:hAnsi="Arial"/>
          <w:sz w:val="19"/>
          <w:szCs w:val="19"/>
          <w:color w:val="auto"/>
        </w:rPr>
        <w:t>. At any meeting of the Board of Directors, the Board of Directors may elect a President (who may or may not be the Chief Executive Officer), a Chief Operations Officer, Vice Presidents, Assistant Secretaries or such other officers of the Corporation as the Board of Directors may deem necessary, to serve at the pleasure of the Board of Directors. Other officers elected by the Board of Directors shall have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0" w:name="page81"/>
    <w:bookmarkEnd w:id="80"/>
    <w:p>
      <w:pPr>
        <w:jc w:val="both"/>
        <w:spacing w:after="0" w:line="276" w:lineRule="auto"/>
        <w:rPr>
          <w:sz w:val="20"/>
          <w:szCs w:val="20"/>
          <w:color w:val="auto"/>
        </w:rPr>
      </w:pPr>
      <w:r>
        <w:rPr>
          <w:rFonts w:ascii="Arial" w:cs="Arial" w:eastAsia="Arial" w:hAnsi="Arial"/>
          <w:sz w:val="22"/>
          <w:szCs w:val="22"/>
          <w:color w:val="auto"/>
        </w:rPr>
        <w:t>such powers and perform such duties as may be assigned to such officers by or pursuant to authorization of the Board of Directors or by the Chief Executive Officer. Any number of offices may be held by the same person.</w:t>
      </w:r>
    </w:p>
    <w:p>
      <w:pPr>
        <w:spacing w:after="0" w:line="174" w:lineRule="exact"/>
        <w:rPr>
          <w:sz w:val="20"/>
          <w:szCs w:val="20"/>
          <w:color w:val="auto"/>
        </w:rPr>
      </w:pPr>
    </w:p>
    <w:p>
      <w:pPr>
        <w:jc w:val="both"/>
        <w:ind w:firstLine="1310"/>
        <w:spacing w:after="0" w:line="284" w:lineRule="auto"/>
        <w:rPr>
          <w:sz w:val="20"/>
          <w:szCs w:val="20"/>
          <w:color w:val="auto"/>
        </w:rPr>
      </w:pPr>
      <w:r>
        <w:rPr>
          <w:rFonts w:ascii="Arial" w:cs="Arial" w:eastAsia="Arial" w:hAnsi="Arial"/>
          <w:sz w:val="21"/>
          <w:szCs w:val="21"/>
          <w:color w:val="auto"/>
        </w:rPr>
        <w:t xml:space="preserve">Section 4.06. </w:t>
      </w:r>
      <w:r>
        <w:rPr>
          <w:rFonts w:ascii="Arial" w:cs="Arial" w:eastAsia="Arial" w:hAnsi="Arial"/>
          <w:sz w:val="21"/>
          <w:szCs w:val="21"/>
          <w:u w:val="single" w:color="auto"/>
          <w:color w:val="auto"/>
        </w:rPr>
        <w:t>Term of Office</w:t>
      </w:r>
      <w:r>
        <w:rPr>
          <w:rFonts w:ascii="Arial" w:cs="Arial" w:eastAsia="Arial" w:hAnsi="Arial"/>
          <w:sz w:val="21"/>
          <w:szCs w:val="21"/>
          <w:color w:val="auto"/>
        </w:rPr>
        <w:t>. Each officer shall hold office until his or her successor shall have been duly elected and shall have qualified or until his or her death or until he or she shall resign, but, subject to the requirements of the Certificate of Incorporation, any officer may be removed pursuant to the provisions set forth in Section 4.07.</w:t>
      </w:r>
    </w:p>
    <w:p>
      <w:pPr>
        <w:spacing w:after="0" w:line="169" w:lineRule="exact"/>
        <w:rPr>
          <w:sz w:val="20"/>
          <w:szCs w:val="20"/>
          <w:color w:val="auto"/>
        </w:rPr>
      </w:pPr>
    </w:p>
    <w:p>
      <w:pPr>
        <w:jc w:val="both"/>
        <w:ind w:firstLine="1310"/>
        <w:spacing w:after="0" w:line="311"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Removal and Resignation; Vacancies</w:t>
      </w:r>
      <w:r>
        <w:rPr>
          <w:rFonts w:ascii="Arial" w:cs="Arial" w:eastAsia="Arial" w:hAnsi="Arial"/>
          <w:sz w:val="19"/>
          <w:szCs w:val="19"/>
          <w:color w:val="auto"/>
        </w:rPr>
        <w:t>. Any officer may be removed for or without cause at any time by the Board of Directors. Any officer may resign at any time by delivering a resignation in writing or by electronic transmission, signed or given by such officer, to the Board of Directors, the Chief Executive Officer or the Secretary. Unless otherwise specified therein, such resignation shall take effect upon delivery. Any vacancy occurring in any office of the Corporation by death, resignation, removal or otherwise, shall be filled by or pursuant to authorization of the Board of Directors.</w:t>
      </w:r>
    </w:p>
    <w:p>
      <w:pPr>
        <w:spacing w:after="0" w:line="150" w:lineRule="exact"/>
        <w:rPr>
          <w:sz w:val="20"/>
          <w:szCs w:val="20"/>
          <w:color w:val="auto"/>
        </w:rPr>
      </w:pPr>
    </w:p>
    <w:p>
      <w:pPr>
        <w:jc w:val="both"/>
        <w:ind w:firstLine="1310"/>
        <w:spacing w:after="0" w:line="262"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u w:val="single" w:color="auto"/>
          <w:color w:val="auto"/>
        </w:rPr>
        <w:t>Authority and Duties of Officers</w:t>
      </w:r>
      <w:r>
        <w:rPr>
          <w:rFonts w:ascii="Arial" w:cs="Arial" w:eastAsia="Arial" w:hAnsi="Arial"/>
          <w:sz w:val="22"/>
          <w:szCs w:val="22"/>
          <w:color w:val="auto"/>
        </w:rPr>
        <w:t>. The officers of the Corporation shall have such authority and shall exercise such powers and perform such duties as may be specified in these Bylaws or pursuant to authorization of the Board of Directors, or which generally pertain to such officer’s title and each officer shall exercise such powers and perform such duties as may be required by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STOCK</w:t>
      </w:r>
    </w:p>
    <w:p>
      <w:pPr>
        <w:spacing w:after="0" w:line="239" w:lineRule="exact"/>
        <w:rPr>
          <w:sz w:val="20"/>
          <w:szCs w:val="20"/>
          <w:color w:val="auto"/>
        </w:rPr>
      </w:pPr>
    </w:p>
    <w:p>
      <w:pPr>
        <w:jc w:val="both"/>
        <w:ind w:firstLine="1310"/>
        <w:spacing w:after="0" w:line="261"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Certificates of Stock</w:t>
      </w:r>
      <w:r>
        <w:rPr>
          <w:rFonts w:ascii="Arial" w:cs="Arial" w:eastAsia="Arial" w:hAnsi="Arial"/>
          <w:sz w:val="22"/>
          <w:szCs w:val="22"/>
          <w:color w:val="auto"/>
        </w:rPr>
        <w:t>. The Board of Directors may authorize that some or all of the shares of any or all of the Corporation’s classes or series of stock be evidenced by a certificate or certificates of stock. The Board of Directors may also authorize the issue of some or all of the shares of any or all of the Corporation’s classes or series of stock without certificates. The rights and obligations of stockholders with the same class and/or series of stock shall be identical whether or not their shares are represented by certificates.</w:t>
      </w:r>
    </w:p>
    <w:p>
      <w:pPr>
        <w:spacing w:after="0" w:line="190" w:lineRule="exact"/>
        <w:rPr>
          <w:sz w:val="20"/>
          <w:szCs w:val="20"/>
          <w:color w:val="auto"/>
        </w:rPr>
      </w:pPr>
    </w:p>
    <w:p>
      <w:pPr>
        <w:jc w:val="both"/>
        <w:ind w:firstLine="1505"/>
        <w:spacing w:after="0" w:line="271" w:lineRule="auto"/>
        <w:tabs>
          <w:tab w:leader="none" w:pos="197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Shares with Certificates</w:t>
      </w:r>
      <w:r>
        <w:rPr>
          <w:rFonts w:ascii="Arial" w:cs="Arial" w:eastAsia="Arial" w:hAnsi="Arial"/>
          <w:sz w:val="21"/>
          <w:szCs w:val="21"/>
          <w:color w:val="auto"/>
        </w:rPr>
        <w:t>. If the Board of Directors chooses to issue shares of stock evidenced by a certificate or certificates, each individual certificate shall include the following on its face: (i) the Corporation’s name, (ii) the fact that the Corporation is organized under the laws of Delaware, (iii) the name of the person to whom the certificate is issued, (iv) the number of shares represented thereby, (v) the class of shares and the designation of the series, if any, which the certificate represents, and (vi) such other information as applicable law may require or as may be lawful. If the Corporation is authorized to issue different classes of shares or different series within a class, the designations, relative rights, preferences and limitations determined for each class or series (and the authority of the Board of Directors to determine variations for future series) shall be summarized on the front or back of each certificate. Alternatively, each certificate shall state on its front or back that the Corporation will furnish the stockholder this information in writing, without charge, upon request. Each certificate of stock issued by the Corporation shall be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1" w:name="page82"/>
    <w:bookmarkEnd w:id="81"/>
    <w:p>
      <w:pPr>
        <w:spacing w:after="0" w:line="276" w:lineRule="auto"/>
        <w:rPr>
          <w:sz w:val="20"/>
          <w:szCs w:val="20"/>
          <w:color w:val="auto"/>
        </w:rPr>
      </w:pPr>
      <w:r>
        <w:rPr>
          <w:rFonts w:ascii="Arial" w:cs="Arial" w:eastAsia="Arial" w:hAnsi="Arial"/>
          <w:sz w:val="22"/>
          <w:szCs w:val="22"/>
          <w:color w:val="auto"/>
        </w:rPr>
        <w:t>signed by any two officers of the Corporation. If the person who signed a certificate no longer holds office when the certificate is issued, the certificate is nonetheless valid.</w:t>
      </w:r>
    </w:p>
    <w:p>
      <w:pPr>
        <w:spacing w:after="0" w:line="174" w:lineRule="exact"/>
        <w:rPr>
          <w:sz w:val="20"/>
          <w:szCs w:val="20"/>
          <w:color w:val="auto"/>
        </w:rPr>
      </w:pPr>
    </w:p>
    <w:p>
      <w:pPr>
        <w:jc w:val="both"/>
        <w:ind w:firstLine="1505"/>
        <w:spacing w:after="0" w:line="260" w:lineRule="auto"/>
        <w:tabs>
          <w:tab w:leader="none" w:pos="1929"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Shares without Certificates</w:t>
      </w:r>
      <w:r>
        <w:rPr>
          <w:rFonts w:ascii="Arial" w:cs="Arial" w:eastAsia="Arial" w:hAnsi="Arial"/>
          <w:sz w:val="22"/>
          <w:szCs w:val="22"/>
          <w:color w:val="auto"/>
        </w:rPr>
        <w:t>. If the Board of Directors chooses to issue shares of stock without certificates, the Corporation, shall, within a reasonable time after the issue or transfer of shares without certificates, send the stockholder a written notice containing the information required to be set forth or stated on certificates pursuant to the laws of the DGCL.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92" w:lineRule="exact"/>
        <w:rPr>
          <w:sz w:val="20"/>
          <w:szCs w:val="20"/>
          <w:color w:val="auto"/>
        </w:rPr>
      </w:pPr>
    </w:p>
    <w:p>
      <w:pPr>
        <w:jc w:val="both"/>
        <w:ind w:firstLine="1310"/>
        <w:spacing w:after="0" w:line="26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Signatures</w:t>
      </w:r>
      <w:r>
        <w:rPr>
          <w:rFonts w:ascii="Arial" w:cs="Arial" w:eastAsia="Arial" w:hAnsi="Arial"/>
          <w:sz w:val="22"/>
          <w:szCs w:val="22"/>
          <w:color w:val="auto"/>
        </w:rPr>
        <w:t>. All signatures on the certificate referred to in Section 5.01 of these Bylaws may be in engraved or printed form, to the extent permitted by law. In case any officer, transfer agent or registrar who has signed, or whose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90" w:lineRule="exact"/>
        <w:rPr>
          <w:sz w:val="20"/>
          <w:szCs w:val="20"/>
          <w:color w:val="auto"/>
        </w:rPr>
      </w:pPr>
    </w:p>
    <w:p>
      <w:pPr>
        <w:jc w:val="both"/>
        <w:ind w:firstLine="1310"/>
        <w:spacing w:after="0" w:line="272"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Lost, Stolen or Destroyed Certificates</w:t>
      </w:r>
      <w:r>
        <w:rPr>
          <w:rFonts w:ascii="Arial" w:cs="Arial" w:eastAsia="Arial" w:hAnsi="Arial"/>
          <w:sz w:val="21"/>
          <w:szCs w:val="21"/>
          <w:color w:val="auto"/>
        </w:rPr>
        <w:t>. Except as provided in this Section 5.03, no new share certificates for shares shall be issued to replace a previously issued certificate unless the latter is surrendered to the Corporation and cancelled at the same time. The Corporation may direct that a new certificate be issued in place of any certificate theretofore issued by the Corporation alleged to have been lost, stolen or destroyed, upon delivery to the Corporation of an affidavit (or other document acceptable to the Corporation) of the owner or owners of such certificate, setting forth such allegation. The Corporation may require the owner of such lost, stolen or destroyed certificate, or his or her legal representative, to give the Corporation a bond (or other security, including an indemnification agreement) sufficient to indemnify it against any claim that may be made against it on account of the alleged loss, theft or destruction of any such certificate or the issuance of any such new certificate.</w:t>
      </w:r>
    </w:p>
    <w:p>
      <w:pPr>
        <w:spacing w:after="0" w:line="183" w:lineRule="exact"/>
        <w:rPr>
          <w:sz w:val="20"/>
          <w:szCs w:val="20"/>
          <w:color w:val="auto"/>
        </w:rPr>
      </w:pPr>
    </w:p>
    <w:p>
      <w:pPr>
        <w:jc w:val="both"/>
        <w:ind w:firstLine="1310"/>
        <w:spacing w:after="0" w:line="271"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Transfer of Stock</w:t>
      </w:r>
      <w:r>
        <w:rPr>
          <w:rFonts w:ascii="Arial" w:cs="Arial" w:eastAsia="Arial" w:hAnsi="Arial"/>
          <w:sz w:val="21"/>
          <w:szCs w:val="21"/>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the laws of the DGCL. Subject to the provisions of the Certificate of Incorporation and these Bylaws, the Board of Directors may prescribe such additional rules and regulations as it may deem appropriate relating to the issue, transfer and registration of shares of the Corporation. Except as otherwise required by law, no transfer of stock shall be valid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2" w:name="page83"/>
    <w:bookmarkEnd w:id="82"/>
    <w:p>
      <w:pPr>
        <w:ind w:left="1320"/>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Record Date</w:t>
      </w:r>
      <w:r>
        <w:rPr>
          <w:rFonts w:ascii="Arial" w:cs="Arial" w:eastAsia="Arial" w:hAnsi="Arial"/>
          <w:sz w:val="22"/>
          <w:szCs w:val="22"/>
          <w:color w:val="auto"/>
        </w:rPr>
        <w:t>.</w:t>
      </w:r>
    </w:p>
    <w:p>
      <w:pPr>
        <w:spacing w:after="0" w:line="233" w:lineRule="exact"/>
        <w:rPr>
          <w:sz w:val="20"/>
          <w:szCs w:val="20"/>
          <w:color w:val="auto"/>
        </w:rPr>
      </w:pPr>
    </w:p>
    <w:p>
      <w:pPr>
        <w:ind w:firstLine="1505"/>
        <w:spacing w:after="0" w:line="301" w:lineRule="auto"/>
        <w:tabs>
          <w:tab w:leader="none" w:pos="1791"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In order to determine the stockholders entitled to notice of any meeting of stockholders or any adjournment thereof, the Board of Directors may fix, in advance, a record date, which record date shall not precede the date on which the resolution fixing the record date is adopted by the Board of Directors, and which shall not be more than sixty (60) nor fewer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3" w:lineRule="exact"/>
        <w:rPr>
          <w:rFonts w:ascii="Arial" w:cs="Arial" w:eastAsia="Arial" w:hAnsi="Arial"/>
          <w:sz w:val="19"/>
          <w:szCs w:val="19"/>
          <w:color w:val="auto"/>
        </w:rPr>
      </w:pPr>
    </w:p>
    <w:p>
      <w:pPr>
        <w:jc w:val="both"/>
        <w:ind w:firstLine="1505"/>
        <w:spacing w:after="0" w:line="259" w:lineRule="auto"/>
        <w:tabs>
          <w:tab w:leader="none" w:pos="1809"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order that the Corporation may determine the stockholders entitled to receive payment of any dividend or other distribution or 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95" w:lineRule="exact"/>
        <w:rPr>
          <w:rFonts w:ascii="Arial" w:cs="Arial" w:eastAsia="Arial" w:hAnsi="Arial"/>
          <w:sz w:val="22"/>
          <w:szCs w:val="22"/>
          <w:color w:val="auto"/>
        </w:rPr>
      </w:pPr>
    </w:p>
    <w:p>
      <w:pPr>
        <w:jc w:val="both"/>
        <w:ind w:firstLine="1505"/>
        <w:spacing w:after="0" w:line="271" w:lineRule="auto"/>
        <w:tabs>
          <w:tab w:leader="none" w:pos="1802" w:val="left"/>
        </w:tabs>
        <w:numPr>
          <w:ilvl w:val="0"/>
          <w:numId w:val="62"/>
        </w:numPr>
        <w:rPr>
          <w:rFonts w:ascii="Arial" w:cs="Arial" w:eastAsia="Arial" w:hAnsi="Arial"/>
          <w:sz w:val="21"/>
          <w:szCs w:val="21"/>
          <w:color w:val="auto"/>
        </w:rPr>
      </w:pPr>
      <w:r>
        <w:rPr>
          <w:rFonts w:ascii="Arial" w:cs="Arial" w:eastAsia="Arial" w:hAnsi="Arial"/>
          <w:sz w:val="21"/>
          <w:szCs w:val="21"/>
          <w:color w:val="auto"/>
        </w:rPr>
        <w:t>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00" w:lineRule="exact"/>
        <w:rPr>
          <w:sz w:val="20"/>
          <w:szCs w:val="20"/>
          <w:color w:val="auto"/>
        </w:rPr>
      </w:pPr>
    </w:p>
    <w:p>
      <w:pPr>
        <w:spacing w:after="0" w:line="259" w:lineRule="exact"/>
        <w:rPr>
          <w:sz w:val="20"/>
          <w:szCs w:val="20"/>
          <w:color w:val="auto"/>
        </w:rPr>
      </w:pPr>
    </w:p>
    <w:p>
      <w:pPr>
        <w:ind w:right="20" w:firstLine="1310"/>
        <w:spacing w:after="0" w:line="276"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Registered Stockholders</w:t>
      </w:r>
      <w:r>
        <w:rPr>
          <w:rFonts w:ascii="Arial" w:cs="Arial" w:eastAsia="Arial" w:hAnsi="Arial"/>
          <w:sz w:val="22"/>
          <w:szCs w:val="22"/>
          <w:color w:val="auto"/>
        </w:rPr>
        <w:t>. The Corporation may treat the registered owner as the person exclusively entitled to receive dividends and other distributions, to vote,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3" w:name="page84"/>
    <w:bookmarkEnd w:id="83"/>
    <w:p>
      <w:pPr>
        <w:spacing w:after="0"/>
        <w:rPr>
          <w:sz w:val="20"/>
          <w:szCs w:val="20"/>
          <w:color w:val="auto"/>
        </w:rPr>
      </w:pPr>
      <w:r>
        <w:rPr>
          <w:rFonts w:ascii="Arial" w:cs="Arial" w:eastAsia="Arial" w:hAnsi="Arial"/>
          <w:sz w:val="19"/>
          <w:szCs w:val="19"/>
          <w:color w:val="auto"/>
        </w:rPr>
        <w:t>receive notice and otherwise to exercise all the rights and powers of the owner of the shares represented by such certificate.</w:t>
      </w:r>
    </w:p>
    <w:p>
      <w:pPr>
        <w:spacing w:after="0" w:line="268" w:lineRule="exact"/>
        <w:rPr>
          <w:sz w:val="20"/>
          <w:szCs w:val="20"/>
          <w:color w:val="auto"/>
        </w:rPr>
      </w:pPr>
    </w:p>
    <w:p>
      <w:pPr>
        <w:jc w:val="both"/>
        <w:ind w:firstLine="1310"/>
        <w:spacing w:after="0" w:line="266"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Transfer Agent and Registrar</w:t>
      </w:r>
      <w:r>
        <w:rPr>
          <w:rFonts w:ascii="Arial" w:cs="Arial" w:eastAsia="Arial" w:hAnsi="Arial"/>
          <w:sz w:val="22"/>
          <w:szCs w:val="22"/>
          <w:color w:val="auto"/>
        </w:rPr>
        <w:t>. The Board of Directors may appoint one (1) or more transfer agents and one (1) or more registrars, and may require all certificates representing shares to bear the signature of any such transfer agents or registrars.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39" w:lineRule="exact"/>
        <w:rPr>
          <w:sz w:val="20"/>
          <w:szCs w:val="20"/>
          <w:color w:val="auto"/>
        </w:rPr>
      </w:pPr>
    </w:p>
    <w:p>
      <w:pPr>
        <w:jc w:val="both"/>
        <w:ind w:firstLine="1310"/>
        <w:spacing w:after="0" w:line="279"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Indemnification and Advancement of Expenses</w:t>
      </w:r>
      <w:r>
        <w:rPr>
          <w:rFonts w:ascii="Arial" w:cs="Arial" w:eastAsia="Arial" w:hAnsi="Arial"/>
          <w:sz w:val="21"/>
          <w:szCs w:val="21"/>
          <w:color w:val="auto"/>
        </w:rPr>
        <w:t>. The Corporation shall indemnify and provide advancement to any Indemnitee (as defined below) to the fullest extent permitted by law, as such may be amended from time to time. The rights to indemnification and advancement conferred in this Section shall be contract rights. In furtherance of the foregoing indemnification and advancement obligations, and without limiting the generality thereof:</w:t>
      </w:r>
    </w:p>
    <w:p>
      <w:pPr>
        <w:spacing w:after="0" w:line="173" w:lineRule="exact"/>
        <w:rPr>
          <w:sz w:val="20"/>
          <w:szCs w:val="20"/>
          <w:color w:val="auto"/>
        </w:rPr>
      </w:pPr>
    </w:p>
    <w:p>
      <w:pPr>
        <w:jc w:val="both"/>
        <w:ind w:firstLine="1505"/>
        <w:spacing w:after="0" w:line="302" w:lineRule="auto"/>
        <w:tabs>
          <w:tab w:leader="none" w:pos="195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Proceedings Other Than Proceedings by or in the Right of the Corporation</w:t>
      </w:r>
      <w:r>
        <w:rPr>
          <w:rFonts w:ascii="Arial" w:cs="Arial" w:eastAsia="Arial" w:hAnsi="Arial"/>
          <w:sz w:val="19"/>
          <w:szCs w:val="19"/>
          <w:color w:val="auto"/>
        </w:rPr>
        <w:t xml:space="preserve">. Any Indemnitee shall be entitled to the rights of indemnification and advancement provided in this Section 6.01(a) if, by reason of his or her Corporate Status (as defined below), Indemnitee is, or is threatened to be made, a party to or participant in any Proceeding other than a Proceeding by or in the right of the Corporation. Pursuant to this Section 6.01(a), any Indemnitee shall be indemnified against all Expenses,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505"/>
        <w:spacing w:after="0" w:line="271" w:lineRule="auto"/>
        <w:tabs>
          <w:tab w:leader="none" w:pos="195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Proceedings by or in the Right of the Corporation</w:t>
      </w:r>
      <w:r>
        <w:rPr>
          <w:rFonts w:ascii="Arial" w:cs="Arial" w:eastAsia="Arial" w:hAnsi="Arial"/>
          <w:sz w:val="21"/>
          <w:szCs w:val="21"/>
          <w:color w:val="auto"/>
        </w:rPr>
        <w:t xml:space="preserve">. Any Indemnitee shall be entitled to the rights of indemnification and advancement provided in this Section 6.01(b) if, by reason of his or her Corporate Status, Indemnitee is, or is threatened to be made, a party to or participant in any Proceeding brought by or in the right of the Corporation. Pursuant to this Section 6.01(b),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applicable law so provides, no indemnification against such Expenses shall be made in respect of any claim, issue or matter in such Proceeding as to which Indemnitee shall have been finally adjudged to be liable to the Corporation unless and to the extent that the Court of Chancery of the State of Delaware or the court in which such Proceeding was brought shall determine that such indemnification may be made.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4" w:name="page85"/>
    <w:bookmarkEnd w:id="84"/>
    <w:p>
      <w:pPr>
        <w:jc w:val="both"/>
        <w:ind w:firstLine="1505"/>
        <w:spacing w:after="0" w:line="300" w:lineRule="auto"/>
        <w:tabs>
          <w:tab w:leader="none" w:pos="198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Other Sources</w:t>
      </w:r>
      <w:r>
        <w:rPr>
          <w:rFonts w:ascii="Arial" w:cs="Arial" w:eastAsia="Arial" w:hAnsi="Arial"/>
          <w:sz w:val="19"/>
          <w:szCs w:val="19"/>
          <w:color w:val="auto"/>
        </w:rPr>
        <w:t>. The Corporation hereby acknowledges that Indemnitees may have certain rights to indemnification, advancement of expenses and/or insurance provided by sources other than the Corporation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Indemnitors</w:t>
      </w:r>
      <w:r>
        <w:rPr>
          <w:rFonts w:ascii="Arial" w:cs="Arial" w:eastAsia="Arial" w:hAnsi="Arial"/>
          <w:sz w:val="19"/>
          <w:szCs w:val="19"/>
          <w:color w:val="auto"/>
        </w:rPr>
        <w:t>”). The Corporation hereby agrees (i) that it is the indemnitor of first resort (</w:t>
      </w:r>
      <w:r>
        <w:rPr>
          <w:rFonts w:ascii="Arial" w:cs="Arial" w:eastAsia="Arial" w:hAnsi="Arial"/>
          <w:sz w:val="19"/>
          <w:szCs w:val="19"/>
          <w:u w:val="single" w:color="auto"/>
          <w:color w:val="auto"/>
        </w:rPr>
        <w:t>i.e.</w:t>
      </w:r>
      <w:r>
        <w:rPr>
          <w:rFonts w:ascii="Arial" w:cs="Arial" w:eastAsia="Arial" w:hAnsi="Arial"/>
          <w:sz w:val="19"/>
          <w:szCs w:val="19"/>
          <w:color w:val="auto"/>
        </w:rPr>
        <w:t>, its obligations to the Indemnitees are primary and any obligation of the Third Party Indemnitors to advance expenses or to provide indemnification for the same expenses or liabilities incurred by the Indemnitees are secondary), (ii) that it shall be required to advance the full amount of Expenses incurred by the Indemnitees and shall be liable for the full amount of all Expenses, judgments, penalties, fines and amounts paid in settlement by reason of such Indemnitee’s Corporate Status to the extent legally permitted and as required by the terms of this paragraph and the Bylaws of the Corporation from time to time (or any other agreement between the Corporation and the Indemnitees), without regard to any rights the Indemnitees may have against the Third Party Indemnitors, and (iii) that it irrevocably waives, relinquishes and releases the Third Party Indemnitors from any and all claims against the Third Party Indemnitors for contribution, subrogation or any other recovery of any kind in respect thereof. The Corporation further agrees that no advancement or payment by the Third Party Indemnitors on behalf of the Indemnitees with respect to any claim for which the Indemnitees have sought indemnification from the Corporation shall affect the foregoing and the Third Party Indemnitors shall have a right of contribution and/or to be subrogated to the extent of such advancement or payment to all of the rights of recovery of the Indemnitees against the Corporation. The Corporation and the Indemnitees agree that the Third Party Indemnitors are express third party beneficiaries of the terms of this paragraph.</w:t>
      </w:r>
    </w:p>
    <w:p>
      <w:pPr>
        <w:spacing w:after="0" w:line="200" w:lineRule="exact"/>
        <w:rPr>
          <w:sz w:val="20"/>
          <w:szCs w:val="20"/>
          <w:color w:val="auto"/>
        </w:rPr>
      </w:pPr>
    </w:p>
    <w:p>
      <w:pPr>
        <w:spacing w:after="0" w:line="239" w:lineRule="exact"/>
        <w:rPr>
          <w:sz w:val="20"/>
          <w:szCs w:val="20"/>
          <w:color w:val="auto"/>
        </w:rPr>
      </w:pPr>
    </w:p>
    <w:p>
      <w:pPr>
        <w:jc w:val="both"/>
        <w:ind w:firstLine="1318"/>
        <w:spacing w:after="0" w:line="271"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Notwithstanding any other provision of this Article VI,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6.02 and without limitation, the termination of any claim, issue or matter in such a Proceeding by dismissal, with or without prejudice, shall be deemed to be a successful result as to such claim, issue or matter.</w:t>
      </w:r>
    </w:p>
    <w:p>
      <w:pPr>
        <w:spacing w:after="0" w:line="189" w:lineRule="exact"/>
        <w:rPr>
          <w:sz w:val="20"/>
          <w:szCs w:val="20"/>
          <w:color w:val="auto"/>
        </w:rPr>
      </w:pPr>
    </w:p>
    <w:p>
      <w:pPr>
        <w:jc w:val="both"/>
        <w:ind w:firstLine="1318"/>
        <w:spacing w:after="0" w:line="261"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Employees and Agents</w:t>
      </w:r>
      <w:r>
        <w:rPr>
          <w:rFonts w:ascii="Arial" w:cs="Arial" w:eastAsia="Arial" w:hAnsi="Arial"/>
          <w:sz w:val="22"/>
          <w:szCs w:val="22"/>
          <w:color w:val="auto"/>
        </w:rPr>
        <w:t>. This Article VI shall not limit the right of the Corporation, to the extent and in the manner permitted by law, to indemnify and to advance expenses to persons other than Indemnitees when and as authorized by appropriate corporate action. Without limiting the generality of the foregoing, the Corporation may, to the extent authorized from time to time by the Board of Directors, provide rights to indemnification and advancement of expenses to employees and agents of the Corporation.</w:t>
      </w:r>
    </w:p>
    <w:p>
      <w:pPr>
        <w:spacing w:after="0" w:line="190" w:lineRule="exact"/>
        <w:rPr>
          <w:sz w:val="20"/>
          <w:szCs w:val="20"/>
          <w:color w:val="auto"/>
        </w:rPr>
      </w:pPr>
    </w:p>
    <w:p>
      <w:pPr>
        <w:jc w:val="both"/>
        <w:ind w:firstLine="1318"/>
        <w:spacing w:after="0" w:line="262"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Advancement of Expenses</w:t>
      </w:r>
      <w:r>
        <w:rPr>
          <w:rFonts w:ascii="Arial" w:cs="Arial" w:eastAsia="Arial" w:hAnsi="Arial"/>
          <w:sz w:val="22"/>
          <w:szCs w:val="22"/>
          <w:color w:val="auto"/>
        </w:rPr>
        <w:t>. Notwithstanding any other provision of this Article VI, the Corporation shall advance all Expenses incurred by or on behalf of any Indemnitee in connection with any Proceeding by reason of Indemnitee’s Corporate Status within thirty (30) days after the receipt by the Corporation of a statement or statements from Indemnitee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5" w:name="page86"/>
    <w:bookmarkEnd w:id="85"/>
    <w:p>
      <w:pPr>
        <w:jc w:val="both"/>
        <w:spacing w:after="0" w:line="308" w:lineRule="auto"/>
        <w:rPr>
          <w:sz w:val="20"/>
          <w:szCs w:val="20"/>
          <w:color w:val="auto"/>
        </w:rPr>
      </w:pPr>
      <w:r>
        <w:rPr>
          <w:rFonts w:ascii="Arial" w:cs="Arial" w:eastAsia="Arial" w:hAnsi="Arial"/>
          <w:sz w:val="19"/>
          <w:szCs w:val="19"/>
          <w:color w:val="auto"/>
        </w:rPr>
        <w:t>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6.04 shall be unsecured and interest free.</w:t>
      </w:r>
    </w:p>
    <w:p>
      <w:pPr>
        <w:spacing w:after="0" w:line="154" w:lineRule="exact"/>
        <w:rPr>
          <w:sz w:val="20"/>
          <w:szCs w:val="20"/>
          <w:color w:val="auto"/>
        </w:rPr>
      </w:pPr>
    </w:p>
    <w:p>
      <w:pPr>
        <w:jc w:val="both"/>
        <w:ind w:firstLine="1318"/>
        <w:spacing w:after="0" w:line="311"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Non-Exclusivity</w:t>
      </w:r>
      <w:r>
        <w:rPr>
          <w:rFonts w:ascii="Arial" w:cs="Arial" w:eastAsia="Arial" w:hAnsi="Arial"/>
          <w:sz w:val="19"/>
          <w:szCs w:val="19"/>
          <w:color w:val="auto"/>
        </w:rPr>
        <w:t>. The rights to indemnification and to the payment of Expenses incurred in defending a Proceeding in advance of the final disposition of such Proceeding conferred in this Article VI shall not be exclusive of any other rights which any person may have or hereafter acquire under applicable law, the Certificate of Incorporation, these Bylaws, any agreement, vote of stockholders, resolution of directors or otherwise. The assertion or employment of any right or remedy in this Article VI, or otherwise, shall not prevent the concurrent assertion or employment of any other right or remedy.</w:t>
      </w:r>
    </w:p>
    <w:p>
      <w:pPr>
        <w:spacing w:after="0" w:line="150" w:lineRule="exact"/>
        <w:rPr>
          <w:sz w:val="20"/>
          <w:szCs w:val="20"/>
          <w:color w:val="auto"/>
        </w:rPr>
      </w:pPr>
    </w:p>
    <w:p>
      <w:pPr>
        <w:jc w:val="both"/>
        <w:ind w:firstLine="1318"/>
        <w:spacing w:after="0" w:line="273"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shall have the power to purchase and maintain insurance, at its expense, to the fullest extent permitted by law, as such may be amended from time to time. Without limiting the generality of the foregoing, the Corporation shall have the power to purchase and maintain insurance on behalf of any person who is or was or has agreed to become a director, officer, employee or agent of the Corporation, or who is serving, was serving, or has agreed to serve at the request of the Corporation as a director, officer, trustee, general partner, managing member, fiduciary, employee or agent of any other Enterprise,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79" w:lineRule="exact"/>
        <w:rPr>
          <w:sz w:val="20"/>
          <w:szCs w:val="20"/>
          <w:color w:val="auto"/>
        </w:rPr>
      </w:pPr>
    </w:p>
    <w:p>
      <w:pPr>
        <w:jc w:val="both"/>
        <w:ind w:firstLine="1318"/>
        <w:spacing w:after="0" w:line="266"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Exception to Rights of Indemnification and Advancement</w:t>
      </w:r>
      <w:r>
        <w:rPr>
          <w:rFonts w:ascii="Arial" w:cs="Arial" w:eastAsia="Arial" w:hAnsi="Arial"/>
          <w:sz w:val="22"/>
          <w:szCs w:val="22"/>
          <w:color w:val="auto"/>
        </w:rPr>
        <w:t>. Notwithstanding any provision in this Article VI, the Corporation shall not be obligated by this Article VI to make any indemnity or advancement in connection with any claim made against an Indemnitee:</w:t>
      </w:r>
    </w:p>
    <w:p>
      <w:pPr>
        <w:spacing w:after="0" w:line="185" w:lineRule="exact"/>
        <w:rPr>
          <w:sz w:val="20"/>
          <w:szCs w:val="20"/>
          <w:color w:val="auto"/>
        </w:rPr>
      </w:pPr>
    </w:p>
    <w:p>
      <w:pPr>
        <w:jc w:val="both"/>
        <w:ind w:firstLine="1505"/>
        <w:spacing w:after="0" w:line="266" w:lineRule="auto"/>
        <w:tabs>
          <w:tab w:leader="none" w:pos="1929" w:val="left"/>
        </w:tabs>
        <w:numPr>
          <w:ilvl w:val="0"/>
          <w:numId w:val="65"/>
        </w:numPr>
        <w:rPr>
          <w:rFonts w:ascii="Arial" w:cs="Arial" w:eastAsia="Arial" w:hAnsi="Arial"/>
          <w:sz w:val="22"/>
          <w:szCs w:val="22"/>
          <w:color w:val="auto"/>
        </w:rPr>
      </w:pPr>
      <w:r>
        <w:rPr>
          <w:rFonts w:ascii="Arial" w:cs="Arial" w:eastAsia="Arial" w:hAnsi="Arial"/>
          <w:sz w:val="22"/>
          <w:szCs w:val="22"/>
          <w:color w:val="auto"/>
        </w:rPr>
        <w:t>subject to Section 6.01(c), for which payment has actually been made to or on behalf of such Indemnitee under any insurance policy or other indemnity provision, except with respect to any excess beyond the amount paid under any insurance policy or other indemnity provision;</w:t>
      </w:r>
    </w:p>
    <w:p>
      <w:pPr>
        <w:spacing w:after="0" w:line="18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8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6" w:name="page87"/>
    <w:bookmarkEnd w:id="86"/>
    <w:p>
      <w:pPr>
        <w:jc w:val="both"/>
        <w:ind w:firstLine="1505"/>
        <w:spacing w:after="0" w:line="259" w:lineRule="auto"/>
        <w:tabs>
          <w:tab w:leader="none" w:pos="1929"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such Proceeding’s initiation, the Board of Directors 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 Section 12 of the Certificate of Incorporation, or any other indemnification, advancement or exculpation rights to which Indemnitee may at any time be entitled under applicable law or any agreement.</w:t>
      </w:r>
    </w:p>
    <w:p>
      <w:pPr>
        <w:spacing w:after="0" w:line="192"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Article VI:</w:t>
      </w:r>
    </w:p>
    <w:p>
      <w:pPr>
        <w:spacing w:after="0" w:line="233" w:lineRule="exact"/>
        <w:rPr>
          <w:sz w:val="20"/>
          <w:szCs w:val="20"/>
          <w:color w:val="auto"/>
        </w:rPr>
      </w:pPr>
    </w:p>
    <w:p>
      <w:pPr>
        <w:jc w:val="both"/>
        <w:ind w:firstLine="1505"/>
        <w:spacing w:after="0" w:line="262" w:lineRule="auto"/>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Status</w:t>
      </w:r>
      <w:r>
        <w:rPr>
          <w:rFonts w:ascii="Arial" w:cs="Arial" w:eastAsia="Arial" w:hAnsi="Arial"/>
          <w:sz w:val="22"/>
          <w:szCs w:val="22"/>
          <w:color w:val="auto"/>
        </w:rPr>
        <w:t>” describes the status of an individual who is or was or has agreed to become a director or officer of the Corporation or while an officer or director of the Corporation who is serving, was serving, or has agreed to serve at the request of the Corporation as a director, officer, trustee, general partner, managing member, fiduciary, employee or agent of any other Enterprise.</w:t>
      </w:r>
    </w:p>
    <w:p>
      <w:pPr>
        <w:spacing w:after="0" w:line="191" w:lineRule="exact"/>
        <w:rPr>
          <w:rFonts w:ascii="Arial" w:cs="Arial" w:eastAsia="Arial" w:hAnsi="Arial"/>
          <w:sz w:val="22"/>
          <w:szCs w:val="22"/>
          <w:color w:val="auto"/>
        </w:rPr>
      </w:pPr>
    </w:p>
    <w:p>
      <w:pPr>
        <w:jc w:val="both"/>
        <w:ind w:firstLine="1505"/>
        <w:spacing w:after="0" w:line="261" w:lineRule="auto"/>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190" w:lineRule="exact"/>
        <w:rPr>
          <w:rFonts w:ascii="Arial" w:cs="Arial" w:eastAsia="Arial" w:hAnsi="Arial"/>
          <w:sz w:val="22"/>
          <w:szCs w:val="22"/>
          <w:color w:val="auto"/>
        </w:rPr>
      </w:pPr>
    </w:p>
    <w:p>
      <w:pPr>
        <w:jc w:val="both"/>
        <w:ind w:firstLine="1505"/>
        <w:spacing w:after="0" w:line="302" w:lineRule="auto"/>
        <w:tabs>
          <w:tab w:leader="none" w:pos="1929" w:val="left"/>
        </w:tabs>
        <w:numPr>
          <w:ilvl w:val="0"/>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supersedes bond, or other appeal bond or its equivalent.</w:t>
      </w:r>
    </w:p>
    <w:p>
      <w:pPr>
        <w:spacing w:after="0" w:line="161" w:lineRule="exact"/>
        <w:rPr>
          <w:rFonts w:ascii="Arial" w:cs="Arial" w:eastAsia="Arial" w:hAnsi="Arial"/>
          <w:sz w:val="19"/>
          <w:szCs w:val="19"/>
          <w:color w:val="auto"/>
        </w:rPr>
      </w:pPr>
    </w:p>
    <w:p>
      <w:pPr>
        <w:ind w:left="1940" w:hanging="435"/>
        <w:spacing w:after="0"/>
        <w:tabs>
          <w:tab w:leader="none" w:pos="19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means any current or former director or officer of the Corporation; and</w:t>
      </w:r>
    </w:p>
    <w:p>
      <w:pPr>
        <w:spacing w:after="0" w:line="233"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Proceeding</w:t>
      </w:r>
      <w:r>
        <w:rPr>
          <w:rFonts w:ascii="Arial" w:cs="Arial" w:eastAsia="Arial" w:hAnsi="Arial"/>
          <w:sz w:val="22"/>
          <w:szCs w:val="22"/>
          <w:color w:val="auto"/>
        </w:rPr>
        <w:t>” shall include any threatened, pending or completed action, suit, arbitration, mediation, alternate dispute resolution mechanism, investigation, inquiry, administrative hearing or any other actual, threatened or completed proceeding, whether brought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22"/>
          <w:szCs w:val="22"/>
          <w:color w:val="auto"/>
        </w:rPr>
        <w:t>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if Indemnitee’s Corporate Status, by reason of any action (or failure to act) taken by him or of any action (or failure to act) on his part while acting pursuant to his Corporate Status, whether or not serving in such capacity at the time any liability or expense is incurred for which indemnification, reimbursement, or advancement of expenses can be provided under this Article VI. If the Indemnitee believes in good faith that a given situation may lead to or culminate in the institution of a Proceeding, this shall be considered a Proceeding under this Article VI.</w:t>
      </w:r>
    </w:p>
    <w:p>
      <w:pPr>
        <w:spacing w:after="0" w:line="192" w:lineRule="exact"/>
        <w:rPr>
          <w:sz w:val="20"/>
          <w:szCs w:val="20"/>
          <w:color w:val="auto"/>
        </w:rPr>
      </w:pPr>
    </w:p>
    <w:p>
      <w:pPr>
        <w:jc w:val="both"/>
        <w:ind w:firstLine="1310"/>
        <w:spacing w:after="0" w:line="300"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Right of Indemnitee to Bring Suit</w:t>
      </w:r>
      <w:r>
        <w:rPr>
          <w:rFonts w:ascii="Arial" w:cs="Arial" w:eastAsia="Arial" w:hAnsi="Arial"/>
          <w:sz w:val="19"/>
          <w:szCs w:val="19"/>
          <w:color w:val="auto"/>
        </w:rPr>
        <w:t>. If a claim under this Article VI is not paid in full by the Corporation within ninety (90) days after a written claim has been received by the Corporation, Indemnitee may at any time thereafter bring suit against the Corporation in the Court of Chancery of the State of Delaware or any other court of competent jurisdiction in the State of Delaware to recover the unpaid amount of the claim. In any such action, the Corporation shall have the burden of proving that Indemnitee was not entitled to the requested indemnification, advancement or payment of Expenses. It shall be a defense to any such action (other than an action brought to enforce a claim for Expenses incurred in defending any proceeding in advance of its final disposition where the required undertaking, if any is required, has been tendered to the Corporation) that Indemnitee has not met the standards of conduct which make it permissible under these Bylaws, the Certificate of Incorporation or the DGCL for the Corporation to indemnify Indemnitee for the amount claimed. Neither the failure of the Corporation (including its Board of Directors, independent legal counsel, or its stockholders) to have made a determination prior to the commencement of such action that indemnification or advancement is proper in the circumstances because Indemnitee has met the applicable standard of conduct set forth in these Bylaws, the Certificate of Incorporation or the DGCL, nor an actual determination by the Corporation (including its Board of Directors, independent legal counsel, or its stockholders) that Indemnitee has not met such applicable standard of conduct, shall be a defense to the action or create a presumption that Indemnitee has not met any applicable standard of conduct. If successful, in whole or in part, Indemnitee shall also be entitled to be paid the Expenses of prosecuting such action to the fullest extent permitted by law.</w:t>
      </w:r>
    </w:p>
    <w:p>
      <w:pPr>
        <w:spacing w:after="0" w:line="200" w:lineRule="exact"/>
        <w:rPr>
          <w:sz w:val="20"/>
          <w:szCs w:val="20"/>
          <w:color w:val="auto"/>
        </w:rPr>
      </w:pPr>
    </w:p>
    <w:p>
      <w:pPr>
        <w:spacing w:after="0" w:line="239" w:lineRule="exact"/>
        <w:rPr>
          <w:sz w:val="20"/>
          <w:szCs w:val="20"/>
          <w:color w:val="auto"/>
        </w:rPr>
      </w:pPr>
    </w:p>
    <w:p>
      <w:pPr>
        <w:jc w:val="both"/>
        <w:ind w:firstLine="1310"/>
        <w:spacing w:after="0" w:line="327"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Survival of Indemnification and Advancement of Expenses</w:t>
      </w:r>
      <w:r>
        <w:rPr>
          <w:rFonts w:ascii="Arial" w:cs="Arial" w:eastAsia="Arial" w:hAnsi="Arial"/>
          <w:sz w:val="19"/>
          <w:szCs w:val="19"/>
          <w:color w:val="auto"/>
        </w:rPr>
        <w:t>. The indemnification and advancement of expenses provided by, or granted pursuant to, this Article VI shall continue as to a person who has ceased to be a director or officer and shall inure to the benefit of the heirs, executors and administrators of such a person.</w:t>
      </w:r>
    </w:p>
    <w:p>
      <w:pPr>
        <w:spacing w:after="0" w:line="133" w:lineRule="exact"/>
        <w:rPr>
          <w:sz w:val="20"/>
          <w:szCs w:val="20"/>
          <w:color w:val="auto"/>
        </w:rPr>
      </w:pPr>
    </w:p>
    <w:p>
      <w:pPr>
        <w:jc w:val="both"/>
        <w:ind w:firstLine="1310"/>
        <w:spacing w:after="0" w:line="266"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Change in Rights</w:t>
      </w:r>
      <w:r>
        <w:rPr>
          <w:rFonts w:ascii="Arial" w:cs="Arial" w:eastAsia="Arial" w:hAnsi="Arial"/>
          <w:sz w:val="22"/>
          <w:szCs w:val="22"/>
          <w:color w:val="auto"/>
        </w:rPr>
        <w:t>. Neither any amendment nor repeal of this Article VI, nor the adoption of any provision in these Bylaws inconsistent with this Article VI, shall eliminate or reduce the effect of this Article VI in respect of any acts or omissions occurring prior to such alteration, amendment, addition to, repeal or adoption.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ARTICLE VII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39" w:lineRule="exact"/>
        <w:rPr>
          <w:sz w:val="20"/>
          <w:szCs w:val="20"/>
          <w:color w:val="auto"/>
        </w:rPr>
      </w:pPr>
    </w:p>
    <w:p>
      <w:pPr>
        <w:jc w:val="both"/>
        <w:ind w:firstLine="1310"/>
        <w:spacing w:after="0" w:line="303"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Dividends</w:t>
      </w:r>
      <w:r>
        <w:rPr>
          <w:rFonts w:ascii="Arial" w:cs="Arial" w:eastAsia="Arial" w:hAnsi="Arial"/>
          <w:sz w:val="19"/>
          <w:szCs w:val="19"/>
          <w:color w:val="auto"/>
        </w:rPr>
        <w:t>. Subject to any applicable provisions of law or the Certificate of Incorporation, dividends upon the shares of capital stock of the Corporation may be declared by the Board of Directors at any regular or special meeting of the Board of Directors and any such dividend may be paid in cash, property or shares of the Corporation’s capital stock. 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the director or member reasonably believes or determines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58" w:lineRule="exact"/>
        <w:rPr>
          <w:sz w:val="20"/>
          <w:szCs w:val="20"/>
          <w:color w:val="auto"/>
        </w:rPr>
      </w:pPr>
    </w:p>
    <w:p>
      <w:pPr>
        <w:jc w:val="both"/>
        <w:ind w:firstLine="1310"/>
        <w:spacing w:after="0" w:line="259"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Execution of Instruments</w:t>
      </w:r>
      <w:r>
        <w:rPr>
          <w:rFonts w:ascii="Arial" w:cs="Arial" w:eastAsia="Arial" w:hAnsi="Arial"/>
          <w:sz w:val="22"/>
          <w:szCs w:val="22"/>
          <w:color w:val="auto"/>
        </w:rPr>
        <w:t>. The Board of Directors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 The officers of the Corporation may also execute and deliver such contracts or instruments which generally pertain to the duties associated with such officer’s title. Any person who is authorized to execute a contract, instrument or other document on behalf of the Corporation may execute a power of attorney allowing another person to execute such document on behalf of the Corporation.</w:t>
      </w:r>
    </w:p>
    <w:p>
      <w:pPr>
        <w:spacing w:after="0" w:line="195" w:lineRule="exact"/>
        <w:rPr>
          <w:sz w:val="20"/>
          <w:szCs w:val="20"/>
          <w:color w:val="auto"/>
        </w:rPr>
      </w:pPr>
    </w:p>
    <w:p>
      <w:pPr>
        <w:jc w:val="both"/>
        <w:ind w:firstLine="1310"/>
        <w:spacing w:after="0" w:line="305"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Voting as Stockholder</w:t>
      </w:r>
      <w:r>
        <w:rPr>
          <w:rFonts w:ascii="Arial" w:cs="Arial" w:eastAsia="Arial" w:hAnsi="Arial"/>
          <w:sz w:val="19"/>
          <w:szCs w:val="19"/>
          <w:color w:val="auto"/>
        </w:rPr>
        <w:t>. Unless otherwise determined by resolution of the Board of Directors, the Chief Executive Officer, the President, if any, the Chief Financial Officer, any Executive Vice President or any other person authorized by the Board of Directors shall have full power and authority on behalf of the Corporation to attend any meeting of stockholders or equity holders of any corporation or other entity in which the Corporation may hold stock or equity interests, and to act, vote (or execute proxies to vote) and exercise in person or by proxy all other rights, powers and privileges incident to the ownership of such stock or equity interests. Such officers acting on behalf of the Corporation shall have full power and authority to execute any instrument expressing consent to or dissent from any action of any such corporation or entity without a meeting. The Board of Directors may by resolution from time to time confer such power and authority upon any other person or persons.</w:t>
      </w:r>
    </w:p>
    <w:p>
      <w:pPr>
        <w:spacing w:after="0" w:line="155"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be fixed, and shall be subject to change, by the Board of Directors.</w:t>
      </w:r>
    </w:p>
    <w:p>
      <w:pPr>
        <w:spacing w:after="0" w:line="174" w:lineRule="exact"/>
        <w:rPr>
          <w:sz w:val="20"/>
          <w:szCs w:val="20"/>
          <w:color w:val="auto"/>
        </w:rPr>
      </w:pPr>
    </w:p>
    <w:p>
      <w:pPr>
        <w:jc w:val="both"/>
        <w:ind w:right="20" w:firstLine="1310"/>
        <w:spacing w:after="0" w:line="26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 affidavit of the Secretary or an Assistant Secretary or of the transfer agent or other agent of the Corporation that the notice has been given in writing or by a form of electronic transmission shall, in the absence of fraud,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facts stated therein.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9" w:name="page90"/>
    <w:bookmarkEnd w:id="89"/>
    <w:p>
      <w:pPr>
        <w:jc w:val="both"/>
        <w:ind w:firstLine="1310"/>
        <w:spacing w:after="0" w:line="273"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Form of Records</w:t>
      </w:r>
      <w:r>
        <w:rPr>
          <w:rFonts w:ascii="Arial" w:cs="Arial" w:eastAsia="Arial" w:hAnsi="Arial"/>
          <w:sz w:val="21"/>
          <w:szCs w:val="21"/>
          <w:color w:val="auto"/>
        </w:rPr>
        <w:t>.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the DGCL, (ii) record the information specified in the DGCL, and record transfers as specified in the DGCL. The Corporation shall so convert any records so kept upon the request of any person entitled to inspect such records pursuant to any provision of the DGCL.</w:t>
      </w:r>
    </w:p>
    <w:p>
      <w:pPr>
        <w:spacing w:after="0" w:line="179" w:lineRule="exact"/>
        <w:rPr>
          <w:sz w:val="20"/>
          <w:szCs w:val="20"/>
          <w:color w:val="auto"/>
        </w:rPr>
      </w:pPr>
    </w:p>
    <w:p>
      <w:pPr>
        <w:jc w:val="both"/>
        <w:ind w:firstLine="1310"/>
        <w:spacing w:after="0" w:line="258" w:lineRule="auto"/>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(or any part thereof)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section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OF BYLAWS</w:t>
      </w:r>
    </w:p>
    <w:p>
      <w:pPr>
        <w:spacing w:after="0" w:line="239"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By the Board</w:t>
      </w:r>
      <w:r>
        <w:rPr>
          <w:rFonts w:ascii="Arial" w:cs="Arial" w:eastAsia="Arial" w:hAnsi="Arial"/>
          <w:sz w:val="22"/>
          <w:szCs w:val="22"/>
          <w:color w:val="auto"/>
        </w:rPr>
        <w:t>. Subject to the provisions of the Certificate of Incorporation, the Board of Directors may make, alter, amend, add to or repeal any and all of these Bylaws.</w:t>
      </w:r>
    </w:p>
    <w:p>
      <w:pPr>
        <w:spacing w:after="0" w:line="174" w:lineRule="exact"/>
        <w:rPr>
          <w:sz w:val="20"/>
          <w:szCs w:val="20"/>
          <w:color w:val="auto"/>
        </w:rPr>
      </w:pPr>
    </w:p>
    <w:p>
      <w:pPr>
        <w:jc w:val="both"/>
        <w:ind w:firstLine="1310"/>
        <w:spacing w:after="0" w:line="31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By the Stockholders</w:t>
      </w:r>
      <w:r>
        <w:rPr>
          <w:rFonts w:ascii="Arial" w:cs="Arial" w:eastAsia="Arial" w:hAnsi="Arial"/>
          <w:sz w:val="19"/>
          <w:szCs w:val="19"/>
          <w:color w:val="auto"/>
        </w:rPr>
        <w:t>. Subject to the provisions of the Certificate of Incorporation, the affirmative vote of the holders of at least a majority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CONSTRUCTION</w:t>
      </w:r>
    </w:p>
    <w:p>
      <w:pPr>
        <w:spacing w:after="0" w:line="239"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In the event of any conflict between the provisions of these Bylaws as in effect from time to time and the provisions of the Certificate of Incorporation of the Corporation as in effect from time to time, the provisions of such Certificate of Incorporation shall be controlling. Unless the context requires otherwise, the general provisions, rules of construction and definitions in the DGCL shall govern the construction of these Bylaws. Without limiting the generality of this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0" w:name="page91"/>
    <w:bookmarkEnd w:id="90"/>
    <w:p>
      <w:pPr>
        <w:spacing w:after="0" w:line="276" w:lineRule="auto"/>
        <w:rPr>
          <w:sz w:val="20"/>
          <w:szCs w:val="20"/>
          <w:color w:val="auto"/>
        </w:rPr>
      </w:pPr>
      <w:r>
        <w:rPr>
          <w:rFonts w:ascii="Arial" w:cs="Arial" w:eastAsia="Arial" w:hAnsi="Arial"/>
          <w:sz w:val="22"/>
          <w:szCs w:val="22"/>
          <w:color w:val="auto"/>
        </w:rPr>
        <w:t>provision, the singular number includes the plural, the plural number includes the singular, and the term “person” includes corporations, other business entities, and natural persons.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WEIL:\98063942\10\40590.0003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3.3</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SECOND AMENDED AND RESTATED</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LIMITED LIABILITY COMPANY AGREEMENT</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AIDH TOPCO, LLC</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Dated as of September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9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4"/>
        </w:trPr>
        <w:tc>
          <w:tcPr>
            <w:tcW w:w="10200" w:type="dxa"/>
            <w:vAlign w:val="bottom"/>
            <w:gridSpan w:val="2"/>
          </w:tcPr>
          <w:p>
            <w:pPr>
              <w:ind w:left="20"/>
              <w:spacing w:after="0"/>
              <w:rPr>
                <w:sz w:val="20"/>
                <w:szCs w:val="20"/>
                <w:color w:val="auto"/>
              </w:rPr>
            </w:pPr>
            <w:r>
              <w:rPr>
                <w:rFonts w:ascii="Arial" w:cs="Arial" w:eastAsia="Arial" w:hAnsi="Arial"/>
                <w:sz w:val="22"/>
                <w:szCs w:val="22"/>
                <w:color w:val="auto"/>
              </w:rPr>
              <w:t>ARTICLE 1 DEFINITIONS AND USAGE</w:t>
            </w:r>
          </w:p>
        </w:tc>
        <w:tc>
          <w:tcPr>
            <w:tcW w:w="10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527"/>
        </w:trPr>
        <w:tc>
          <w:tcPr>
            <w:tcW w:w="1920" w:type="dxa"/>
            <w:vAlign w:val="bottom"/>
          </w:tcPr>
          <w:p>
            <w:pPr>
              <w:ind w:left="20"/>
              <w:spacing w:after="0"/>
              <w:rPr>
                <w:sz w:val="20"/>
                <w:szCs w:val="20"/>
                <w:color w:val="auto"/>
              </w:rPr>
            </w:pPr>
            <w:r>
              <w:rPr>
                <w:rFonts w:ascii="Arial" w:cs="Arial" w:eastAsia="Arial" w:hAnsi="Arial"/>
                <w:sz w:val="22"/>
                <w:szCs w:val="22"/>
                <w:color w:val="auto"/>
              </w:rPr>
              <w:t>Section 1.01.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Definitions.</w:t>
            </w:r>
          </w:p>
        </w:tc>
        <w:tc>
          <w:tcPr>
            <w:tcW w:w="10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1.02.</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Other Definitional and Interpretative Provisions</w:t>
            </w:r>
          </w:p>
        </w:tc>
        <w:tc>
          <w:tcPr>
            <w:tcW w:w="10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527"/>
        </w:trPr>
        <w:tc>
          <w:tcPr>
            <w:tcW w:w="10200" w:type="dxa"/>
            <w:vAlign w:val="bottom"/>
            <w:gridSpan w:val="2"/>
          </w:tcPr>
          <w:p>
            <w:pPr>
              <w:ind w:left="20"/>
              <w:spacing w:after="0"/>
              <w:rPr>
                <w:sz w:val="20"/>
                <w:szCs w:val="20"/>
                <w:color w:val="auto"/>
              </w:rPr>
            </w:pPr>
            <w:r>
              <w:rPr>
                <w:rFonts w:ascii="Arial" w:cs="Arial" w:eastAsia="Arial" w:hAnsi="Arial"/>
                <w:sz w:val="22"/>
                <w:szCs w:val="22"/>
                <w:color w:val="auto"/>
              </w:rPr>
              <w:t>ARTICLE 2 THE COMPANY</w:t>
            </w:r>
          </w:p>
        </w:tc>
        <w:tc>
          <w:tcPr>
            <w:tcW w:w="10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2.01.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Formation</w:t>
            </w:r>
          </w:p>
        </w:tc>
        <w:tc>
          <w:tcPr>
            <w:tcW w:w="10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2.02.</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Name</w:t>
            </w:r>
          </w:p>
        </w:tc>
        <w:tc>
          <w:tcPr>
            <w:tcW w:w="10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2.03.</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Term</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2.04.</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Registered Agent and Registered Office</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2.05.</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Purpose</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2.06.</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Powers of the Company</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2.07.</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Partnership Tax Status</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2.08.</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Regulation of Internal Affairs</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2.09.</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Ownership of Property</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2.10.</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Subsidiaries</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2.11.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Qualification in Other Jurisdictions</w:t>
            </w:r>
          </w:p>
        </w:tc>
        <w:tc>
          <w:tcPr>
            <w:tcW w:w="10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27"/>
        </w:trPr>
        <w:tc>
          <w:tcPr>
            <w:tcW w:w="10200" w:type="dxa"/>
            <w:vAlign w:val="bottom"/>
            <w:gridSpan w:val="2"/>
          </w:tcPr>
          <w:p>
            <w:pPr>
              <w:ind w:left="20"/>
              <w:spacing w:after="0"/>
              <w:rPr>
                <w:sz w:val="20"/>
                <w:szCs w:val="20"/>
                <w:color w:val="auto"/>
              </w:rPr>
            </w:pPr>
            <w:r>
              <w:rPr>
                <w:rFonts w:ascii="Arial" w:cs="Arial" w:eastAsia="Arial" w:hAnsi="Arial"/>
                <w:sz w:val="22"/>
                <w:szCs w:val="22"/>
                <w:color w:val="auto"/>
              </w:rPr>
              <w:t>ARTICLE 3 UNITS; MEMBERS; BOOKS AND RECORDS; REPORTS</w:t>
            </w:r>
          </w:p>
        </w:tc>
        <w:tc>
          <w:tcPr>
            <w:tcW w:w="10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3.01.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Units; Admission of Members</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3.02.</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Management Holdings LLC; Repurchase; Forfeiture.</w:t>
            </w:r>
          </w:p>
        </w:tc>
        <w:tc>
          <w:tcPr>
            <w:tcW w:w="10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3.03.</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Substitute Members and Additional Members</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3.04.</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Tax and Accounting Information</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27"/>
        </w:trPr>
        <w:tc>
          <w:tcPr>
            <w:tcW w:w="10200" w:type="dxa"/>
            <w:vAlign w:val="bottom"/>
            <w:gridSpan w:val="2"/>
          </w:tcPr>
          <w:p>
            <w:pPr>
              <w:ind w:left="20"/>
              <w:spacing w:after="0"/>
              <w:rPr>
                <w:sz w:val="20"/>
                <w:szCs w:val="20"/>
                <w:color w:val="auto"/>
              </w:rPr>
            </w:pPr>
            <w:r>
              <w:rPr>
                <w:rFonts w:ascii="Arial" w:cs="Arial" w:eastAsia="Arial" w:hAnsi="Arial"/>
                <w:sz w:val="22"/>
                <w:szCs w:val="22"/>
                <w:color w:val="auto"/>
              </w:rPr>
              <w:t>ARTICLE 4 PUBCO OWNERSHIP; RESTRICTIONS ON PUBCO STOCK</w:t>
            </w:r>
          </w:p>
        </w:tc>
        <w:tc>
          <w:tcPr>
            <w:tcW w:w="10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4.01.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Pubco Ownership</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4.02.</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Restrictions on Pubco Common Stock</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526"/>
        </w:trPr>
        <w:tc>
          <w:tcPr>
            <w:tcW w:w="10200" w:type="dxa"/>
            <w:vAlign w:val="bottom"/>
            <w:gridSpan w:val="2"/>
          </w:tcPr>
          <w:p>
            <w:pPr>
              <w:ind w:left="20"/>
              <w:spacing w:after="0"/>
              <w:rPr>
                <w:sz w:val="20"/>
                <w:szCs w:val="20"/>
                <w:color w:val="auto"/>
              </w:rPr>
            </w:pPr>
            <w:r>
              <w:rPr>
                <w:rFonts w:ascii="Arial" w:cs="Arial" w:eastAsia="Arial" w:hAnsi="Arial"/>
                <w:sz w:val="22"/>
                <w:szCs w:val="22"/>
                <w:color w:val="auto"/>
              </w:rPr>
              <w:t>ARTICLE 5 CAPITAL CONTRIBUTIONS; CAPITAL ACCOUNTS; DISTRIBUTIONS; ALLOCATIONS</w:t>
            </w:r>
          </w:p>
        </w:tc>
        <w:tc>
          <w:tcPr>
            <w:tcW w:w="10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5.01.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Capital Contributions</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5.02.</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Capital Accounts.</w:t>
            </w:r>
          </w:p>
        </w:tc>
        <w:tc>
          <w:tcPr>
            <w:tcW w:w="10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5.03.</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Amounts and Priority of Distributions</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5.04.</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Allocations</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5.05.</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Other Allocation Rules</w:t>
            </w: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5.06.</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Tax Withholding</w:t>
            </w:r>
          </w:p>
        </w:tc>
        <w:tc>
          <w:tcPr>
            <w:tcW w:w="10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526"/>
        </w:trPr>
        <w:tc>
          <w:tcPr>
            <w:tcW w:w="10200" w:type="dxa"/>
            <w:vAlign w:val="bottom"/>
            <w:gridSpan w:val="2"/>
          </w:tcPr>
          <w:p>
            <w:pPr>
              <w:ind w:left="20"/>
              <w:spacing w:after="0"/>
              <w:rPr>
                <w:sz w:val="20"/>
                <w:szCs w:val="20"/>
                <w:color w:val="auto"/>
              </w:rPr>
            </w:pPr>
            <w:r>
              <w:rPr>
                <w:rFonts w:ascii="Arial" w:cs="Arial" w:eastAsia="Arial" w:hAnsi="Arial"/>
                <w:sz w:val="22"/>
                <w:szCs w:val="22"/>
                <w:color w:val="auto"/>
              </w:rPr>
              <w:t>ARTICLE 6 CERTAIN TAX MATTERS</w:t>
            </w:r>
          </w:p>
        </w:tc>
        <w:tc>
          <w:tcPr>
            <w:tcW w:w="10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6.01.</w:t>
            </w:r>
          </w:p>
        </w:tc>
        <w:tc>
          <w:tcPr>
            <w:tcW w:w="8280" w:type="dxa"/>
            <w:vAlign w:val="bottom"/>
          </w:tcPr>
          <w:p>
            <w:pPr>
              <w:ind w:left="120"/>
              <w:spacing w:after="0"/>
              <w:rPr>
                <w:sz w:val="20"/>
                <w:szCs w:val="20"/>
                <w:color w:val="auto"/>
              </w:rPr>
            </w:pPr>
            <w:r>
              <w:rPr>
                <w:rFonts w:ascii="Arial" w:cs="Arial" w:eastAsia="Arial" w:hAnsi="Arial"/>
                <w:sz w:val="22"/>
                <w:szCs w:val="22"/>
                <w:i w:val="1"/>
                <w:iCs w:val="1"/>
                <w:color w:val="auto"/>
              </w:rPr>
              <w:t>Tax Matters Representative.</w:t>
            </w:r>
          </w:p>
        </w:tc>
        <w:tc>
          <w:tcPr>
            <w:tcW w:w="10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13"/>
        </w:trPr>
        <w:tc>
          <w:tcPr>
            <w:tcW w:w="192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22"/>
                <w:szCs w:val="22"/>
                <w:color w:val="auto"/>
              </w:rPr>
              <w:t>2</w:t>
            </w:r>
          </w:p>
        </w:tc>
        <w:tc>
          <w:tcPr>
            <w:tcW w:w="1040" w:type="dxa"/>
            <w:vAlign w:val="bottom"/>
          </w:tcPr>
          <w:p>
            <w:pPr>
              <w:spacing w:after="0"/>
              <w:rPr>
                <w:sz w:val="24"/>
                <w:szCs w:val="24"/>
                <w:color w:val="auto"/>
              </w:rPr>
            </w:pPr>
          </w:p>
        </w:tc>
      </w:tr>
      <w:tr>
        <w:trPr>
          <w:trHeight w:val="163"/>
        </w:trPr>
        <w:tc>
          <w:tcPr>
            <w:tcW w:w="1920" w:type="dxa"/>
            <w:vAlign w:val="bottom"/>
          </w:tcPr>
          <w:p>
            <w:pPr>
              <w:ind w:left="40"/>
              <w:spacing w:after="0"/>
              <w:rPr>
                <w:sz w:val="20"/>
                <w:szCs w:val="20"/>
                <w:color w:val="auto"/>
              </w:rPr>
            </w:pPr>
            <w:r>
              <w:rPr>
                <w:rFonts w:ascii="Arial" w:cs="Arial" w:eastAsia="Arial" w:hAnsi="Arial"/>
                <w:sz w:val="13"/>
                <w:szCs w:val="13"/>
                <w:color w:val="auto"/>
              </w:rPr>
              <w:t>WEIL:\98074461\9\40590.0003</w:t>
            </w:r>
          </w:p>
        </w:tc>
        <w:tc>
          <w:tcPr>
            <w:tcW w:w="8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18"/>
        </w:trPr>
        <w:tc>
          <w:tcPr>
            <w:tcW w:w="192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74"/>
        </w:trPr>
        <w:tc>
          <w:tcPr>
            <w:tcW w:w="1920" w:type="dxa"/>
            <w:vAlign w:val="bottom"/>
          </w:tcPr>
          <w:p>
            <w:pPr>
              <w:ind w:left="20"/>
              <w:spacing w:after="0"/>
              <w:rPr>
                <w:sz w:val="20"/>
                <w:szCs w:val="20"/>
                <w:color w:val="auto"/>
              </w:rPr>
            </w:pPr>
            <w:r>
              <w:rPr>
                <w:rFonts w:ascii="Arial" w:cs="Arial" w:eastAsia="Arial" w:hAnsi="Arial"/>
                <w:sz w:val="22"/>
                <w:szCs w:val="22"/>
                <w:color w:val="auto"/>
              </w:rPr>
              <w:t>Section 6.02.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Section 754 Elections</w:t>
            </w:r>
          </w:p>
        </w:tc>
        <w:tc>
          <w:tcPr>
            <w:tcW w:w="16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27"/>
        </w:trPr>
        <w:tc>
          <w:tcPr>
            <w:tcW w:w="9560" w:type="dxa"/>
            <w:vAlign w:val="bottom"/>
            <w:gridSpan w:val="2"/>
          </w:tcPr>
          <w:p>
            <w:pPr>
              <w:ind w:left="20"/>
              <w:spacing w:after="0"/>
              <w:rPr>
                <w:sz w:val="20"/>
                <w:szCs w:val="20"/>
                <w:color w:val="auto"/>
              </w:rPr>
            </w:pPr>
            <w:r>
              <w:rPr>
                <w:rFonts w:ascii="Arial" w:cs="Arial" w:eastAsia="Arial" w:hAnsi="Arial"/>
                <w:sz w:val="22"/>
                <w:szCs w:val="22"/>
                <w:color w:val="auto"/>
              </w:rPr>
              <w:t>ARTICLE 7 MANAGEMENT OF THE COMPANY</w:t>
            </w:r>
          </w:p>
        </w:tc>
        <w:tc>
          <w:tcPr>
            <w:tcW w:w="16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7.01.</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Management by the Managing Member</w:t>
            </w:r>
          </w:p>
        </w:tc>
        <w:tc>
          <w:tcPr>
            <w:tcW w:w="16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7.02.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Withdrawal of the Managing Member</w:t>
            </w:r>
          </w:p>
        </w:tc>
        <w:tc>
          <w:tcPr>
            <w:tcW w:w="16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7.03.</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Decisions by the Members</w:t>
            </w:r>
            <w:r>
              <w:rPr>
                <w:rFonts w:ascii="Arial" w:cs="Arial" w:eastAsia="Arial" w:hAnsi="Arial"/>
                <w:sz w:val="22"/>
                <w:szCs w:val="22"/>
                <w:color w:val="auto"/>
              </w:rPr>
              <w:t>.</w:t>
            </w:r>
          </w:p>
        </w:tc>
        <w:tc>
          <w:tcPr>
            <w:tcW w:w="16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7.04.</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Duties</w:t>
            </w:r>
            <w:r>
              <w:rPr>
                <w:rFonts w:ascii="Arial" w:cs="Arial" w:eastAsia="Arial" w:hAnsi="Arial"/>
                <w:sz w:val="22"/>
                <w:szCs w:val="22"/>
                <w:color w:val="auto"/>
              </w:rPr>
              <w:t>.</w:t>
            </w:r>
          </w:p>
        </w:tc>
        <w:tc>
          <w:tcPr>
            <w:tcW w:w="16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7.05.</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Officers</w:t>
            </w:r>
            <w:r>
              <w:rPr>
                <w:rFonts w:ascii="Arial" w:cs="Arial" w:eastAsia="Arial" w:hAnsi="Arial"/>
                <w:sz w:val="22"/>
                <w:szCs w:val="22"/>
                <w:color w:val="auto"/>
              </w:rPr>
              <w:t>.</w:t>
            </w:r>
          </w:p>
        </w:tc>
        <w:tc>
          <w:tcPr>
            <w:tcW w:w="16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526"/>
        </w:trPr>
        <w:tc>
          <w:tcPr>
            <w:tcW w:w="9560" w:type="dxa"/>
            <w:vAlign w:val="bottom"/>
            <w:gridSpan w:val="2"/>
          </w:tcPr>
          <w:p>
            <w:pPr>
              <w:ind w:left="20"/>
              <w:spacing w:after="0"/>
              <w:rPr>
                <w:sz w:val="20"/>
                <w:szCs w:val="20"/>
                <w:color w:val="auto"/>
              </w:rPr>
            </w:pPr>
            <w:r>
              <w:rPr>
                <w:rFonts w:ascii="Arial" w:cs="Arial" w:eastAsia="Arial" w:hAnsi="Arial"/>
                <w:sz w:val="22"/>
                <w:szCs w:val="22"/>
                <w:color w:val="auto"/>
              </w:rPr>
              <w:t>ARTICLE 8 TRANSFERS OF INTERESTS</w:t>
            </w:r>
          </w:p>
        </w:tc>
        <w:tc>
          <w:tcPr>
            <w:tcW w:w="16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8.01.</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Restrictions on Transfers</w:t>
            </w:r>
            <w:r>
              <w:rPr>
                <w:rFonts w:ascii="Arial" w:cs="Arial" w:eastAsia="Arial" w:hAnsi="Arial"/>
                <w:sz w:val="22"/>
                <w:szCs w:val="22"/>
                <w:color w:val="auto"/>
              </w:rPr>
              <w:t>.</w:t>
            </w:r>
          </w:p>
        </w:tc>
        <w:tc>
          <w:tcPr>
            <w:tcW w:w="16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8.02.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Certain Permitted Transfers</w:t>
            </w:r>
          </w:p>
        </w:tc>
        <w:tc>
          <w:tcPr>
            <w:tcW w:w="16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8.03.</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Distributions</w:t>
            </w:r>
          </w:p>
        </w:tc>
        <w:tc>
          <w:tcPr>
            <w:tcW w:w="16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8.04.</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Registration of Transfers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67"/>
        </w:trPr>
        <w:tc>
          <w:tcPr>
            <w:tcW w:w="9560" w:type="dxa"/>
            <w:vAlign w:val="bottom"/>
            <w:gridSpan w:val="2"/>
          </w:tcPr>
          <w:p>
            <w:pPr>
              <w:ind w:left="20"/>
              <w:spacing w:after="0"/>
              <w:rPr>
                <w:sz w:val="20"/>
                <w:szCs w:val="20"/>
                <w:color w:val="auto"/>
              </w:rPr>
            </w:pPr>
            <w:r>
              <w:rPr>
                <w:rFonts w:ascii="Arial" w:cs="Arial" w:eastAsia="Arial" w:hAnsi="Arial"/>
                <w:sz w:val="22"/>
                <w:szCs w:val="22"/>
                <w:color w:val="auto"/>
              </w:rPr>
              <w:t>ARTICLE 9 CERTAIN OTHER AGREEMENTS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9.01.</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Company Call Right</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9.02.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Preemptive Rights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27"/>
        </w:trPr>
        <w:tc>
          <w:tcPr>
            <w:tcW w:w="9560" w:type="dxa"/>
            <w:vAlign w:val="bottom"/>
            <w:gridSpan w:val="2"/>
          </w:tcPr>
          <w:p>
            <w:pPr>
              <w:ind w:left="20"/>
              <w:spacing w:after="0"/>
              <w:rPr>
                <w:sz w:val="20"/>
                <w:szCs w:val="20"/>
                <w:color w:val="auto"/>
              </w:rPr>
            </w:pPr>
            <w:r>
              <w:rPr>
                <w:rFonts w:ascii="Arial" w:cs="Arial" w:eastAsia="Arial" w:hAnsi="Arial"/>
                <w:sz w:val="22"/>
                <w:szCs w:val="22"/>
                <w:color w:val="auto"/>
              </w:rPr>
              <w:t>ARTICLE 10 REDEMPTION AND EXCHANGE RIGHTS</w:t>
            </w:r>
          </w:p>
        </w:tc>
        <w:tc>
          <w:tcPr>
            <w:tcW w:w="16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10.01.</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Redemption Right of a Member</w:t>
            </w:r>
          </w:p>
        </w:tc>
        <w:tc>
          <w:tcPr>
            <w:tcW w:w="16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10.02.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Election and Contribution of Pubco</w:t>
            </w:r>
          </w:p>
        </w:tc>
        <w:tc>
          <w:tcPr>
            <w:tcW w:w="16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10.03.</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Exchange Right of Pubco.</w:t>
            </w:r>
          </w:p>
        </w:tc>
        <w:tc>
          <w:tcPr>
            <w:tcW w:w="16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10.04.</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Tender Offers and Other Events with Respect to Pubco.</w:t>
            </w:r>
          </w:p>
        </w:tc>
        <w:tc>
          <w:tcPr>
            <w:tcW w:w="16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10.05.</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Reservation of Shares of Class A Common Stock; Certificate of Pubco</w:t>
            </w:r>
          </w:p>
        </w:tc>
        <w:tc>
          <w:tcPr>
            <w:tcW w:w="16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10.06.</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Effect of Exercise of Redemption or Exchange Right</w:t>
            </w:r>
          </w:p>
        </w:tc>
        <w:tc>
          <w:tcPr>
            <w:tcW w:w="16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10.07.</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Tax Treatment</w:t>
            </w:r>
          </w:p>
        </w:tc>
        <w:tc>
          <w:tcPr>
            <w:tcW w:w="16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10.08.</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Additional Exchange Restrictions</w:t>
            </w:r>
          </w:p>
        </w:tc>
        <w:tc>
          <w:tcPr>
            <w:tcW w:w="16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27"/>
        </w:trPr>
        <w:tc>
          <w:tcPr>
            <w:tcW w:w="9560" w:type="dxa"/>
            <w:vAlign w:val="bottom"/>
            <w:gridSpan w:val="2"/>
          </w:tcPr>
          <w:p>
            <w:pPr>
              <w:ind w:left="20"/>
              <w:spacing w:after="0"/>
              <w:rPr>
                <w:sz w:val="20"/>
                <w:szCs w:val="20"/>
                <w:color w:val="auto"/>
              </w:rPr>
            </w:pPr>
            <w:r>
              <w:rPr>
                <w:rFonts w:ascii="Arial" w:cs="Arial" w:eastAsia="Arial" w:hAnsi="Arial"/>
                <w:sz w:val="22"/>
                <w:szCs w:val="22"/>
                <w:color w:val="auto"/>
              </w:rPr>
              <w:t>ARTICLE 11 LIMITATION ON LIABILITY, EXCULPATION AND INDEMNIFICATION</w:t>
            </w:r>
          </w:p>
        </w:tc>
        <w:tc>
          <w:tcPr>
            <w:tcW w:w="16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11.01.</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Limitation on Liability</w:t>
            </w:r>
          </w:p>
        </w:tc>
        <w:tc>
          <w:tcPr>
            <w:tcW w:w="16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11.02.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Exculpation and Indemnification; Elimination of Fiduciary Duties</w:t>
            </w:r>
          </w:p>
        </w:tc>
        <w:tc>
          <w:tcPr>
            <w:tcW w:w="16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526"/>
        </w:trPr>
        <w:tc>
          <w:tcPr>
            <w:tcW w:w="9560" w:type="dxa"/>
            <w:vAlign w:val="bottom"/>
            <w:gridSpan w:val="2"/>
          </w:tcPr>
          <w:p>
            <w:pPr>
              <w:ind w:left="20"/>
              <w:spacing w:after="0"/>
              <w:rPr>
                <w:sz w:val="20"/>
                <w:szCs w:val="20"/>
                <w:color w:val="auto"/>
              </w:rPr>
            </w:pPr>
            <w:r>
              <w:rPr>
                <w:rFonts w:ascii="Arial" w:cs="Arial" w:eastAsia="Arial" w:hAnsi="Arial"/>
                <w:sz w:val="22"/>
                <w:szCs w:val="22"/>
                <w:color w:val="auto"/>
              </w:rPr>
              <w:t>ARTICLE 12 DISSOLUTION AND TERMINATION</w:t>
            </w:r>
          </w:p>
        </w:tc>
        <w:tc>
          <w:tcPr>
            <w:tcW w:w="16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567"/>
        </w:trPr>
        <w:tc>
          <w:tcPr>
            <w:tcW w:w="1920" w:type="dxa"/>
            <w:vAlign w:val="bottom"/>
          </w:tcPr>
          <w:p>
            <w:pPr>
              <w:ind w:left="20"/>
              <w:spacing w:after="0"/>
              <w:rPr>
                <w:sz w:val="20"/>
                <w:szCs w:val="20"/>
                <w:color w:val="auto"/>
              </w:rPr>
            </w:pPr>
            <w:r>
              <w:rPr>
                <w:rFonts w:ascii="Arial" w:cs="Arial" w:eastAsia="Arial" w:hAnsi="Arial"/>
                <w:sz w:val="22"/>
                <w:szCs w:val="22"/>
                <w:color w:val="auto"/>
              </w:rPr>
              <w:t>Section 12.01.</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Dissolution</w:t>
            </w:r>
          </w:p>
        </w:tc>
        <w:tc>
          <w:tcPr>
            <w:tcW w:w="16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83"/>
        </w:trPr>
        <w:tc>
          <w:tcPr>
            <w:tcW w:w="1920" w:type="dxa"/>
            <w:vAlign w:val="bottom"/>
          </w:tcPr>
          <w:p>
            <w:pPr>
              <w:ind w:left="20"/>
              <w:spacing w:after="0"/>
              <w:rPr>
                <w:sz w:val="20"/>
                <w:szCs w:val="20"/>
                <w:color w:val="auto"/>
              </w:rPr>
            </w:pPr>
            <w:r>
              <w:rPr>
                <w:rFonts w:ascii="Arial" w:cs="Arial" w:eastAsia="Arial" w:hAnsi="Arial"/>
                <w:sz w:val="22"/>
                <w:szCs w:val="22"/>
                <w:color w:val="auto"/>
              </w:rPr>
              <w:t>Section 12.02.</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Winding Up of the Company</w:t>
            </w:r>
          </w:p>
        </w:tc>
        <w:tc>
          <w:tcPr>
            <w:tcW w:w="16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12.03.</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Termination</w:t>
            </w:r>
          </w:p>
        </w:tc>
        <w:tc>
          <w:tcPr>
            <w:tcW w:w="16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84"/>
        </w:trPr>
        <w:tc>
          <w:tcPr>
            <w:tcW w:w="1920" w:type="dxa"/>
            <w:vAlign w:val="bottom"/>
          </w:tcPr>
          <w:p>
            <w:pPr>
              <w:ind w:left="20"/>
              <w:spacing w:after="0"/>
              <w:rPr>
                <w:sz w:val="20"/>
                <w:szCs w:val="20"/>
                <w:color w:val="auto"/>
              </w:rPr>
            </w:pPr>
            <w:r>
              <w:rPr>
                <w:rFonts w:ascii="Arial" w:cs="Arial" w:eastAsia="Arial" w:hAnsi="Arial"/>
                <w:sz w:val="22"/>
                <w:szCs w:val="22"/>
                <w:color w:val="auto"/>
              </w:rPr>
              <w:t>Section 12.04.</w:t>
            </w:r>
          </w:p>
        </w:tc>
        <w:tc>
          <w:tcPr>
            <w:tcW w:w="7640" w:type="dxa"/>
            <w:vAlign w:val="bottom"/>
          </w:tcPr>
          <w:p>
            <w:pPr>
              <w:ind w:left="120"/>
              <w:spacing w:after="0"/>
              <w:rPr>
                <w:sz w:val="20"/>
                <w:szCs w:val="20"/>
                <w:color w:val="auto"/>
              </w:rPr>
            </w:pPr>
            <w:r>
              <w:rPr>
                <w:rFonts w:ascii="Arial" w:cs="Arial" w:eastAsia="Arial" w:hAnsi="Arial"/>
                <w:sz w:val="22"/>
                <w:szCs w:val="22"/>
                <w:i w:val="1"/>
                <w:iCs w:val="1"/>
                <w:color w:val="auto"/>
              </w:rPr>
              <w:t>Survival</w:t>
            </w:r>
          </w:p>
        </w:tc>
        <w:tc>
          <w:tcPr>
            <w:tcW w:w="16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756"/>
        </w:trPr>
        <w:tc>
          <w:tcPr>
            <w:tcW w:w="1920" w:type="dxa"/>
            <w:vAlign w:val="bottom"/>
          </w:tcPr>
          <w:p>
            <w:pPr>
              <w:spacing w:after="0"/>
              <w:rPr>
                <w:sz w:val="24"/>
                <w:szCs w:val="24"/>
                <w:color w:val="auto"/>
              </w:rPr>
            </w:pPr>
          </w:p>
        </w:tc>
        <w:tc>
          <w:tcPr>
            <w:tcW w:w="7640" w:type="dxa"/>
            <w:vAlign w:val="bottom"/>
          </w:tcPr>
          <w:p>
            <w:pPr>
              <w:ind w:left="3660"/>
              <w:spacing w:after="0"/>
              <w:rPr>
                <w:sz w:val="20"/>
                <w:szCs w:val="20"/>
                <w:color w:val="auto"/>
              </w:rPr>
            </w:pPr>
            <w:r>
              <w:rPr>
                <w:rFonts w:ascii="Arial" w:cs="Arial" w:eastAsia="Arial" w:hAnsi="Arial"/>
                <w:sz w:val="22"/>
                <w:szCs w:val="22"/>
                <w:color w:val="auto"/>
              </w:rPr>
              <w:t>3</w:t>
            </w:r>
          </w:p>
        </w:tc>
        <w:tc>
          <w:tcPr>
            <w:tcW w:w="1680" w:type="dxa"/>
            <w:vAlign w:val="bottom"/>
          </w:tcPr>
          <w:p>
            <w:pPr>
              <w:spacing w:after="0"/>
              <w:rPr>
                <w:sz w:val="24"/>
                <w:szCs w:val="24"/>
                <w:color w:val="auto"/>
              </w:rPr>
            </w:pPr>
          </w:p>
        </w:tc>
      </w:tr>
      <w:tr>
        <w:trPr>
          <w:trHeight w:val="163"/>
        </w:trPr>
        <w:tc>
          <w:tcPr>
            <w:tcW w:w="1920" w:type="dxa"/>
            <w:vAlign w:val="bottom"/>
          </w:tcPr>
          <w:p>
            <w:pPr>
              <w:ind w:left="40"/>
              <w:spacing w:after="0"/>
              <w:rPr>
                <w:sz w:val="20"/>
                <w:szCs w:val="20"/>
                <w:color w:val="auto"/>
              </w:rPr>
            </w:pPr>
            <w:r>
              <w:rPr>
                <w:rFonts w:ascii="Arial" w:cs="Arial" w:eastAsia="Arial" w:hAnsi="Arial"/>
                <w:sz w:val="13"/>
                <w:szCs w:val="13"/>
                <w:color w:val="auto"/>
              </w:rPr>
              <w:t>WEIL:\98074461\9\40590.0003</w:t>
            </w:r>
          </w:p>
        </w:tc>
        <w:tc>
          <w:tcPr>
            <w:tcW w:w="76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18"/>
        </w:trPr>
        <w:tc>
          <w:tcPr>
            <w:tcW w:w="19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74"/>
        </w:trPr>
        <w:tc>
          <w:tcPr>
            <w:tcW w:w="8080" w:type="dxa"/>
            <w:vAlign w:val="bottom"/>
            <w:gridSpan w:val="2"/>
          </w:tcPr>
          <w:p>
            <w:pPr>
              <w:spacing w:after="0"/>
              <w:rPr>
                <w:sz w:val="20"/>
                <w:szCs w:val="20"/>
                <w:color w:val="auto"/>
              </w:rPr>
            </w:pPr>
            <w:r>
              <w:rPr>
                <w:rFonts w:ascii="Arial" w:cs="Arial" w:eastAsia="Arial" w:hAnsi="Arial"/>
                <w:sz w:val="22"/>
                <w:szCs w:val="22"/>
                <w:color w:val="auto"/>
              </w:rPr>
              <w:t>ARTICLE 13 MISCELLANEOUS</w:t>
            </w:r>
          </w:p>
        </w:tc>
        <w:tc>
          <w:tcPr>
            <w:tcW w:w="31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67"/>
        </w:trPr>
        <w:tc>
          <w:tcPr>
            <w:tcW w:w="1520" w:type="dxa"/>
            <w:vAlign w:val="bottom"/>
          </w:tcPr>
          <w:p>
            <w:pPr>
              <w:spacing w:after="0"/>
              <w:rPr>
                <w:sz w:val="20"/>
                <w:szCs w:val="20"/>
                <w:color w:val="auto"/>
              </w:rPr>
            </w:pPr>
            <w:r>
              <w:rPr>
                <w:rFonts w:ascii="Arial" w:cs="Arial" w:eastAsia="Arial" w:hAnsi="Arial"/>
                <w:sz w:val="22"/>
                <w:szCs w:val="22"/>
                <w:color w:val="auto"/>
              </w:rPr>
              <w:t>Section 13.01.</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Expenses</w:t>
            </w:r>
          </w:p>
        </w:tc>
        <w:tc>
          <w:tcPr>
            <w:tcW w:w="31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13.02.</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Further Assurances</w:t>
            </w:r>
          </w:p>
        </w:tc>
        <w:tc>
          <w:tcPr>
            <w:tcW w:w="31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84"/>
        </w:trPr>
        <w:tc>
          <w:tcPr>
            <w:tcW w:w="1520" w:type="dxa"/>
            <w:vAlign w:val="bottom"/>
          </w:tcPr>
          <w:p>
            <w:pPr>
              <w:spacing w:after="0"/>
              <w:rPr>
                <w:sz w:val="20"/>
                <w:szCs w:val="20"/>
                <w:color w:val="auto"/>
              </w:rPr>
            </w:pPr>
            <w:r>
              <w:rPr>
                <w:rFonts w:ascii="Arial" w:cs="Arial" w:eastAsia="Arial" w:hAnsi="Arial"/>
                <w:sz w:val="22"/>
                <w:szCs w:val="22"/>
                <w:color w:val="auto"/>
              </w:rPr>
              <w:t>Section 13.03.</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Notices</w:t>
            </w:r>
          </w:p>
        </w:tc>
        <w:tc>
          <w:tcPr>
            <w:tcW w:w="31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13.04.</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Binding Effect; Benefit; Assignment</w:t>
            </w:r>
            <w:r>
              <w:rPr>
                <w:rFonts w:ascii="Arial" w:cs="Arial" w:eastAsia="Arial" w:hAnsi="Arial"/>
                <w:sz w:val="22"/>
                <w:szCs w:val="22"/>
                <w:color w:val="auto"/>
              </w:rPr>
              <w:t>.</w:t>
            </w:r>
          </w:p>
        </w:tc>
        <w:tc>
          <w:tcPr>
            <w:tcW w:w="31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13.05.</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Jurisdiction</w:t>
            </w:r>
            <w:r>
              <w:rPr>
                <w:rFonts w:ascii="Arial" w:cs="Arial" w:eastAsia="Arial" w:hAnsi="Arial"/>
                <w:sz w:val="22"/>
                <w:szCs w:val="22"/>
                <w:color w:val="auto"/>
              </w:rPr>
              <w:t>.</w:t>
            </w:r>
          </w:p>
        </w:tc>
        <w:tc>
          <w:tcPr>
            <w:tcW w:w="31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13.06.</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WAIVER OF JURY TRIAL</w:t>
            </w:r>
            <w:r>
              <w:rPr>
                <w:rFonts w:ascii="Arial" w:cs="Arial" w:eastAsia="Arial" w:hAnsi="Arial"/>
                <w:sz w:val="22"/>
                <w:szCs w:val="22"/>
                <w:color w:val="auto"/>
              </w:rPr>
              <w:t>.</w:t>
            </w:r>
          </w:p>
        </w:tc>
        <w:tc>
          <w:tcPr>
            <w:tcW w:w="3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13.07.</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Counterparts</w:t>
            </w:r>
          </w:p>
        </w:tc>
        <w:tc>
          <w:tcPr>
            <w:tcW w:w="3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84"/>
        </w:trPr>
        <w:tc>
          <w:tcPr>
            <w:tcW w:w="1520" w:type="dxa"/>
            <w:vAlign w:val="bottom"/>
          </w:tcPr>
          <w:p>
            <w:pPr>
              <w:spacing w:after="0"/>
              <w:rPr>
                <w:sz w:val="20"/>
                <w:szCs w:val="20"/>
                <w:color w:val="auto"/>
              </w:rPr>
            </w:pPr>
            <w:r>
              <w:rPr>
                <w:rFonts w:ascii="Arial" w:cs="Arial" w:eastAsia="Arial" w:hAnsi="Arial"/>
                <w:sz w:val="22"/>
                <w:szCs w:val="22"/>
                <w:color w:val="auto"/>
              </w:rPr>
              <w:t>Section 13.08.</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Entire Agreement</w:t>
            </w:r>
          </w:p>
        </w:tc>
        <w:tc>
          <w:tcPr>
            <w:tcW w:w="3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13.09.</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Severability</w:t>
            </w:r>
          </w:p>
        </w:tc>
        <w:tc>
          <w:tcPr>
            <w:tcW w:w="3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13.10.</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Amendment</w:t>
            </w:r>
            <w:r>
              <w:rPr>
                <w:rFonts w:ascii="Arial" w:cs="Arial" w:eastAsia="Arial" w:hAnsi="Arial"/>
                <w:sz w:val="22"/>
                <w:szCs w:val="22"/>
                <w:color w:val="auto"/>
              </w:rPr>
              <w:t>.</w:t>
            </w:r>
          </w:p>
        </w:tc>
        <w:tc>
          <w:tcPr>
            <w:tcW w:w="3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13.11.</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Confidentiality</w:t>
            </w:r>
            <w:r>
              <w:rPr>
                <w:rFonts w:ascii="Arial" w:cs="Arial" w:eastAsia="Arial" w:hAnsi="Arial"/>
                <w:sz w:val="22"/>
                <w:szCs w:val="22"/>
                <w:color w:val="auto"/>
              </w:rPr>
              <w:t>.</w:t>
            </w:r>
          </w:p>
        </w:tc>
        <w:tc>
          <w:tcPr>
            <w:tcW w:w="3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Section 13.12.</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Governing Law</w:t>
            </w:r>
          </w:p>
        </w:tc>
        <w:tc>
          <w:tcPr>
            <w:tcW w:w="31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527"/>
        </w:trPr>
        <w:tc>
          <w:tcPr>
            <w:tcW w:w="8080" w:type="dxa"/>
            <w:vAlign w:val="bottom"/>
            <w:gridSpan w:val="2"/>
          </w:tcPr>
          <w:p>
            <w:pPr>
              <w:spacing w:after="0"/>
              <w:rPr>
                <w:sz w:val="20"/>
                <w:szCs w:val="20"/>
                <w:color w:val="auto"/>
              </w:rPr>
            </w:pPr>
            <w:r>
              <w:rPr>
                <w:rFonts w:ascii="Arial" w:cs="Arial" w:eastAsia="Arial" w:hAnsi="Arial"/>
                <w:sz w:val="22"/>
                <w:szCs w:val="22"/>
                <w:color w:val="auto"/>
              </w:rPr>
              <w:t>ARTICLE 14 REPRESENTATIONS OF MEMBERS</w:t>
            </w:r>
          </w:p>
        </w:tc>
        <w:tc>
          <w:tcPr>
            <w:tcW w:w="31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567"/>
        </w:trPr>
        <w:tc>
          <w:tcPr>
            <w:tcW w:w="1520" w:type="dxa"/>
            <w:vAlign w:val="bottom"/>
          </w:tcPr>
          <w:p>
            <w:pPr>
              <w:spacing w:after="0"/>
              <w:rPr>
                <w:sz w:val="20"/>
                <w:szCs w:val="20"/>
                <w:color w:val="auto"/>
              </w:rPr>
            </w:pPr>
            <w:r>
              <w:rPr>
                <w:rFonts w:ascii="Arial" w:cs="Arial" w:eastAsia="Arial" w:hAnsi="Arial"/>
                <w:sz w:val="22"/>
                <w:szCs w:val="22"/>
                <w:color w:val="auto"/>
              </w:rPr>
              <w:t>Section 14.01.</w:t>
            </w:r>
          </w:p>
        </w:tc>
        <w:tc>
          <w:tcPr>
            <w:tcW w:w="6560" w:type="dxa"/>
            <w:vAlign w:val="bottom"/>
          </w:tcPr>
          <w:p>
            <w:pPr>
              <w:ind w:left="500"/>
              <w:spacing w:after="0"/>
              <w:rPr>
                <w:sz w:val="20"/>
                <w:szCs w:val="20"/>
                <w:color w:val="auto"/>
              </w:rPr>
            </w:pPr>
            <w:r>
              <w:rPr>
                <w:rFonts w:ascii="Arial" w:cs="Arial" w:eastAsia="Arial" w:hAnsi="Arial"/>
                <w:sz w:val="22"/>
                <w:szCs w:val="22"/>
                <w:i w:val="1"/>
                <w:iCs w:val="1"/>
                <w:color w:val="auto"/>
              </w:rPr>
              <w:t>Representations of Members</w:t>
            </w:r>
          </w:p>
        </w:tc>
        <w:tc>
          <w:tcPr>
            <w:tcW w:w="31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513"/>
        </w:trPr>
        <w:tc>
          <w:tcPr>
            <w:tcW w:w="1520" w:type="dxa"/>
            <w:vAlign w:val="bottom"/>
          </w:tcPr>
          <w:p>
            <w:pPr>
              <w:spacing w:after="0"/>
              <w:rPr>
                <w:sz w:val="20"/>
                <w:szCs w:val="20"/>
                <w:color w:val="auto"/>
              </w:rPr>
            </w:pPr>
            <w:r>
              <w:rPr>
                <w:rFonts w:ascii="Arial" w:cs="Arial" w:eastAsia="Arial" w:hAnsi="Arial"/>
                <w:sz w:val="22"/>
                <w:szCs w:val="22"/>
                <w:color w:val="auto"/>
              </w:rPr>
              <w:t>Schedule A</w:t>
            </w:r>
          </w:p>
        </w:tc>
        <w:tc>
          <w:tcPr>
            <w:tcW w:w="6560" w:type="dxa"/>
            <w:vAlign w:val="bottom"/>
          </w:tcPr>
          <w:p>
            <w:pPr>
              <w:ind w:left="300"/>
              <w:spacing w:after="0"/>
              <w:rPr>
                <w:sz w:val="20"/>
                <w:szCs w:val="20"/>
                <w:color w:val="auto"/>
              </w:rPr>
            </w:pPr>
            <w:r>
              <w:rPr>
                <w:rFonts w:ascii="Arial" w:cs="Arial" w:eastAsia="Arial" w:hAnsi="Arial"/>
                <w:sz w:val="22"/>
                <w:szCs w:val="22"/>
                <w:color w:val="auto"/>
              </w:rPr>
              <w:t>Member Schedule</w:t>
            </w:r>
          </w:p>
        </w:tc>
        <w:tc>
          <w:tcPr>
            <w:tcW w:w="3120" w:type="dxa"/>
            <w:vAlign w:val="bottom"/>
          </w:tcPr>
          <w:p>
            <w:pPr>
              <w:spacing w:after="0"/>
              <w:rPr>
                <w:sz w:val="24"/>
                <w:szCs w:val="24"/>
                <w:color w:val="auto"/>
              </w:rPr>
            </w:pPr>
          </w:p>
        </w:tc>
      </w:tr>
      <w:tr>
        <w:trPr>
          <w:trHeight w:val="283"/>
        </w:trPr>
        <w:tc>
          <w:tcPr>
            <w:tcW w:w="1520" w:type="dxa"/>
            <w:vAlign w:val="bottom"/>
          </w:tcPr>
          <w:p>
            <w:pPr>
              <w:spacing w:after="0"/>
              <w:rPr>
                <w:sz w:val="20"/>
                <w:szCs w:val="20"/>
                <w:color w:val="auto"/>
              </w:rPr>
            </w:pPr>
            <w:r>
              <w:rPr>
                <w:rFonts w:ascii="Arial" w:cs="Arial" w:eastAsia="Arial" w:hAnsi="Arial"/>
                <w:sz w:val="22"/>
                <w:szCs w:val="22"/>
                <w:color w:val="auto"/>
              </w:rPr>
              <w:t>Exhibit A</w:t>
            </w:r>
          </w:p>
        </w:tc>
        <w:tc>
          <w:tcPr>
            <w:tcW w:w="6560" w:type="dxa"/>
            <w:vAlign w:val="bottom"/>
          </w:tcPr>
          <w:p>
            <w:pPr>
              <w:ind w:left="300"/>
              <w:spacing w:after="0"/>
              <w:rPr>
                <w:sz w:val="20"/>
                <w:szCs w:val="20"/>
                <w:color w:val="auto"/>
              </w:rPr>
            </w:pPr>
            <w:r>
              <w:rPr>
                <w:rFonts w:ascii="Arial" w:cs="Arial" w:eastAsia="Arial" w:hAnsi="Arial"/>
                <w:sz w:val="22"/>
                <w:szCs w:val="22"/>
                <w:color w:val="auto"/>
              </w:rPr>
              <w:t>Form of Redemption Notice</w:t>
            </w:r>
          </w:p>
        </w:tc>
        <w:tc>
          <w:tcPr>
            <w:tcW w:w="3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2" w:right="359" w:bottom="1440" w:gutter="0" w:footer="0" w:header="0"/>
        </w:sectPr>
      </w:pPr>
    </w:p>
    <w:bookmarkStart w:id="95" w:name="page96"/>
    <w:bookmarkEnd w:id="95"/>
    <w:p>
      <w:pPr>
        <w:jc w:val="both"/>
        <w:ind w:firstLine="749"/>
        <w:spacing w:after="0" w:line="264" w:lineRule="auto"/>
        <w:rPr>
          <w:sz w:val="20"/>
          <w:szCs w:val="20"/>
          <w:color w:val="auto"/>
        </w:rPr>
      </w:pPr>
      <w:r>
        <w:rPr>
          <w:rFonts w:ascii="Arial" w:cs="Arial" w:eastAsia="Arial" w:hAnsi="Arial"/>
          <w:sz w:val="22"/>
          <w:szCs w:val="22"/>
          <w:color w:val="auto"/>
        </w:rPr>
        <w:t>SECOND AMENDED AND RESTATED LIMITED LIABILITY COMPANY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OF AIDH TOPCO,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dated as of September 14, 2021, by and among the Company, Definitive Healthcare Corp., a Delaware corporation (“</w:t>
      </w:r>
      <w:r>
        <w:rPr>
          <w:rFonts w:ascii="Arial" w:cs="Arial" w:eastAsia="Arial" w:hAnsi="Arial"/>
          <w:sz w:val="22"/>
          <w:szCs w:val="22"/>
          <w:b w:val="1"/>
          <w:bCs w:val="1"/>
          <w:color w:val="auto"/>
        </w:rPr>
        <w:t>Pubco</w:t>
      </w:r>
      <w:r>
        <w:rPr>
          <w:rFonts w:ascii="Arial" w:cs="Arial" w:eastAsia="Arial" w:hAnsi="Arial"/>
          <w:sz w:val="22"/>
          <w:szCs w:val="22"/>
          <w:color w:val="auto"/>
        </w:rPr>
        <w:t>”), and the other Persons listed on the signature pages 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WHEREAS, the Company has been heretofore formed as a limited liability company under the Delaware Act (as defined below) pursuant to a certificate of formation which was executed and filed with the Secretary of State of the State of Delaware on May 31, 2019;</w:t>
      </w:r>
    </w:p>
    <w:p>
      <w:pPr>
        <w:spacing w:after="0" w:line="17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WHEREAS, the Company, Jason Krantz, AIDH Management Holdings, LLC (“</w:t>
      </w:r>
      <w:r>
        <w:rPr>
          <w:rFonts w:ascii="Arial" w:cs="Arial" w:eastAsia="Arial" w:hAnsi="Arial"/>
          <w:sz w:val="22"/>
          <w:szCs w:val="22"/>
          <w:b w:val="1"/>
          <w:bCs w:val="1"/>
          <w:color w:val="auto"/>
        </w:rPr>
        <w:t>Management Holdings LLC</w:t>
      </w:r>
      <w:r>
        <w:rPr>
          <w:rFonts w:ascii="Arial" w:cs="Arial" w:eastAsia="Arial" w:hAnsi="Arial"/>
          <w:sz w:val="22"/>
          <w:szCs w:val="22"/>
          <w:color w:val="auto"/>
        </w:rPr>
        <w:t>”) and the other members of the Company entered into the Amended and Restated Limited Liability Company Agreement of the Company, dated as of July 16, 2019, as amended (the “</w:t>
      </w:r>
      <w:r>
        <w:rPr>
          <w:rFonts w:ascii="Arial" w:cs="Arial" w:eastAsia="Arial" w:hAnsi="Arial"/>
          <w:sz w:val="22"/>
          <w:szCs w:val="22"/>
          <w:b w:val="1"/>
          <w:bCs w:val="1"/>
          <w:color w:val="auto"/>
        </w:rPr>
        <w:t>Prior LLC Agreement</w:t>
      </w:r>
      <w:r>
        <w:rPr>
          <w:rFonts w:ascii="Arial" w:cs="Arial" w:eastAsia="Arial" w:hAnsi="Arial"/>
          <w:sz w:val="22"/>
          <w:szCs w:val="22"/>
          <w:color w:val="auto"/>
        </w:rPr>
        <w:t>”);</w:t>
      </w:r>
    </w:p>
    <w:p>
      <w:pPr>
        <w:spacing w:after="0" w:line="18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WHEREAS, pursuant to the terms of the Reorganization Agreement, dated as of September 14, 2021, by and among the Company, Pubco and the Pre-IPO Holders (the “</w:t>
      </w:r>
      <w:r>
        <w:rPr>
          <w:rFonts w:ascii="Arial" w:cs="Arial" w:eastAsia="Arial" w:hAnsi="Arial"/>
          <w:sz w:val="22"/>
          <w:szCs w:val="22"/>
          <w:b w:val="1"/>
          <w:bCs w:val="1"/>
          <w:color w:val="auto"/>
        </w:rPr>
        <w:t>Reorganization Agreement</w:t>
      </w:r>
      <w:r>
        <w:rPr>
          <w:rFonts w:ascii="Arial" w:cs="Arial" w:eastAsia="Arial" w:hAnsi="Arial"/>
          <w:sz w:val="22"/>
          <w:szCs w:val="22"/>
          <w:color w:val="auto"/>
        </w:rPr>
        <w:t>”), the parties thereto have agreed to consummate the reorganization of the Company and to take the other actions contemplated in such Reorganization Agreement (collectively, the “</w:t>
      </w:r>
      <w:r>
        <w:rPr>
          <w:rFonts w:ascii="Arial" w:cs="Arial" w:eastAsia="Arial" w:hAnsi="Arial"/>
          <w:sz w:val="22"/>
          <w:szCs w:val="22"/>
          <w:b w:val="1"/>
          <w:bCs w:val="1"/>
          <w:color w:val="auto"/>
        </w:rPr>
        <w:t>Reorganization</w:t>
      </w:r>
      <w:r>
        <w:rPr>
          <w:rFonts w:ascii="Arial" w:cs="Arial" w:eastAsia="Arial" w:hAnsi="Arial"/>
          <w:sz w:val="22"/>
          <w:szCs w:val="22"/>
          <w:color w:val="auto"/>
        </w:rPr>
        <w:t>”); and</w:t>
      </w:r>
    </w:p>
    <w:p>
      <w:pPr>
        <w:spacing w:after="0" w:line="191"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WHEREAS, the parties listed on the signature pages hereto and listed on Schedule A (as defined below) represent all of the holders of limited liability company interests in the Company (the “</w:t>
      </w:r>
      <w:r>
        <w:rPr>
          <w:rFonts w:ascii="Arial" w:cs="Arial" w:eastAsia="Arial" w:hAnsi="Arial"/>
          <w:sz w:val="22"/>
          <w:szCs w:val="22"/>
          <w:b w:val="1"/>
          <w:bCs w:val="1"/>
          <w:color w:val="auto"/>
        </w:rPr>
        <w:t>Members</w:t>
      </w:r>
      <w:r>
        <w:rPr>
          <w:rFonts w:ascii="Arial" w:cs="Arial" w:eastAsia="Arial" w:hAnsi="Arial"/>
          <w:sz w:val="22"/>
          <w:szCs w:val="22"/>
          <w:color w:val="auto"/>
        </w:rPr>
        <w:t>”).</w:t>
      </w:r>
    </w:p>
    <w:p>
      <w:pPr>
        <w:spacing w:after="0" w:line="1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NOW, THEREFORE, in consideration of the mutual covenants and agreements herein made and other good and valuable consideration, the Members hereto hereby agree to amend and restate the Prior LLC Agreement, as of the Effective Time, in its entirety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USAGE</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Definitions.</w:t>
      </w:r>
    </w:p>
    <w:p>
      <w:pPr>
        <w:spacing w:after="0" w:line="233" w:lineRule="exact"/>
        <w:rPr>
          <w:sz w:val="20"/>
          <w:szCs w:val="20"/>
          <w:color w:val="auto"/>
        </w:rPr>
      </w:pPr>
    </w:p>
    <w:p>
      <w:pPr>
        <w:jc w:val="center"/>
        <w:ind w:right="-99"/>
        <w:spacing w:after="0"/>
        <w:tabs>
          <w:tab w:leader="none" w:pos="1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following terms shall have the following meanings for the purposes of this Agreement:</w:t>
      </w:r>
    </w:p>
    <w:p>
      <w:pPr>
        <w:spacing w:after="0" w:line="22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Member</w:t>
      </w:r>
      <w:r>
        <w:rPr>
          <w:rFonts w:ascii="Arial" w:cs="Arial" w:eastAsia="Arial" w:hAnsi="Arial"/>
          <w:sz w:val="22"/>
          <w:szCs w:val="22"/>
          <w:color w:val="auto"/>
        </w:rPr>
        <w:t>” means any Person admitted as a Member of the Company pursuant to Section 3.03 in connection with the new issuance of Units to such Person.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6" w:name="page97"/>
    <w:bookmarkEnd w:id="96"/>
    <w:p>
      <w:pPr>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Capital Account Deficit</w:t>
      </w:r>
      <w:r>
        <w:rPr>
          <w:rFonts w:ascii="Arial" w:cs="Arial" w:eastAsia="Arial" w:hAnsi="Arial"/>
          <w:sz w:val="22"/>
          <w:szCs w:val="22"/>
          <w:color w:val="auto"/>
        </w:rPr>
        <w:t>” means, with respect to any Member, the deficit balance, if any, in such Member’s Capital Account as of the end of the relevant Fiscal Year, after giving effect to the following adjustments:</w:t>
      </w:r>
    </w:p>
    <w:p>
      <w:pPr>
        <w:spacing w:after="0" w:line="168" w:lineRule="exact"/>
        <w:rPr>
          <w:sz w:val="20"/>
          <w:szCs w:val="20"/>
          <w:color w:val="auto"/>
        </w:rPr>
      </w:pPr>
    </w:p>
    <w:p>
      <w:pPr>
        <w:ind w:left="760" w:right="40" w:firstLine="1494"/>
        <w:spacing w:after="0" w:line="358" w:lineRule="auto"/>
        <w:tabs>
          <w:tab w:leader="none" w:pos="2689" w:val="left"/>
        </w:tabs>
        <w:numPr>
          <w:ilvl w:val="0"/>
          <w:numId w:val="68"/>
        </w:numPr>
        <w:rPr>
          <w:rFonts w:ascii="Arial" w:cs="Arial" w:eastAsia="Arial" w:hAnsi="Arial"/>
          <w:sz w:val="19"/>
          <w:szCs w:val="19"/>
          <w:color w:val="auto"/>
        </w:rPr>
      </w:pPr>
      <w:r>
        <w:rPr>
          <w:rFonts w:ascii="Arial" w:cs="Arial" w:eastAsia="Arial" w:hAnsi="Arial"/>
          <w:sz w:val="19"/>
          <w:szCs w:val="19"/>
          <w:color w:val="auto"/>
        </w:rPr>
        <w:t>Credit to such Capital Account any amounts that such Member is deemed to be obligated to restore pursuant to the penultimate sentence in Treasury Regulations Sections 1.704-2(g)(1) and 1.704-2(i)(5); and</w:t>
      </w:r>
    </w:p>
    <w:p>
      <w:pPr>
        <w:spacing w:after="0" w:line="104" w:lineRule="exact"/>
        <w:rPr>
          <w:rFonts w:ascii="Arial" w:cs="Arial" w:eastAsia="Arial" w:hAnsi="Arial"/>
          <w:sz w:val="19"/>
          <w:szCs w:val="19"/>
          <w:color w:val="auto"/>
        </w:rPr>
      </w:pPr>
    </w:p>
    <w:p>
      <w:pPr>
        <w:ind w:left="760" w:right="20" w:firstLine="1494"/>
        <w:spacing w:after="0" w:line="276" w:lineRule="auto"/>
        <w:tabs>
          <w:tab w:leader="none" w:pos="2689"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Debit to such Capital Account the items described in Treasury Regulations Sections 1.704-1(b)(2) (ii)(d)(4), 1.704-1(b)(2)(ii)(d)(5) and 1.704-1(b)(2)(ii)(d)(6).</w:t>
      </w:r>
    </w:p>
    <w:p>
      <w:pPr>
        <w:spacing w:after="0" w:line="174"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The foregoing definition of Adjusted Capital Account Deficit is intended to comply with the provisions of Treasury Regulations Section 1.704-1(b)(2)(ii)(d) and shall be interpreted consistently therewith.</w:t>
      </w:r>
    </w:p>
    <w:p>
      <w:pPr>
        <w:spacing w:after="0" w:line="16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directly or indirectly Controlling, Controlled by, or under common Control with such Person; provided that no Member nor any Affiliate of any Member shall be deemed to be an Affiliate of any other Member or any of its Affiliates solely by virtue of such Members’ Units.</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Fund</w:t>
      </w:r>
      <w:r>
        <w:rPr>
          <w:rFonts w:ascii="Arial" w:cs="Arial" w:eastAsia="Arial" w:hAnsi="Arial"/>
          <w:sz w:val="22"/>
          <w:szCs w:val="22"/>
          <w:color w:val="auto"/>
        </w:rPr>
        <w:t>” shall mean, with respect to any Person, an investment fund or investment partnership that is an Affiliate of such Person or an entity that is directly or indirectly wholly-owned by such Person or one or more of such funds or partnerships (other than a portfolio company of any such fund or partnership).</w:t>
      </w:r>
    </w:p>
    <w:p>
      <w:pPr>
        <w:spacing w:after="0" w:line="17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or its assets, as amended unless expressly specified otherwise.</w:t>
      </w:r>
    </w:p>
    <w:p>
      <w:pPr>
        <w:spacing w:after="0" w:line="183"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Income Tax Rate</w:t>
      </w:r>
      <w:r>
        <w:rPr>
          <w:rFonts w:ascii="Arial" w:cs="Arial" w:eastAsia="Arial" w:hAnsi="Arial"/>
          <w:sz w:val="21"/>
          <w:szCs w:val="21"/>
          <w:color w:val="auto"/>
        </w:rPr>
        <w:t>” means the highest effective combined marginal U.S. federal, state and local income tax rate applicable to an individual or corporation that is resident in New York, New York (whichever is higher) for such taxable year (taking into account the net investment income tax under Section 1411 of the Code and the deductibility of state and local taxes, in each case to the extent applicable), taking into account the character (long-term capital gain, qualified dividend income, tax exempt income, etc.) of the taxable income in question.</w:t>
      </w:r>
    </w:p>
    <w:p>
      <w:pPr>
        <w:spacing w:after="0" w:line="16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Cash</w:t>
      </w:r>
      <w:r>
        <w:rPr>
          <w:rFonts w:ascii="Arial" w:cs="Arial" w:eastAsia="Arial" w:hAnsi="Arial"/>
          <w:sz w:val="22"/>
          <w:szCs w:val="22"/>
          <w:color w:val="auto"/>
        </w:rPr>
        <w:t>” means, with respect to any fiscal period, the amount of cash on hand which the Managing Member, in its sole discretion, deems available for distribution to the Members, taking into account all debts, liabilities and obligations of the Company then due and any Reserves.</w:t>
      </w:r>
    </w:p>
    <w:p>
      <w:pPr>
        <w:spacing w:after="0" w:line="17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other day on which commercial banks in New York, New York are authorized or required by Applicable Law to close.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7" w:name="page98"/>
    <w:bookmarkEnd w:id="97"/>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Account</w:t>
      </w:r>
      <w:r>
        <w:rPr>
          <w:rFonts w:ascii="Arial" w:cs="Arial" w:eastAsia="Arial" w:hAnsi="Arial"/>
          <w:sz w:val="19"/>
          <w:szCs w:val="19"/>
          <w:color w:val="auto"/>
        </w:rPr>
        <w:t>” means the capital account established and maintained for each Member pursuant to Section 5.02.</w:t>
      </w:r>
    </w:p>
    <w:p>
      <w:pPr>
        <w:spacing w:after="0" w:line="268" w:lineRule="exact"/>
        <w:rPr>
          <w:sz w:val="20"/>
          <w:szCs w:val="20"/>
          <w:color w:val="auto"/>
        </w:rPr>
      </w:pPr>
    </w:p>
    <w:p>
      <w:pPr>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means, with respect to any Member, the amount of money and the initial Carrying Value of any Property (other than money) contributed to the Company.</w:t>
      </w:r>
    </w:p>
    <w:p>
      <w:pPr>
        <w:spacing w:after="0" w:line="162" w:lineRule="exact"/>
        <w:rPr>
          <w:sz w:val="20"/>
          <w:szCs w:val="20"/>
          <w:color w:val="auto"/>
        </w:rPr>
      </w:pPr>
    </w:p>
    <w:p>
      <w:pPr>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Carrying Value</w:t>
      </w:r>
      <w:r>
        <w:rPr>
          <w:rFonts w:ascii="Arial" w:cs="Arial" w:eastAsia="Arial" w:hAnsi="Arial"/>
          <w:sz w:val="22"/>
          <w:szCs w:val="22"/>
          <w:color w:val="auto"/>
        </w:rPr>
        <w:t>” means with respect to any Property (other than money), such Property’s adjusted basis for federal income tax purposes, except as follows:</w:t>
      </w:r>
    </w:p>
    <w:p>
      <w:pPr>
        <w:spacing w:after="0" w:line="168" w:lineRule="exact"/>
        <w:rPr>
          <w:sz w:val="20"/>
          <w:szCs w:val="20"/>
          <w:color w:val="auto"/>
        </w:rPr>
      </w:pPr>
    </w:p>
    <w:p>
      <w:pPr>
        <w:ind w:left="760" w:firstLine="1494"/>
        <w:spacing w:after="0" w:line="276" w:lineRule="auto"/>
        <w:tabs>
          <w:tab w:leader="none" w:pos="252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initial Carrying Value of any such Property contributed by a Member to the Company shall be the gross fair market value of such Property, as reasonably determined by the Managing Member;</w:t>
      </w:r>
    </w:p>
    <w:p>
      <w:pPr>
        <w:spacing w:after="0" w:line="174" w:lineRule="exact"/>
        <w:rPr>
          <w:rFonts w:ascii="Arial" w:cs="Arial" w:eastAsia="Arial" w:hAnsi="Arial"/>
          <w:sz w:val="22"/>
          <w:szCs w:val="22"/>
          <w:color w:val="auto"/>
        </w:rPr>
      </w:pPr>
    </w:p>
    <w:p>
      <w:pPr>
        <w:jc w:val="both"/>
        <w:ind w:left="760" w:firstLine="1494"/>
        <w:spacing w:after="0" w:line="266" w:lineRule="auto"/>
        <w:tabs>
          <w:tab w:leader="none" w:pos="2607"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Carrying Values of all such Properties shall be adjusted to equal their respective gross fair market values (taking Section 7701(g) of the Code into account), as reasonably determined by the Managing Member, at the time of any Revaluation pursuant to Section 5.02(c);</w:t>
      </w:r>
    </w:p>
    <w:p>
      <w:pPr>
        <w:spacing w:after="0" w:line="184" w:lineRule="exact"/>
        <w:rPr>
          <w:rFonts w:ascii="Arial" w:cs="Arial" w:eastAsia="Arial" w:hAnsi="Arial"/>
          <w:sz w:val="22"/>
          <w:szCs w:val="22"/>
          <w:color w:val="auto"/>
        </w:rPr>
      </w:pPr>
    </w:p>
    <w:p>
      <w:pPr>
        <w:jc w:val="both"/>
        <w:ind w:left="760" w:firstLine="1494"/>
        <w:spacing w:after="0" w:line="266" w:lineRule="auto"/>
        <w:tabs>
          <w:tab w:leader="none" w:pos="264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Carrying Value of any item of such Properties distributed to any Member shall be adjusted to equal the gross fair market value (taking Section 7701(g) of the Code into account) of such Property on the date of distribution as reasonably determined by the Managing Member; and</w:t>
      </w:r>
    </w:p>
    <w:p>
      <w:pPr>
        <w:spacing w:after="0" w:line="184" w:lineRule="exact"/>
        <w:rPr>
          <w:rFonts w:ascii="Arial" w:cs="Arial" w:eastAsia="Arial" w:hAnsi="Arial"/>
          <w:sz w:val="22"/>
          <w:szCs w:val="22"/>
          <w:color w:val="auto"/>
        </w:rPr>
      </w:pPr>
    </w:p>
    <w:p>
      <w:pPr>
        <w:jc w:val="both"/>
        <w:ind w:left="760" w:firstLine="1494"/>
        <w:spacing w:after="0" w:line="304" w:lineRule="auto"/>
        <w:tabs>
          <w:tab w:leader="none" w:pos="2627"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Carrying Values of such Properties shall be increased (or decreased) to reflect any adjustments to the adjusted basis of such Properties pursuant to Code Section 734(b) or Code Section 743(b), but only to the extent that such adjustments are taken into account in determining Capital Accounts pursuant to Treasury Regulations Section 1.704-1(b)(2)(iv)(m) and subparagraph (vi) of the definition of “</w:t>
      </w:r>
      <w:r>
        <w:rPr>
          <w:rFonts w:ascii="Arial" w:cs="Arial" w:eastAsia="Arial" w:hAnsi="Arial"/>
          <w:sz w:val="19"/>
          <w:szCs w:val="19"/>
          <w:b w:val="1"/>
          <w:bCs w:val="1"/>
          <w:color w:val="auto"/>
        </w:rPr>
        <w:t>Net Income</w:t>
      </w:r>
      <w:r>
        <w:rPr>
          <w:rFonts w:ascii="Arial" w:cs="Arial" w:eastAsia="Arial" w:hAnsi="Arial"/>
          <w:sz w:val="19"/>
          <w:szCs w:val="19"/>
          <w:color w:val="auto"/>
        </w:rPr>
        <w:t>” and “</w:t>
      </w:r>
      <w:r>
        <w:rPr>
          <w:rFonts w:ascii="Arial" w:cs="Arial" w:eastAsia="Arial" w:hAnsi="Arial"/>
          <w:sz w:val="19"/>
          <w:szCs w:val="19"/>
          <w:b w:val="1"/>
          <w:bCs w:val="1"/>
          <w:color w:val="auto"/>
        </w:rPr>
        <w:t>Net Loss</w:t>
      </w:r>
      <w:r>
        <w:rPr>
          <w:rFonts w:ascii="Arial" w:cs="Arial" w:eastAsia="Arial" w:hAnsi="Arial"/>
          <w:sz w:val="19"/>
          <w:szCs w:val="19"/>
          <w:color w:val="auto"/>
        </w:rPr>
        <w:t>” or Section 5.04(b)(vi); provided, however, that Carrying Values shall not be adjusted pursuant to this subparagraph (iv) to the extent that an adjustment pursuant to subparagraph (ii) is required in connection with a transaction that would otherwise result in an adjustment pursuant to this subparagraph (iv). If the Carrying Value of such Property has been determined or adjusted pursuant to subparagraph (i), (ii) or (iv), such Carrying Value shall thereafter be adjusted by the Depreciation taken into account with respect to such asset, for purposes of computing Net Income and Net Loss.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Common Stock</w:t>
      </w:r>
      <w:r>
        <w:rPr>
          <w:rFonts w:ascii="Arial" w:cs="Arial" w:eastAsia="Arial" w:hAnsi="Arial"/>
          <w:sz w:val="22"/>
          <w:szCs w:val="22"/>
          <w:color w:val="auto"/>
        </w:rPr>
        <w:t>” means Class A common stock, $0.001 par value per share, of Pubco.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Common Stock</w:t>
      </w:r>
      <w:r>
        <w:rPr>
          <w:rFonts w:ascii="Arial" w:cs="Arial" w:eastAsia="Arial" w:hAnsi="Arial"/>
          <w:sz w:val="22"/>
          <w:szCs w:val="22"/>
          <w:color w:val="auto"/>
        </w:rPr>
        <w:t>” means Class B common stock, no par value per share, of Pubco.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from time to time.</w:t>
      </w:r>
    </w:p>
    <w:p>
      <w:pPr>
        <w:spacing w:after="0" w:line="233" w:lineRule="exact"/>
        <w:rPr>
          <w:sz w:val="20"/>
          <w:szCs w:val="20"/>
          <w:color w:val="auto"/>
        </w:rPr>
      </w:pPr>
    </w:p>
    <w:p>
      <w:pPr>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Minimum Gain</w:t>
      </w:r>
      <w:r>
        <w:rPr>
          <w:rFonts w:ascii="Arial" w:cs="Arial" w:eastAsia="Arial" w:hAnsi="Arial"/>
          <w:sz w:val="22"/>
          <w:szCs w:val="22"/>
          <w:color w:val="auto"/>
        </w:rPr>
        <w:t>” means “partnership minimum gain,” as defined in Treasury Regulation Sections 1.704-2(b)(2) and 1.704-2(d).</w:t>
      </w:r>
    </w:p>
    <w:p>
      <w:pPr>
        <w:spacing w:after="0" w:line="162" w:lineRule="exact"/>
        <w:rPr>
          <w:sz w:val="20"/>
          <w:szCs w:val="20"/>
          <w:color w:val="auto"/>
        </w:rPr>
      </w:pPr>
    </w:p>
    <w:p>
      <w:pPr>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(including the terms “</w:t>
      </w:r>
      <w:r>
        <w:rPr>
          <w:rFonts w:ascii="Arial" w:cs="Arial" w:eastAsia="Arial" w:hAnsi="Arial"/>
          <w:sz w:val="22"/>
          <w:szCs w:val="22"/>
          <w:b w:val="1"/>
          <w:bCs w:val="1"/>
          <w:color w:val="auto"/>
        </w:rPr>
        <w:t>controlling</w:t>
      </w:r>
      <w:r>
        <w:rPr>
          <w:rFonts w:ascii="Arial" w:cs="Arial" w:eastAsia="Arial" w:hAnsi="Arial"/>
          <w:sz w:val="22"/>
          <w:szCs w:val="22"/>
          <w:color w:val="auto"/>
        </w:rPr>
        <w:t xml:space="preserve">” and “ </w:t>
      </w:r>
      <w:r>
        <w:rPr>
          <w:rFonts w:ascii="Arial" w:cs="Arial" w:eastAsia="Arial" w:hAnsi="Arial"/>
          <w:sz w:val="22"/>
          <w:szCs w:val="22"/>
          <w:b w:val="1"/>
          <w:bCs w:val="1"/>
          <w:color w:val="auto"/>
        </w:rPr>
        <w:t>controlled</w:t>
      </w:r>
      <w:r>
        <w:rPr>
          <w:rFonts w:ascii="Arial" w:cs="Arial" w:eastAsia="Arial" w:hAnsi="Arial"/>
          <w:sz w:val="22"/>
          <w:szCs w:val="22"/>
          <w:color w:val="auto"/>
        </w:rPr>
        <w:t>”), with respect to the relationship between or among two or more Persons, means the possession, directly or indirectly,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8" w:name="page99"/>
    <w:bookmarkEnd w:id="98"/>
    <w:p>
      <w:pPr>
        <w:jc w:val="both"/>
        <w:spacing w:after="0" w:line="276" w:lineRule="auto"/>
        <w:rPr>
          <w:sz w:val="20"/>
          <w:szCs w:val="20"/>
          <w:color w:val="auto"/>
        </w:rPr>
      </w:pPr>
      <w:r>
        <w:rPr>
          <w:rFonts w:ascii="Arial" w:cs="Arial" w:eastAsia="Arial" w:hAnsi="Arial"/>
          <w:sz w:val="22"/>
          <w:szCs w:val="22"/>
          <w:color w:val="auto"/>
        </w:rPr>
        <w:t>of the power to direct or cause the direction of the affairs or management of such subject Person, whether through the ownership of voting securities, as trustee or executor, by contract or otherwise.</w:t>
      </w:r>
    </w:p>
    <w:p>
      <w:pPr>
        <w:spacing w:after="0" w:line="168"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Corresponding Company Units</w:t>
      </w:r>
      <w:r>
        <w:rPr>
          <w:rFonts w:ascii="Arial" w:cs="Arial" w:eastAsia="Arial" w:hAnsi="Arial"/>
          <w:sz w:val="22"/>
          <w:szCs w:val="22"/>
          <w:color w:val="auto"/>
        </w:rPr>
        <w:t>” means any LLC Units held by Management Holdings that correspond to units of Management Holdings.</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Corresponding Management Holdings Units</w:t>
      </w:r>
      <w:r>
        <w:rPr>
          <w:rFonts w:ascii="Arial" w:cs="Arial" w:eastAsia="Arial" w:hAnsi="Arial"/>
          <w:sz w:val="22"/>
          <w:szCs w:val="22"/>
          <w:color w:val="auto"/>
        </w:rPr>
        <w:t>” means the units of Management Holdings that correspond to LLC Units held by Management Holdings.</w:t>
      </w:r>
    </w:p>
    <w:p>
      <w:pPr>
        <w:spacing w:after="0" w:line="16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Person</w:t>
      </w:r>
      <w:r>
        <w:rPr>
          <w:rFonts w:ascii="Arial" w:cs="Arial" w:eastAsia="Arial" w:hAnsi="Arial"/>
          <w:sz w:val="21"/>
          <w:szCs w:val="21"/>
          <w:color w:val="auto"/>
        </w:rPr>
        <w:t>” means (i) each Member or an Affiliate thereof, in each case in such capacity, (ii) each officer, director, shareholder, member, partner, employee, representative, agent or trustee of a Member or an Affiliate thereof, in all cases in such capacity, and (iii) each officer, director, shareholder (other than any public shareholder of Pubco that is not a Member), member, partner, employee, representative, agent or trustee of the Managing Member, Pubco (in the event Pubco is not the Managing Member), the Company or an Affiliate controlled thereby, in all cases in such capacity.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Delaware Act</w:t>
      </w:r>
      <w:r>
        <w:rPr>
          <w:rFonts w:ascii="Arial" w:cs="Arial" w:eastAsia="Arial" w:hAnsi="Arial"/>
          <w:sz w:val="22"/>
          <w:szCs w:val="22"/>
          <w:color w:val="auto"/>
        </w:rPr>
        <w:t xml:space="preserve">” means the Delaware Limited Liability Company Act, 6 Del. C. §§ 18-101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Depreciation</w:t>
      </w:r>
      <w:r>
        <w:rPr>
          <w:rFonts w:ascii="Arial" w:cs="Arial" w:eastAsia="Arial" w:hAnsi="Arial"/>
          <w:sz w:val="19"/>
          <w:szCs w:val="19"/>
          <w:color w:val="auto"/>
        </w:rPr>
        <w:t>” means, for each Fiscal Year, an amount equal to the depreciation, amortization, or other cost recovery deduction allowable with respect to an asset for such Fiscal Year, except that if the Carrying Value of an asset differs from its adjusted basis for federal income tax purposes at the beginning of such Fiscal Year, Depreciation shall be an amount that bears the same ratio to such beginning Carrying Value as the federal income tax depreciation, amortization, or other cost recovery deduction for such Fiscal Year bears to such beginning adjusted tax basis; provided, however, that if the adjusted basis for federal income tax purposes of an asset at the beginning of such Fiscal Year is zero, Depreciation shall be determined with reference to such beginning Carrying Value using any reasonable method selected by the Managing Member.</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Time</w:t>
      </w:r>
      <w:r>
        <w:rPr>
          <w:rFonts w:ascii="Arial" w:cs="Arial" w:eastAsia="Arial" w:hAnsi="Arial"/>
          <w:sz w:val="22"/>
          <w:szCs w:val="22"/>
          <w:color w:val="auto"/>
        </w:rPr>
        <w:t>” means the date hereof.</w:t>
      </w:r>
    </w:p>
    <w:p>
      <w:pPr>
        <w:spacing w:after="0" w:line="233" w:lineRule="exact"/>
        <w:rPr>
          <w:sz w:val="20"/>
          <w:szCs w:val="20"/>
          <w:color w:val="auto"/>
        </w:rPr>
      </w:pPr>
    </w:p>
    <w:p>
      <w:pPr>
        <w:jc w:val="both"/>
        <w:ind w:firstLine="749"/>
        <w:spacing w:after="0" w:line="31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means, with respect to any Person, any (i) membership interests or shares of capital stock, (ii) equity, ownership, voting, profit or participation interests or (iii) similar rights or securities in such Person or any of its Subsidiaries, or any rights or securities convertible into or exchangeable for, options or other rights to acquire from such Person or any of its Subsidiaries, or obligation on the part of such Person or any of its Subsidiaries to issue, any of the foregoing.</w:t>
      </w:r>
    </w:p>
    <w:p>
      <w:pPr>
        <w:spacing w:after="0" w:line="134"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Company’s fiscal year, which shall initially be the calendar year and which may be changed from time to time as determined by the Managing Member.</w:t>
      </w:r>
    </w:p>
    <w:p>
      <w:pPr>
        <w:spacing w:after="0" w:line="162" w:lineRule="exact"/>
        <w:rPr>
          <w:sz w:val="20"/>
          <w:szCs w:val="20"/>
          <w:color w:val="auto"/>
        </w:rPr>
      </w:pPr>
    </w:p>
    <w:p>
      <w:pPr>
        <w:jc w:val="both"/>
        <w:ind w:firstLine="749"/>
        <w:spacing w:after="0" w:line="3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transnational, domestic or foreign federal, state or local governmental, regulatory or administrative authority, department, court, agency, entity or official, including any political subdivision thereof.</w:t>
      </w:r>
    </w:p>
    <w:p>
      <w:pPr>
        <w:spacing w:after="0" w:line="9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means (a) all indebtedness for borrowed money (including capitalized lease obligations, sale-leaseback transactions or other similar transactions, however evidenced),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9" w:name="page100"/>
    <w:bookmarkEnd w:id="99"/>
    <w:p>
      <w:pPr>
        <w:ind w:firstLine="8"/>
        <w:spacing w:after="0" w:line="276" w:lineRule="auto"/>
        <w:tabs>
          <w:tab w:leader="none" w:pos="329"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other indebtedness that is evidenced by a note, bond, debenture, draft or similar instrument, (c) notes payable and (d) lines of credit and any other agreements relating to the borrowing of money or extension of credit.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Involuntary Transfer</w:t>
      </w:r>
      <w:r>
        <w:rPr>
          <w:rFonts w:ascii="Arial" w:cs="Arial" w:eastAsia="Arial" w:hAnsi="Arial"/>
          <w:sz w:val="19"/>
          <w:szCs w:val="19"/>
          <w:color w:val="auto"/>
        </w:rPr>
        <w:t>” means any Transfer of Units by a Member (other than Management Holdings) resulting from</w:t>
      </w:r>
    </w:p>
    <w:p>
      <w:pPr>
        <w:spacing w:after="0" w:line="62" w:lineRule="exact"/>
        <w:rPr>
          <w:sz w:val="20"/>
          <w:szCs w:val="20"/>
          <w:color w:val="auto"/>
        </w:rPr>
      </w:pPr>
    </w:p>
    <w:p>
      <w:pPr>
        <w:ind w:firstLine="8"/>
        <w:spacing w:after="0" w:line="296" w:lineRule="auto"/>
        <w:tabs>
          <w:tab w:leader="none" w:pos="262"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seizure under levy of attachment or execution, (ii) any bankruptcy (whether voluntary or involuntary) or (iii) any Transfer to a state or to a public officer or agency pursuant to any statute pertaining to escheat or abandoned property.</w:t>
      </w:r>
    </w:p>
    <w:p>
      <w:pPr>
        <w:spacing w:after="0" w:line="150" w:lineRule="exact"/>
        <w:rPr>
          <w:sz w:val="20"/>
          <w:szCs w:val="20"/>
          <w:color w:val="auto"/>
        </w:rPr>
      </w:pPr>
    </w:p>
    <w:p>
      <w:pPr>
        <w:jc w:val="both"/>
        <w:ind w:firstLine="749"/>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Involuntary Corresponding Transfer</w:t>
      </w:r>
      <w:r>
        <w:rPr>
          <w:rFonts w:ascii="Arial" w:cs="Arial" w:eastAsia="Arial" w:hAnsi="Arial"/>
          <w:sz w:val="19"/>
          <w:szCs w:val="19"/>
          <w:color w:val="auto"/>
        </w:rPr>
        <w:t>” means any Transfer of Corresponding Management Holdings Units resulting from (i) any seizure under levy of attachment or execution, (ii) any bankruptcy (whether voluntary or involuntary) or (iii) any Transfer to a state or to a public officer or agency pursuant to any statute pertaining to escheat or abandoned property.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the initial underwritten public offering of Pubco.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Internal Revenue Service of the United States.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Liens</w:t>
      </w:r>
      <w:r>
        <w:rPr>
          <w:rFonts w:ascii="Arial" w:cs="Arial" w:eastAsia="Arial" w:hAnsi="Arial"/>
          <w:sz w:val="19"/>
          <w:szCs w:val="19"/>
          <w:color w:val="auto"/>
        </w:rPr>
        <w:t>” means any pledge, encumbrance, security interest, purchase option, conditional sale agreement, call or similar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right.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LLC Unit</w:t>
      </w:r>
      <w:r>
        <w:rPr>
          <w:rFonts w:ascii="Arial" w:cs="Arial" w:eastAsia="Arial" w:hAnsi="Arial"/>
          <w:sz w:val="22"/>
          <w:szCs w:val="22"/>
          <w:color w:val="auto"/>
        </w:rPr>
        <w:t>” means a common limited liability interest in the Company.</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Member</w:t>
      </w:r>
      <w:r>
        <w:rPr>
          <w:rFonts w:ascii="Arial" w:cs="Arial" w:eastAsia="Arial" w:hAnsi="Arial"/>
          <w:sz w:val="22"/>
          <w:szCs w:val="22"/>
          <w:color w:val="auto"/>
        </w:rPr>
        <w:t>” means any member of Management Holdings LLC.</w:t>
      </w:r>
    </w:p>
    <w:p>
      <w:pPr>
        <w:spacing w:after="0" w:line="23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Unit Agreement</w:t>
      </w:r>
      <w:r>
        <w:rPr>
          <w:rFonts w:ascii="Arial" w:cs="Arial" w:eastAsia="Arial" w:hAnsi="Arial"/>
          <w:sz w:val="22"/>
          <w:szCs w:val="22"/>
          <w:color w:val="auto"/>
        </w:rPr>
        <w:t>” means a unit purchase agreement, subscription agreement or an incentive unit grant agreement, as applicable, among the Company, Management Holdings LLC and a manager, director, employee or officer of the Company and/or one of its Subsidiaries as in effect from time to time.</w:t>
      </w:r>
    </w:p>
    <w:p>
      <w:pPr>
        <w:spacing w:after="0" w:line="175"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Holdings LLC Agreement</w:t>
      </w:r>
      <w:r>
        <w:rPr>
          <w:rFonts w:ascii="Arial" w:cs="Arial" w:eastAsia="Arial" w:hAnsi="Arial"/>
          <w:sz w:val="22"/>
          <w:szCs w:val="22"/>
          <w:color w:val="auto"/>
        </w:rPr>
        <w:t>” means the limited liability company agreement, dated as of the date hereof, among Management Holdings LLC and the members thereof as amended from time to time.</w:t>
      </w:r>
    </w:p>
    <w:p>
      <w:pPr>
        <w:spacing w:after="0" w:line="16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Managing Member</w:t>
      </w:r>
      <w:r>
        <w:rPr>
          <w:rFonts w:ascii="Arial" w:cs="Arial" w:eastAsia="Arial" w:hAnsi="Arial"/>
          <w:sz w:val="22"/>
          <w:szCs w:val="22"/>
          <w:color w:val="auto"/>
        </w:rPr>
        <w:t>” (i) initially, AIDH Holdings, Inc. and pursuant to the Reorganization, Pubco as the successor to AIDH Holdings, Inc., so long as such Person has not withdrawn as the Managing Member pursuant to Section 7.02 and (ii) any successor thereof appointed as Managing Member in accordance with Section 7.02.</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Member</w:t>
      </w:r>
      <w:r>
        <w:rPr>
          <w:rFonts w:ascii="Arial" w:cs="Arial" w:eastAsia="Arial" w:hAnsi="Arial"/>
          <w:sz w:val="21"/>
          <w:szCs w:val="21"/>
          <w:color w:val="auto"/>
        </w:rPr>
        <w:t>” means any Person named as a Member of the Company on the Member Schedule and the books and records of the Company, as the same may be amended from time to time to reflect any Person admitted as an Additional Member or a Substitute Member, for so long as such Person continues to be a Member of the Company.</w:t>
      </w:r>
    </w:p>
    <w:p>
      <w:pPr>
        <w:spacing w:after="0" w:line="16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Debt</w:t>
      </w:r>
      <w:r>
        <w:rPr>
          <w:rFonts w:ascii="Arial" w:cs="Arial" w:eastAsia="Arial" w:hAnsi="Arial"/>
          <w:sz w:val="22"/>
          <w:szCs w:val="22"/>
          <w:color w:val="auto"/>
        </w:rPr>
        <w:t>” has the same meaning as the term “partner nonrecourse debt” in Treasury Regulations Section 1.704-2(b)(4).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0" w:name="page101"/>
    <w:bookmarkEnd w:id="100"/>
    <w:p>
      <w:pPr>
        <w:jc w:val="both"/>
        <w:ind w:firstLine="749"/>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Debt Minimum Gain</w:t>
      </w:r>
      <w:r>
        <w:rPr>
          <w:rFonts w:ascii="Arial" w:cs="Arial" w:eastAsia="Arial" w:hAnsi="Arial"/>
          <w:sz w:val="22"/>
          <w:szCs w:val="22"/>
          <w:color w:val="auto"/>
        </w:rPr>
        <w:t>” means an amount with respect to each “partner nonrecourse debt” (as defined in Treasury Regulation Section 1.704-2(b)(4)) equal to the Company Minimum Gain that would result if such partner nonrecourse debt were treated as a nonrecourse liability (as defined in Treasury Regulation Section 1.752-1(a)(2)) determined in accordance with Treasury Regulation Section 1.704-2(i)(3).</w:t>
      </w:r>
    </w:p>
    <w:p>
      <w:pPr>
        <w:spacing w:after="0" w:line="18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Deductions</w:t>
      </w:r>
      <w:r>
        <w:rPr>
          <w:rFonts w:ascii="Arial" w:cs="Arial" w:eastAsia="Arial" w:hAnsi="Arial"/>
          <w:sz w:val="22"/>
          <w:szCs w:val="22"/>
          <w:color w:val="auto"/>
        </w:rPr>
        <w:t>” has the same meaning as the term “partner nonrecourse deductions” in Treasury Regulations Sections 1.704-2(i)(1) and 1.704-2(i)(2).</w:t>
      </w:r>
    </w:p>
    <w:p>
      <w:pPr>
        <w:spacing w:after="0" w:line="162"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Income</w:t>
      </w:r>
      <w:r>
        <w:rPr>
          <w:rFonts w:ascii="Arial" w:cs="Arial" w:eastAsia="Arial" w:hAnsi="Arial"/>
          <w:sz w:val="21"/>
          <w:szCs w:val="21"/>
          <w:color w:val="auto"/>
        </w:rPr>
        <w:t>” and “</w:t>
      </w:r>
      <w:r>
        <w:rPr>
          <w:rFonts w:ascii="Arial" w:cs="Arial" w:eastAsia="Arial" w:hAnsi="Arial"/>
          <w:sz w:val="21"/>
          <w:szCs w:val="21"/>
          <w:b w:val="1"/>
          <w:bCs w:val="1"/>
          <w:color w:val="auto"/>
        </w:rPr>
        <w:t>Net Loss</w:t>
      </w:r>
      <w:r>
        <w:rPr>
          <w:rFonts w:ascii="Arial" w:cs="Arial" w:eastAsia="Arial" w:hAnsi="Arial"/>
          <w:sz w:val="21"/>
          <w:szCs w:val="21"/>
          <w:color w:val="auto"/>
        </w:rPr>
        <w:t>” mean, for each Fiscal Year or other period, an amount equal to the Company’s taxable income or loss for such Fiscal Year or period, determined in accordance with Section 703(a) of the Code (for this purpose, all items of income, gain, loss, or deduction required to be stated separately pursuant to Section 703(a)(1) of the Code shall be included in taxable income or loss), with the following adjustments (without duplication):</w:t>
      </w:r>
    </w:p>
    <w:p>
      <w:pPr>
        <w:spacing w:after="0" w:line="171" w:lineRule="exact"/>
        <w:rPr>
          <w:sz w:val="20"/>
          <w:szCs w:val="20"/>
          <w:color w:val="auto"/>
        </w:rPr>
      </w:pPr>
    </w:p>
    <w:p>
      <w:pPr>
        <w:jc w:val="both"/>
        <w:ind w:left="760" w:firstLine="1494"/>
        <w:spacing w:after="0" w:line="266" w:lineRule="auto"/>
        <w:tabs>
          <w:tab w:leader="none" w:pos="2534" w:val="left"/>
        </w:tabs>
        <w:numPr>
          <w:ilvl w:val="1"/>
          <w:numId w:val="72"/>
        </w:numPr>
        <w:rPr>
          <w:rFonts w:ascii="Arial" w:cs="Arial" w:eastAsia="Arial" w:hAnsi="Arial"/>
          <w:sz w:val="22"/>
          <w:szCs w:val="22"/>
          <w:color w:val="auto"/>
        </w:rPr>
      </w:pPr>
      <w:r>
        <w:rPr>
          <w:rFonts w:ascii="Arial" w:cs="Arial" w:eastAsia="Arial" w:hAnsi="Arial"/>
          <w:sz w:val="22"/>
          <w:szCs w:val="22"/>
          <w:color w:val="auto"/>
        </w:rPr>
        <w:t>Any income of the Company that is exempt from federal income tax and not otherwise taken into account in computing Net Income or Net Loss pursuant to this definition of “</w:t>
      </w:r>
      <w:r>
        <w:rPr>
          <w:rFonts w:ascii="Arial" w:cs="Arial" w:eastAsia="Arial" w:hAnsi="Arial"/>
          <w:sz w:val="22"/>
          <w:szCs w:val="22"/>
          <w:b w:val="1"/>
          <w:bCs w:val="1"/>
          <w:color w:val="auto"/>
        </w:rPr>
        <w:t>Net Income</w:t>
      </w:r>
      <w:r>
        <w:rPr>
          <w:rFonts w:ascii="Arial" w:cs="Arial" w:eastAsia="Arial" w:hAnsi="Arial"/>
          <w:sz w:val="22"/>
          <w:szCs w:val="22"/>
          <w:color w:val="auto"/>
        </w:rPr>
        <w:t>” and “</w:t>
      </w:r>
      <w:r>
        <w:rPr>
          <w:rFonts w:ascii="Arial" w:cs="Arial" w:eastAsia="Arial" w:hAnsi="Arial"/>
          <w:sz w:val="22"/>
          <w:szCs w:val="22"/>
          <w:b w:val="1"/>
          <w:bCs w:val="1"/>
          <w:color w:val="auto"/>
        </w:rPr>
        <w:t>Net Loss</w:t>
      </w:r>
      <w:r>
        <w:rPr>
          <w:rFonts w:ascii="Arial" w:cs="Arial" w:eastAsia="Arial" w:hAnsi="Arial"/>
          <w:sz w:val="22"/>
          <w:szCs w:val="22"/>
          <w:color w:val="auto"/>
        </w:rPr>
        <w:t>” shall be added to such taxable income or loss;</w:t>
      </w:r>
    </w:p>
    <w:p>
      <w:pPr>
        <w:spacing w:after="0" w:line="184" w:lineRule="exact"/>
        <w:rPr>
          <w:rFonts w:ascii="Arial" w:cs="Arial" w:eastAsia="Arial" w:hAnsi="Arial"/>
          <w:sz w:val="22"/>
          <w:szCs w:val="22"/>
          <w:color w:val="auto"/>
        </w:rPr>
      </w:pPr>
    </w:p>
    <w:p>
      <w:pPr>
        <w:jc w:val="both"/>
        <w:ind w:left="760" w:firstLine="1494"/>
        <w:spacing w:after="0" w:line="262" w:lineRule="auto"/>
        <w:tabs>
          <w:tab w:leader="none" w:pos="2612" w:val="left"/>
        </w:tabs>
        <w:numPr>
          <w:ilvl w:val="1"/>
          <w:numId w:val="72"/>
        </w:numPr>
        <w:rPr>
          <w:rFonts w:ascii="Arial" w:cs="Arial" w:eastAsia="Arial" w:hAnsi="Arial"/>
          <w:sz w:val="22"/>
          <w:szCs w:val="22"/>
          <w:color w:val="auto"/>
        </w:rPr>
      </w:pPr>
      <w:r>
        <w:rPr>
          <w:rFonts w:ascii="Arial" w:cs="Arial" w:eastAsia="Arial" w:hAnsi="Arial"/>
          <w:sz w:val="22"/>
          <w:szCs w:val="22"/>
          <w:color w:val="auto"/>
        </w:rPr>
        <w:t>Any expenditures of the Company described in Section 705(a)(2)(B) of the Code or treated as Section 705(a)(2)(B) of the Code expenditures pursuant to Treasury Regulations Section 1.704-1(b)(2)(iv)(i), and not otherwise taken into account in computing Net Income and Net Loss pursuant to this definition of “</w:t>
      </w:r>
      <w:r>
        <w:rPr>
          <w:rFonts w:ascii="Arial" w:cs="Arial" w:eastAsia="Arial" w:hAnsi="Arial"/>
          <w:sz w:val="22"/>
          <w:szCs w:val="22"/>
          <w:b w:val="1"/>
          <w:bCs w:val="1"/>
          <w:color w:val="auto"/>
        </w:rPr>
        <w:t>Net Income</w:t>
      </w:r>
      <w:r>
        <w:rPr>
          <w:rFonts w:ascii="Arial" w:cs="Arial" w:eastAsia="Arial" w:hAnsi="Arial"/>
          <w:sz w:val="22"/>
          <w:szCs w:val="22"/>
          <w:color w:val="auto"/>
        </w:rPr>
        <w:t>” and “Net Loss,” shall be treated as deductible items;</w:t>
      </w:r>
    </w:p>
    <w:p>
      <w:pPr>
        <w:spacing w:after="0" w:line="191" w:lineRule="exact"/>
        <w:rPr>
          <w:rFonts w:ascii="Arial" w:cs="Arial" w:eastAsia="Arial" w:hAnsi="Arial"/>
          <w:sz w:val="22"/>
          <w:szCs w:val="22"/>
          <w:color w:val="auto"/>
        </w:rPr>
      </w:pPr>
    </w:p>
    <w:p>
      <w:pPr>
        <w:ind w:left="2640" w:hanging="386"/>
        <w:spacing w:after="0"/>
        <w:tabs>
          <w:tab w:leader="none" w:pos="26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In the event the Carrying Value of any Company asset is adjusted pursuant to subparagraphs (ii) or</w:t>
      </w:r>
    </w:p>
    <w:p>
      <w:pPr>
        <w:spacing w:after="0" w:line="55" w:lineRule="exact"/>
        <w:rPr>
          <w:rFonts w:ascii="Arial" w:cs="Arial" w:eastAsia="Arial" w:hAnsi="Arial"/>
          <w:sz w:val="19"/>
          <w:szCs w:val="19"/>
          <w:color w:val="auto"/>
        </w:rPr>
      </w:pPr>
    </w:p>
    <w:p>
      <w:pPr>
        <w:jc w:val="both"/>
        <w:ind w:left="760" w:hanging="3"/>
        <w:spacing w:after="0" w:line="277" w:lineRule="auto"/>
        <w:tabs>
          <w:tab w:leader="none" w:pos="1167" w:val="left"/>
        </w:tabs>
        <w:numPr>
          <w:ilvl w:val="0"/>
          <w:numId w:val="73"/>
        </w:numPr>
        <w:rPr>
          <w:rFonts w:ascii="Arial" w:cs="Arial" w:eastAsia="Arial" w:hAnsi="Arial"/>
          <w:sz w:val="21"/>
          <w:szCs w:val="21"/>
          <w:color w:val="auto"/>
        </w:rPr>
      </w:pPr>
      <w:r>
        <w:rPr>
          <w:rFonts w:ascii="Arial" w:cs="Arial" w:eastAsia="Arial" w:hAnsi="Arial"/>
          <w:sz w:val="21"/>
          <w:szCs w:val="21"/>
          <w:color w:val="auto"/>
        </w:rPr>
        <w:t>of the definition of “Carrying Value,” the amount of such adjustment shall be treated as an item of gain (if the adjustment increases the Carrying Value of the asset) or an item of loss (if the adjustment decreases the Carrying Value of the asset) from the disposition of such asset and shall be taken into account, immediately prior to the event giving rise to such adjustment, for purposes of computing Net Income and/or Net Loss;</w:t>
      </w:r>
    </w:p>
    <w:p>
      <w:pPr>
        <w:spacing w:after="0" w:line="176" w:lineRule="exact"/>
        <w:rPr>
          <w:rFonts w:ascii="Arial" w:cs="Arial" w:eastAsia="Arial" w:hAnsi="Arial"/>
          <w:sz w:val="21"/>
          <w:szCs w:val="21"/>
          <w:color w:val="auto"/>
        </w:rPr>
      </w:pPr>
    </w:p>
    <w:p>
      <w:pPr>
        <w:jc w:val="both"/>
        <w:ind w:left="760" w:firstLine="1494"/>
        <w:spacing w:after="0" w:line="284" w:lineRule="auto"/>
        <w:tabs>
          <w:tab w:leader="none" w:pos="2666" w:val="left"/>
        </w:tabs>
        <w:numPr>
          <w:ilvl w:val="1"/>
          <w:numId w:val="73"/>
        </w:numPr>
        <w:rPr>
          <w:rFonts w:ascii="Arial" w:cs="Arial" w:eastAsia="Arial" w:hAnsi="Arial"/>
          <w:sz w:val="21"/>
          <w:szCs w:val="21"/>
          <w:color w:val="auto"/>
        </w:rPr>
      </w:pPr>
      <w:r>
        <w:rPr>
          <w:rFonts w:ascii="Arial" w:cs="Arial" w:eastAsia="Arial" w:hAnsi="Arial"/>
          <w:sz w:val="21"/>
          <w:szCs w:val="21"/>
          <w:color w:val="auto"/>
        </w:rPr>
        <w:t>Gain or loss resulting from any disposition of Property with respect to which gain or loss is recognized for federal income tax purposes shall be computed by reference to the Carrying Value of the Property disposed of, notwithstanding that the adjusted tax basis of such Property differs from its Carrying Value;</w:t>
      </w:r>
    </w:p>
    <w:p>
      <w:pPr>
        <w:spacing w:after="0" w:line="168" w:lineRule="exact"/>
        <w:rPr>
          <w:rFonts w:ascii="Arial" w:cs="Arial" w:eastAsia="Arial" w:hAnsi="Arial"/>
          <w:sz w:val="21"/>
          <w:szCs w:val="21"/>
          <w:color w:val="auto"/>
        </w:rPr>
      </w:pPr>
    </w:p>
    <w:p>
      <w:pPr>
        <w:jc w:val="both"/>
        <w:ind w:left="760" w:firstLine="1494"/>
        <w:spacing w:after="0" w:line="266" w:lineRule="auto"/>
        <w:tabs>
          <w:tab w:leader="none" w:pos="2581"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 lieu of the depreciation, amortization, and other cost recovery deductions taken into account in computing such taxable income or loss, there shall be taken into account Depreciation for such Fiscal Year, computed in accordance with the definition of Depreciation;</w:t>
      </w:r>
    </w:p>
    <w:p>
      <w:pPr>
        <w:spacing w:after="0" w:line="184" w:lineRule="exact"/>
        <w:rPr>
          <w:rFonts w:ascii="Arial" w:cs="Arial" w:eastAsia="Arial" w:hAnsi="Arial"/>
          <w:sz w:val="22"/>
          <w:szCs w:val="22"/>
          <w:color w:val="auto"/>
        </w:rPr>
      </w:pPr>
    </w:p>
    <w:p>
      <w:pPr>
        <w:jc w:val="both"/>
        <w:ind w:left="760" w:firstLine="1494"/>
        <w:spacing w:after="0" w:line="317" w:lineRule="auto"/>
        <w:tabs>
          <w:tab w:leader="none" w:pos="2648" w:val="left"/>
        </w:tabs>
        <w:numPr>
          <w:ilvl w:val="1"/>
          <w:numId w:val="73"/>
        </w:numPr>
        <w:rPr>
          <w:rFonts w:ascii="Arial" w:cs="Arial" w:eastAsia="Arial" w:hAnsi="Arial"/>
          <w:sz w:val="19"/>
          <w:szCs w:val="19"/>
          <w:color w:val="auto"/>
        </w:rPr>
      </w:pPr>
      <w:r>
        <w:rPr>
          <w:rFonts w:ascii="Arial" w:cs="Arial" w:eastAsia="Arial" w:hAnsi="Arial"/>
          <w:sz w:val="19"/>
          <w:szCs w:val="19"/>
          <w:color w:val="auto"/>
        </w:rPr>
        <w:t>To the extent an adjustment to the adjusted tax basis of any Company asset pursuant to Section 734(b) of the Code is required, pursuant to Treasury Regulations Section 1.704-1(b)(2)(iv)(m)(4), to be taken into account in determining Capital Accounts as a result of a distribution other than in liquidation of a Member’s interest in the Company, the amount of such adjustment shall be treated as an item of gain (if the adjustment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1" w:name="page102"/>
    <w:bookmarkEnd w:id="101"/>
    <w:p>
      <w:pPr>
        <w:ind w:left="760"/>
        <w:spacing w:after="0" w:line="276" w:lineRule="auto"/>
        <w:rPr>
          <w:sz w:val="20"/>
          <w:szCs w:val="20"/>
          <w:color w:val="auto"/>
        </w:rPr>
      </w:pPr>
      <w:r>
        <w:rPr>
          <w:rFonts w:ascii="Arial" w:cs="Arial" w:eastAsia="Arial" w:hAnsi="Arial"/>
          <w:sz w:val="22"/>
          <w:szCs w:val="22"/>
          <w:color w:val="auto"/>
        </w:rPr>
        <w:t>increases the basis of the asset) or loss (if the adjustment decreases such basis) from the disposition of such asset and shall be taken into account for purposes of computing Net Income or Net Loss; and</w:t>
      </w:r>
    </w:p>
    <w:p>
      <w:pPr>
        <w:spacing w:after="0" w:line="174" w:lineRule="exact"/>
        <w:rPr>
          <w:sz w:val="20"/>
          <w:szCs w:val="20"/>
          <w:color w:val="auto"/>
        </w:rPr>
      </w:pPr>
    </w:p>
    <w:p>
      <w:pPr>
        <w:jc w:val="both"/>
        <w:ind w:left="760" w:firstLine="1494"/>
        <w:spacing w:after="0" w:line="266" w:lineRule="auto"/>
        <w:tabs>
          <w:tab w:leader="none" w:pos="2729"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Notwithstanding any other provision of this definition, any items that are specially allocated pursuant to Section 5.04(b), Section 5.04(c) and Section 5.04(d) shall not be taken into account in computing Net Income and Net Loss.</w:t>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The amounts of the items of Company income, gain, loss, or deduction available to be specially allocated pursuant to Section 5.04(b), Section 5.04(c) and Section 5.04(d) shall be determined by applying rules analogous to those set forth in subparagraphs (i) through (vi) above.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Non-Pubco Member</w:t>
      </w:r>
      <w:r>
        <w:rPr>
          <w:rFonts w:ascii="Arial" w:cs="Arial" w:eastAsia="Arial" w:hAnsi="Arial"/>
          <w:sz w:val="22"/>
          <w:szCs w:val="22"/>
          <w:color w:val="auto"/>
        </w:rPr>
        <w:t>” means any Member that is not a Pubco Member.</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Deductions</w:t>
      </w:r>
      <w:r>
        <w:rPr>
          <w:rFonts w:ascii="Arial" w:cs="Arial" w:eastAsia="Arial" w:hAnsi="Arial"/>
          <w:sz w:val="19"/>
          <w:szCs w:val="19"/>
          <w:color w:val="auto"/>
        </w:rPr>
        <w:t>” has the meaning set forth in Treasury Regulations Sections 1.704-2(b)(1) and 1.704-2(c).</w:t>
      </w:r>
    </w:p>
    <w:p>
      <w:pPr>
        <w:spacing w:after="0" w:line="268"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Units</w:t>
      </w:r>
      <w:r>
        <w:rPr>
          <w:rFonts w:ascii="Arial" w:cs="Arial" w:eastAsia="Arial" w:hAnsi="Arial"/>
          <w:sz w:val="22"/>
          <w:szCs w:val="22"/>
          <w:color w:val="auto"/>
        </w:rPr>
        <w:t>” means the Class A Units and Class B Units of the Company outstanding immediately prior to the effectiveness of this Agreement.</w:t>
      </w:r>
    </w:p>
    <w:p>
      <w:pPr>
        <w:spacing w:after="0" w:line="162"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Percentage Interest</w:t>
      </w:r>
      <w:r>
        <w:rPr>
          <w:rFonts w:ascii="Arial" w:cs="Arial" w:eastAsia="Arial" w:hAnsi="Arial"/>
          <w:sz w:val="22"/>
          <w:szCs w:val="22"/>
          <w:color w:val="auto"/>
        </w:rPr>
        <w:t>” means, with respect to any Member, a fractional amount, expressed as a percentage: (i) the numerator of which is the aggregate number of LLC Units owned of record thereby and (ii) the denominator of which is the aggregate number of LLC Units issued and outstanding. The sum of the outstanding Percentage Interests of all Members shall at all times equal 100%.</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Transferee</w:t>
      </w:r>
      <w:r>
        <w:rPr>
          <w:rFonts w:ascii="Arial" w:cs="Arial" w:eastAsia="Arial" w:hAnsi="Arial"/>
          <w:sz w:val="22"/>
          <w:szCs w:val="22"/>
          <w:color w:val="auto"/>
        </w:rPr>
        <w:t>” means</w:t>
      </w:r>
    </w:p>
    <w:p>
      <w:pPr>
        <w:spacing w:after="0" w:line="239" w:lineRule="exact"/>
        <w:rPr>
          <w:sz w:val="20"/>
          <w:szCs w:val="20"/>
          <w:color w:val="auto"/>
        </w:rPr>
      </w:pPr>
    </w:p>
    <w:p>
      <w:pPr>
        <w:jc w:val="both"/>
        <w:ind w:left="760" w:firstLine="1494"/>
        <w:spacing w:after="0" w:line="297" w:lineRule="auto"/>
        <w:tabs>
          <w:tab w:leader="none" w:pos="2525"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with respect to a Member who is a natural person (or a trust for the benefit of a natural person), (a) such Member’s spouse, children (including legally adopted children and stepchildren), spouses of children, grandchildren (including legally adopted children or stepchildren of such Member’s children), spouses of grandchildren, parents or siblings, (b) a trust for the benefit of the Member and/or any of the Persons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(c) a corporation, limited partnership or limited liability company whose sole shareholders, partners or members, as the case may be, are the Member and/or any of the Persons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w:t>
      </w:r>
    </w:p>
    <w:p>
      <w:pPr>
        <w:spacing w:after="0" w:line="2" w:lineRule="exact"/>
        <w:rPr>
          <w:rFonts w:ascii="Arial" w:cs="Arial" w:eastAsia="Arial" w:hAnsi="Arial"/>
          <w:sz w:val="19"/>
          <w:szCs w:val="19"/>
          <w:color w:val="auto"/>
        </w:rPr>
      </w:pPr>
    </w:p>
    <w:p>
      <w:pPr>
        <w:ind w:left="760"/>
        <w:spacing w:after="0" w:line="272" w:lineRule="auto"/>
        <w:rPr>
          <w:rFonts w:ascii="Arial" w:cs="Arial" w:eastAsia="Arial" w:hAnsi="Arial"/>
          <w:sz w:val="19"/>
          <w:szCs w:val="19"/>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the Member transferring such Units retains exclusive power to exercise all rights under this Agreement and retains a proxy to vote the Units such Member has transferred;</w:t>
      </w:r>
    </w:p>
    <w:p>
      <w:pPr>
        <w:spacing w:after="0" w:line="178" w:lineRule="exact"/>
        <w:rPr>
          <w:rFonts w:ascii="Arial" w:cs="Arial" w:eastAsia="Arial" w:hAnsi="Arial"/>
          <w:sz w:val="19"/>
          <w:szCs w:val="19"/>
          <w:color w:val="auto"/>
        </w:rPr>
      </w:pPr>
    </w:p>
    <w:p>
      <w:pPr>
        <w:jc w:val="both"/>
        <w:ind w:left="760" w:firstLine="1494"/>
        <w:spacing w:after="0" w:line="284" w:lineRule="auto"/>
        <w:tabs>
          <w:tab w:leader="none" w:pos="2632" w:val="left"/>
        </w:tabs>
        <w:numPr>
          <w:ilvl w:val="0"/>
          <w:numId w:val="75"/>
        </w:numPr>
        <w:rPr>
          <w:rFonts w:ascii="Arial" w:cs="Arial" w:eastAsia="Arial" w:hAnsi="Arial"/>
          <w:sz w:val="21"/>
          <w:szCs w:val="21"/>
          <w:color w:val="auto"/>
        </w:rPr>
      </w:pPr>
      <w:r>
        <w:rPr>
          <w:rFonts w:ascii="Arial" w:cs="Arial" w:eastAsia="Arial" w:hAnsi="Arial"/>
          <w:sz w:val="21"/>
          <w:szCs w:val="21"/>
          <w:color w:val="auto"/>
        </w:rPr>
        <w:t>upon death or incapacity of a Member, such Member’s estate, executors, administrators and personal representatives, legal representatives, heirs or legatees (whether or not such recipients are a spouse, children, spouses of children, grandchildren, spouses of grandchildren, parents or siblings of such Member);</w:t>
      </w:r>
    </w:p>
    <w:p>
      <w:pPr>
        <w:spacing w:after="0" w:line="168" w:lineRule="exact"/>
        <w:rPr>
          <w:rFonts w:ascii="Arial" w:cs="Arial" w:eastAsia="Arial" w:hAnsi="Arial"/>
          <w:sz w:val="21"/>
          <w:szCs w:val="21"/>
          <w:color w:val="auto"/>
        </w:rPr>
      </w:pPr>
    </w:p>
    <w:p>
      <w:pPr>
        <w:jc w:val="both"/>
        <w:ind w:left="760" w:right="20" w:firstLine="1494"/>
        <w:spacing w:after="0" w:line="327" w:lineRule="auto"/>
        <w:tabs>
          <w:tab w:leader="none" w:pos="2654"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 respect to any Member that is an investment fund, investment account or investment entity, such Member’s (a) investment manager, investment advisor or general partner of such Member or any investment manager, investment advisor or general partner that is an Affiliate of such Member, (b) any investment fund, investment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2" w:name="page103"/>
    <w:bookmarkEnd w:id="102"/>
    <w:p>
      <w:pPr>
        <w:jc w:val="both"/>
        <w:ind w:left="760"/>
        <w:spacing w:after="0" w:line="261" w:lineRule="auto"/>
        <w:rPr>
          <w:sz w:val="20"/>
          <w:szCs w:val="20"/>
          <w:color w:val="auto"/>
        </w:rPr>
      </w:pPr>
      <w:r>
        <w:rPr>
          <w:rFonts w:ascii="Arial" w:cs="Arial" w:eastAsia="Arial" w:hAnsi="Arial"/>
          <w:sz w:val="22"/>
          <w:szCs w:val="22"/>
          <w:color w:val="auto"/>
        </w:rPr>
        <w:t xml:space="preserve">account or investment entity whose investment manager, investment adviser or general partner is such Member or an Affiliate of such Member or (c) any investment fund, investment account or investment entity whose investment manager, investment advisor or general partner is the same entity as or an Affiliate of such Member’s investment manager, investment advisor or general partner; </w:t>
      </w:r>
      <w:r>
        <w:rPr>
          <w:rFonts w:ascii="Arial" w:cs="Arial" w:eastAsia="Arial" w:hAnsi="Arial"/>
          <w:sz w:val="22"/>
          <w:szCs w:val="22"/>
          <w:u w:val="single" w:color="auto"/>
          <w:color w:val="auto"/>
        </w:rPr>
        <w:t>provided</w:t>
      </w:r>
      <w:r>
        <w:rPr>
          <w:rFonts w:ascii="Arial" w:cs="Arial" w:eastAsia="Arial" w:hAnsi="Arial"/>
          <w:sz w:val="22"/>
          <w:szCs w:val="22"/>
          <w:color w:val="auto"/>
        </w:rPr>
        <w:t>, that, in no event shall the limited partners of a Member that is a limited partnership constitute a Permitted Transferees; and</w:t>
      </w:r>
    </w:p>
    <w:p>
      <w:pPr>
        <w:spacing w:after="0" w:line="190" w:lineRule="exact"/>
        <w:rPr>
          <w:sz w:val="20"/>
          <w:szCs w:val="20"/>
          <w:color w:val="auto"/>
        </w:rPr>
      </w:pPr>
    </w:p>
    <w:p>
      <w:pPr>
        <w:ind w:left="760" w:firstLine="1494"/>
        <w:spacing w:after="0" w:line="276" w:lineRule="auto"/>
        <w:tabs>
          <w:tab w:leader="none" w:pos="2635" w:val="left"/>
        </w:tabs>
        <w:numPr>
          <w:ilvl w:val="0"/>
          <w:numId w:val="76"/>
        </w:numPr>
        <w:rPr>
          <w:rFonts w:ascii="Arial" w:cs="Arial" w:eastAsia="Arial" w:hAnsi="Arial"/>
          <w:sz w:val="22"/>
          <w:szCs w:val="22"/>
          <w:color w:val="auto"/>
        </w:rPr>
      </w:pPr>
      <w:r>
        <w:rPr>
          <w:rFonts w:ascii="Arial" w:cs="Arial" w:eastAsia="Arial" w:hAnsi="Arial"/>
          <w:sz w:val="22"/>
          <w:szCs w:val="22"/>
          <w:color w:val="auto"/>
        </w:rPr>
        <w:t>with respect to a Member that is not a natural person, a trust for the benefit of a natural person or an investment fund, investment account or investment entity, such Member’s Affiliates.</w:t>
      </w:r>
    </w:p>
    <w:p>
      <w:pPr>
        <w:spacing w:after="0" w:line="16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firm, corporation, partnership, limited liability company, trust, estate, joint venture, governmental authority or other entity.</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Pre-IPO Holders</w:t>
      </w:r>
      <w:r>
        <w:rPr>
          <w:rFonts w:ascii="Arial" w:cs="Arial" w:eastAsia="Arial" w:hAnsi="Arial"/>
          <w:sz w:val="22"/>
          <w:szCs w:val="22"/>
          <w:color w:val="auto"/>
        </w:rPr>
        <w:t>” means each Member as of the Effective Time (after taking the Reorganization into account) other than Pubco.</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an interest of any kind in any real, personal or intellectual (or mixed) property, including cash, and any improvements thereto, and shall include both tangible and intangible property.</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Pubco Common Stock</w:t>
      </w:r>
      <w:r>
        <w:rPr>
          <w:rFonts w:ascii="Arial" w:cs="Arial" w:eastAsia="Arial" w:hAnsi="Arial"/>
          <w:sz w:val="22"/>
          <w:szCs w:val="22"/>
          <w:color w:val="auto"/>
        </w:rPr>
        <w:t>” means all classes and series of common stock of Pubco, including the Class A Common Stock and Class B Common Stock.</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Pubco Member</w:t>
      </w:r>
      <w:r>
        <w:rPr>
          <w:rFonts w:ascii="Arial" w:cs="Arial" w:eastAsia="Arial" w:hAnsi="Arial"/>
          <w:sz w:val="22"/>
          <w:szCs w:val="22"/>
          <w:color w:val="auto"/>
        </w:rPr>
        <w:t>” means (i) Pubco and (ii) any Subsidiary of Pubco (other than the Company and its Subsidiaries) that is or becomes a Member.</w:t>
      </w:r>
    </w:p>
    <w:p>
      <w:pPr>
        <w:spacing w:after="0" w:line="16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Rights Agreement</w:t>
      </w:r>
      <w:r>
        <w:rPr>
          <w:rFonts w:ascii="Arial" w:cs="Arial" w:eastAsia="Arial" w:hAnsi="Arial"/>
          <w:sz w:val="22"/>
          <w:szCs w:val="22"/>
          <w:color w:val="auto"/>
        </w:rPr>
        <w:t>” means the Registration Rights Agreement, dated as of the date hereof, by and among Pubco and the Pre-IPO Holders.</w:t>
      </w:r>
    </w:p>
    <w:p>
      <w:pPr>
        <w:spacing w:after="0" w:line="162"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Relative Percentage Interest</w:t>
      </w:r>
      <w:r>
        <w:rPr>
          <w:rFonts w:ascii="Arial" w:cs="Arial" w:eastAsia="Arial" w:hAnsi="Arial"/>
          <w:sz w:val="22"/>
          <w:szCs w:val="22"/>
          <w:color w:val="auto"/>
        </w:rPr>
        <w:t>” means, with respect to any Member relative to another Member or Members, a fractional amount, expressed as a percentage, the numerator of which is the Percentage Interest of such Member; and the denominator of which is (x) the Percentage Interest of such Member plus (y) the aggregate Percentage Interest of such other Member or Members.</w:t>
      </w:r>
    </w:p>
    <w:p>
      <w:pPr>
        <w:spacing w:after="0" w:line="18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 Date Capital Account Balance</w:t>
      </w:r>
      <w:r>
        <w:rPr>
          <w:rFonts w:ascii="Arial" w:cs="Arial" w:eastAsia="Arial" w:hAnsi="Arial"/>
          <w:sz w:val="22"/>
          <w:szCs w:val="22"/>
          <w:color w:val="auto"/>
        </w:rPr>
        <w:t>” means, with respect to any Member, the positive Capital Account balance of such Member as of immediately following the Reorganization, the amount or deemed value of which is set forth on the Member Schedule.</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 Documents</w:t>
      </w:r>
      <w:r>
        <w:rPr>
          <w:rFonts w:ascii="Arial" w:cs="Arial" w:eastAsia="Arial" w:hAnsi="Arial"/>
          <w:sz w:val="22"/>
          <w:szCs w:val="22"/>
          <w:color w:val="auto"/>
        </w:rPr>
        <w:t>” means the Reorganization Agreement and the documents referenced therein, including, without limitation: this Agreement; the Tax Receivable Agreement; the Subscription Agreement; and the Registration Rights Agreement.</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Reserves</w:t>
      </w:r>
      <w:r>
        <w:rPr>
          <w:rFonts w:ascii="Arial" w:cs="Arial" w:eastAsia="Arial" w:hAnsi="Arial"/>
          <w:sz w:val="22"/>
          <w:szCs w:val="22"/>
          <w:color w:val="auto"/>
        </w:rPr>
        <w:t>” means, as of any date of determination, amounts allocated by the Managing Member, in its reasonable judgment, to reserves maintained for working capital of the Company, for contingencies of the Company, for operating expenses and debt reduction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3" w:name="page104"/>
    <w:bookmarkEnd w:id="103"/>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Subscription Agreement</w:t>
      </w:r>
      <w:r>
        <w:rPr>
          <w:rFonts w:ascii="Arial" w:cs="Arial" w:eastAsia="Arial" w:hAnsi="Arial"/>
          <w:sz w:val="22"/>
          <w:szCs w:val="22"/>
          <w:color w:val="auto"/>
        </w:rPr>
        <w:t>” means the Subscription Agreement, to be dated the date of the closing of the IPO, by and among the Company and Pubco.</w:t>
      </w:r>
    </w:p>
    <w:p>
      <w:pPr>
        <w:spacing w:after="0" w:line="16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any Person, any corporation, partnership, limited liability company, association, joint venture or other business entity of which more than 50% of the total voting power of Equity Securities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70" w:lineRule="exact"/>
        <w:rPr>
          <w:sz w:val="20"/>
          <w:szCs w:val="20"/>
          <w:color w:val="auto"/>
        </w:rPr>
      </w:pPr>
    </w:p>
    <w:p>
      <w:pPr>
        <w:jc w:val="both"/>
        <w:ind w:firstLine="749"/>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Substantial Ownership Requirement</w:t>
      </w:r>
      <w:r>
        <w:rPr>
          <w:rFonts w:ascii="Arial" w:cs="Arial" w:eastAsia="Arial" w:hAnsi="Arial"/>
          <w:sz w:val="19"/>
          <w:szCs w:val="19"/>
          <w:color w:val="auto"/>
        </w:rPr>
        <w:t>” means the beneficial ownership (as such term is defined in Rule 13d-3 and Rule 13d-5 under the Exchange Act) by the Pre-IPO Holders and any Permitted Transferees, collectively, of shares of Pubco Common Stock representing at least ten percent (10%) of the issued and outstanding shares of Pubco Common Stock.</w:t>
      </w:r>
    </w:p>
    <w:p>
      <w:pPr>
        <w:spacing w:after="0" w:line="1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Substitute Member</w:t>
      </w:r>
      <w:r>
        <w:rPr>
          <w:rFonts w:ascii="Arial" w:cs="Arial" w:eastAsia="Arial" w:hAnsi="Arial"/>
          <w:sz w:val="22"/>
          <w:szCs w:val="22"/>
          <w:color w:val="auto"/>
        </w:rPr>
        <w:t>” means any Person admitted as a Member of the Company pursuant to Section 3.02Section 3.03 in connection with the Transfer of then existing Units to such Person.</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Receivable Agreement</w:t>
      </w:r>
      <w:r>
        <w:rPr>
          <w:rFonts w:ascii="Arial" w:cs="Arial" w:eastAsia="Arial" w:hAnsi="Arial"/>
          <w:sz w:val="22"/>
          <w:szCs w:val="22"/>
          <w:color w:val="auto"/>
        </w:rPr>
        <w:t>” means the Tax Receivable Agreement, dated as of the date hereof, by and among Pubco, the Company and certain other parties thereto.</w:t>
      </w:r>
    </w:p>
    <w:p>
      <w:pPr>
        <w:spacing w:after="0" w:line="16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 day on which the principal U.S. securities exchange on which the Class A Common Stock is listed or admitted to trading is open for the transaction of business (unless such trading shall have been suspended for the entire day).</w:t>
      </w:r>
    </w:p>
    <w:p>
      <w:pPr>
        <w:spacing w:after="0" w:line="175"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means any sale, assignment, transfer, exchange, gift, bequest, pledge, hypothecation or other disposition or encumbrance, direct or indirect, in whole or in part, by operation of law or otherwise, and shall include all matters deemed to constitute a Transfer under Article 8. The terms “</w:t>
      </w:r>
      <w:r>
        <w:rPr>
          <w:rFonts w:ascii="Arial" w:cs="Arial" w:eastAsia="Arial" w:hAnsi="Arial"/>
          <w:sz w:val="19"/>
          <w:szCs w:val="19"/>
          <w:b w:val="1"/>
          <w:bCs w:val="1"/>
          <w:color w:val="auto"/>
        </w:rPr>
        <w:t>Transferred</w:t>
      </w:r>
      <w:r>
        <w:rPr>
          <w:rFonts w:ascii="Arial" w:cs="Arial" w:eastAsia="Arial" w:hAnsi="Arial"/>
          <w:sz w:val="19"/>
          <w:szCs w:val="19"/>
          <w:color w:val="auto"/>
        </w:rPr>
        <w:t>“, “</w:t>
      </w:r>
      <w:r>
        <w:rPr>
          <w:rFonts w:ascii="Arial" w:cs="Arial" w:eastAsia="Arial" w:hAnsi="Arial"/>
          <w:sz w:val="19"/>
          <w:szCs w:val="19"/>
          <w:b w:val="1"/>
          <w:bCs w:val="1"/>
          <w:color w:val="auto"/>
        </w:rPr>
        <w:t>Transferring</w:t>
      </w:r>
      <w:r>
        <w:rPr>
          <w:rFonts w:ascii="Arial" w:cs="Arial" w:eastAsia="Arial" w:hAnsi="Arial"/>
          <w:sz w:val="19"/>
          <w:szCs w:val="19"/>
          <w:color w:val="auto"/>
        </w:rPr>
        <w:t>”, “</w:t>
      </w:r>
      <w:r>
        <w:rPr>
          <w:rFonts w:ascii="Arial" w:cs="Arial" w:eastAsia="Arial" w:hAnsi="Arial"/>
          <w:sz w:val="19"/>
          <w:szCs w:val="19"/>
          <w:b w:val="1"/>
          <w:bCs w:val="1"/>
          <w:color w:val="auto"/>
        </w:rPr>
        <w:t>Transferor</w:t>
      </w:r>
      <w:r>
        <w:rPr>
          <w:rFonts w:ascii="Arial" w:cs="Arial" w:eastAsia="Arial" w:hAnsi="Arial"/>
          <w:sz w:val="19"/>
          <w:szCs w:val="19"/>
          <w:color w:val="auto"/>
        </w:rPr>
        <w:t>”, “</w:t>
      </w:r>
      <w:r>
        <w:rPr>
          <w:rFonts w:ascii="Arial" w:cs="Arial" w:eastAsia="Arial" w:hAnsi="Arial"/>
          <w:sz w:val="19"/>
          <w:szCs w:val="19"/>
          <w:b w:val="1"/>
          <w:bCs w:val="1"/>
          <w:color w:val="auto"/>
        </w:rPr>
        <w:t>Transferee</w:t>
      </w:r>
      <w:r>
        <w:rPr>
          <w:rFonts w:ascii="Arial" w:cs="Arial" w:eastAsia="Arial" w:hAnsi="Arial"/>
          <w:sz w:val="19"/>
          <w:szCs w:val="19"/>
          <w:color w:val="auto"/>
        </w:rPr>
        <w:t>” and “</w:t>
      </w:r>
      <w:r>
        <w:rPr>
          <w:rFonts w:ascii="Arial" w:cs="Arial" w:eastAsia="Arial" w:hAnsi="Arial"/>
          <w:sz w:val="19"/>
          <w:szCs w:val="19"/>
          <w:b w:val="1"/>
          <w:bCs w:val="1"/>
          <w:color w:val="auto"/>
        </w:rPr>
        <w:t>Transferable</w:t>
      </w:r>
      <w:r>
        <w:rPr>
          <w:rFonts w:ascii="Arial" w:cs="Arial" w:eastAsia="Arial" w:hAnsi="Arial"/>
          <w:sz w:val="19"/>
          <w:szCs w:val="19"/>
          <w:color w:val="auto"/>
        </w:rPr>
        <w:t>” have meanings correlative to the foregoing. Notwithstanding the foregoing, in no event shall any direct or indirect sale, assignment, transfer, exchange, gift, bequest, pledge, hypothecation or other disposition or encumbrance, whether by operation of law or otherwise, of a limited partnership interest in an investment fund or investment partnership that is a direct or indirect equityholder of a Member be considered, in and of itself, a “</w:t>
      </w:r>
      <w:r>
        <w:rPr>
          <w:rFonts w:ascii="Arial" w:cs="Arial" w:eastAsia="Arial" w:hAnsi="Arial"/>
          <w:sz w:val="19"/>
          <w:szCs w:val="19"/>
          <w:b w:val="1"/>
          <w:bCs w:val="1"/>
          <w:color w:val="auto"/>
        </w:rPr>
        <w:t>Transfer</w:t>
      </w:r>
      <w:r>
        <w:rPr>
          <w:rFonts w:ascii="Arial" w:cs="Arial" w:eastAsia="Arial" w:hAnsi="Arial"/>
          <w:sz w:val="19"/>
          <w:szCs w:val="19"/>
          <w:color w:val="auto"/>
        </w:rPr>
        <w:t>” for purposes of this Agreement.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Treasury Regulations</w:t>
      </w:r>
      <w:r>
        <w:rPr>
          <w:rFonts w:ascii="Arial" w:cs="Arial" w:eastAsia="Arial" w:hAnsi="Arial"/>
          <w:sz w:val="22"/>
          <w:szCs w:val="22"/>
          <w:color w:val="auto"/>
        </w:rPr>
        <w:t>” mean the regulations promulgated under the Code, as amended from time to time.</w:t>
      </w:r>
    </w:p>
    <w:p>
      <w:pPr>
        <w:spacing w:after="0" w:line="233"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Units</w:t>
      </w:r>
      <w:r>
        <w:rPr>
          <w:rFonts w:ascii="Arial" w:cs="Arial" w:eastAsia="Arial" w:hAnsi="Arial"/>
          <w:sz w:val="22"/>
          <w:szCs w:val="22"/>
          <w:color w:val="auto"/>
        </w:rPr>
        <w:t>” means LLC Units or any other class of limited liability interests in the Company designated by the Company after the date hereof in accordance with this Agreement; provided that any type, class or series of Units shall have the designations, preferences and/or special rights set forth or referenced in this Agreement, and the membership interests of the Company represented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by such type, class or series of Units shall be determined in accordance with such designations, preferences and/or special rights.</w:t>
      </w:r>
    </w:p>
    <w:p>
      <w:pPr>
        <w:spacing w:after="0" w:line="26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 Redemption Price</w:t>
      </w:r>
      <w:r>
        <w:rPr>
          <w:rFonts w:ascii="Arial" w:cs="Arial" w:eastAsia="Arial" w:hAnsi="Arial"/>
          <w:sz w:val="22"/>
          <w:szCs w:val="22"/>
          <w:color w:val="auto"/>
        </w:rPr>
        <w:t>” means the arithmetic average of the volume weighted average prices for a share of Class A Common Stock on the principal U.S. securities exchange or automated or electronic quotation system on which the Class A Common Stock trades, as reported by The Wall Street Journal or its successor, for each of the three (3) consecutive full Trading Days ending on and including the last full Trading Day immediately prior to the date of Redemption (or the date of the Call Notice, as applicable), subject to appropriate and equitable adjustment for any stock splits, reverse splits, stock dividends or similar events affecting the Class A Common Stock. If the Class A Common Stock no longer trades on a securities exchange or automated or electronic quotation system, then the Unit Redemption Price shall be determined in good faith by a committee of the board of directors of Pubco composed of a majority of the directors of Pubco that do not have an interest in the LLC Units being redeemed.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74"/>
        </w:trPr>
        <w:tc>
          <w:tcPr>
            <w:tcW w:w="9600" w:type="dxa"/>
            <w:vAlign w:val="bottom"/>
          </w:tcPr>
          <w:p>
            <w:pPr>
              <w:ind w:left="1480"/>
              <w:spacing w:after="0"/>
              <w:rPr>
                <w:sz w:val="20"/>
                <w:szCs w:val="20"/>
                <w:color w:val="auto"/>
              </w:rPr>
            </w:pPr>
            <w:r>
              <w:rPr>
                <w:rFonts w:ascii="Arial" w:cs="Arial" w:eastAsia="Arial" w:hAnsi="Arial"/>
                <w:sz w:val="22"/>
                <w:szCs w:val="22"/>
                <w:color w:val="auto"/>
                <w:w w:val="97"/>
              </w:rPr>
              <w:t>(a)  Each of the following terms is defined in the Section set forth opposite such term:</w:t>
            </w:r>
          </w:p>
        </w:tc>
        <w:tc>
          <w:tcPr>
            <w:tcW w:w="1600" w:type="dxa"/>
            <w:vAlign w:val="bottom"/>
          </w:tcPr>
          <w:p>
            <w:pPr>
              <w:spacing w:after="0"/>
              <w:rPr>
                <w:sz w:val="23"/>
                <w:szCs w:val="23"/>
                <w:color w:val="auto"/>
              </w:rPr>
            </w:pPr>
          </w:p>
        </w:tc>
      </w:tr>
      <w:tr>
        <w:trPr>
          <w:trHeight w:val="500"/>
        </w:trPr>
        <w:tc>
          <w:tcPr>
            <w:tcW w:w="9600" w:type="dxa"/>
            <w:vAlign w:val="bottom"/>
          </w:tcPr>
          <w:p>
            <w:pPr>
              <w:spacing w:after="0"/>
              <w:rPr>
                <w:sz w:val="20"/>
                <w:szCs w:val="20"/>
                <w:color w:val="auto"/>
              </w:rPr>
            </w:pPr>
            <w:r>
              <w:rPr>
                <w:rFonts w:ascii="Arial" w:cs="Arial" w:eastAsia="Arial" w:hAnsi="Arial"/>
                <w:sz w:val="22"/>
                <w:szCs w:val="22"/>
                <w:b w:val="1"/>
                <w:bCs w:val="1"/>
                <w:color w:val="auto"/>
              </w:rPr>
              <w:t>“Agreement”</w:t>
            </w:r>
          </w:p>
        </w:tc>
        <w:tc>
          <w:tcPr>
            <w:tcW w:w="16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“Call Member”</w:t>
            </w:r>
          </w:p>
        </w:tc>
        <w:tc>
          <w:tcPr>
            <w:tcW w:w="1600" w:type="dxa"/>
            <w:vAlign w:val="bottom"/>
          </w:tcPr>
          <w:p>
            <w:pPr>
              <w:jc w:val="right"/>
              <w:spacing w:after="0"/>
              <w:rPr>
                <w:sz w:val="20"/>
                <w:szCs w:val="20"/>
                <w:color w:val="auto"/>
              </w:rPr>
            </w:pPr>
            <w:r>
              <w:rPr>
                <w:rFonts w:ascii="Arial" w:cs="Arial" w:eastAsia="Arial" w:hAnsi="Arial"/>
                <w:sz w:val="22"/>
                <w:szCs w:val="22"/>
                <w:color w:val="auto"/>
              </w:rPr>
              <w:t>9.01</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“Call Notice”</w:t>
            </w:r>
          </w:p>
        </w:tc>
        <w:tc>
          <w:tcPr>
            <w:tcW w:w="1600" w:type="dxa"/>
            <w:vAlign w:val="bottom"/>
          </w:tcPr>
          <w:p>
            <w:pPr>
              <w:jc w:val="right"/>
              <w:spacing w:after="0"/>
              <w:rPr>
                <w:sz w:val="20"/>
                <w:szCs w:val="20"/>
                <w:color w:val="auto"/>
              </w:rPr>
            </w:pPr>
            <w:r>
              <w:rPr>
                <w:rFonts w:ascii="Arial" w:cs="Arial" w:eastAsia="Arial" w:hAnsi="Arial"/>
                <w:sz w:val="22"/>
                <w:szCs w:val="22"/>
                <w:color w:val="auto"/>
              </w:rPr>
              <w:t>9.02(a)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“Call Units”</w:t>
            </w:r>
          </w:p>
        </w:tc>
        <w:tc>
          <w:tcPr>
            <w:tcW w:w="1600" w:type="dxa"/>
            <w:vAlign w:val="bottom"/>
          </w:tcPr>
          <w:p>
            <w:pPr>
              <w:jc w:val="right"/>
              <w:spacing w:after="0"/>
              <w:rPr>
                <w:sz w:val="20"/>
                <w:szCs w:val="20"/>
                <w:color w:val="auto"/>
              </w:rPr>
            </w:pPr>
            <w:r>
              <w:rPr>
                <w:rFonts w:ascii="Arial" w:cs="Arial" w:eastAsia="Arial" w:hAnsi="Arial"/>
                <w:sz w:val="22"/>
                <w:szCs w:val="22"/>
                <w:color w:val="auto"/>
              </w:rPr>
              <w:t>9.02(a)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16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“Confidential Information”</w:t>
            </w:r>
          </w:p>
        </w:tc>
        <w:tc>
          <w:tcPr>
            <w:tcW w:w="1600" w:type="dxa"/>
            <w:vAlign w:val="bottom"/>
          </w:tcPr>
          <w:p>
            <w:pPr>
              <w:jc w:val="right"/>
              <w:spacing w:after="0"/>
              <w:rPr>
                <w:sz w:val="20"/>
                <w:szCs w:val="20"/>
                <w:color w:val="auto"/>
              </w:rPr>
            </w:pPr>
            <w:r>
              <w:rPr>
                <w:rFonts w:ascii="Arial" w:cs="Arial" w:eastAsia="Arial" w:hAnsi="Arial"/>
                <w:sz w:val="22"/>
                <w:szCs w:val="22"/>
                <w:color w:val="auto"/>
              </w:rPr>
              <w:t>13.11(b)</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“Controlled Entities”</w:t>
            </w:r>
          </w:p>
        </w:tc>
        <w:tc>
          <w:tcPr>
            <w:tcW w:w="1600" w:type="dxa"/>
            <w:vAlign w:val="bottom"/>
          </w:tcPr>
          <w:p>
            <w:pPr>
              <w:jc w:val="right"/>
              <w:spacing w:after="0"/>
              <w:rPr>
                <w:sz w:val="20"/>
                <w:szCs w:val="20"/>
                <w:color w:val="auto"/>
              </w:rPr>
            </w:pPr>
            <w:r>
              <w:rPr>
                <w:rFonts w:ascii="Arial" w:cs="Arial" w:eastAsia="Arial" w:hAnsi="Arial"/>
                <w:sz w:val="22"/>
                <w:szCs w:val="22"/>
                <w:color w:val="auto"/>
              </w:rPr>
              <w:t>11.02(e)</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“Direct Exchange”</w:t>
            </w:r>
          </w:p>
        </w:tc>
        <w:tc>
          <w:tcPr>
            <w:tcW w:w="1600" w:type="dxa"/>
            <w:vAlign w:val="bottom"/>
          </w:tcPr>
          <w:p>
            <w:pPr>
              <w:jc w:val="right"/>
              <w:spacing w:after="0"/>
              <w:rPr>
                <w:sz w:val="20"/>
                <w:szCs w:val="20"/>
                <w:color w:val="auto"/>
              </w:rPr>
            </w:pPr>
            <w:r>
              <w:rPr>
                <w:rFonts w:ascii="Arial" w:cs="Arial" w:eastAsia="Arial" w:hAnsi="Arial"/>
                <w:sz w:val="22"/>
                <w:szCs w:val="22"/>
                <w:color w:val="auto"/>
              </w:rPr>
              <w:t>10.04(a)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“Economic Pubco Security”</w:t>
            </w:r>
          </w:p>
        </w:tc>
        <w:tc>
          <w:tcPr>
            <w:tcW w:w="1600" w:type="dxa"/>
            <w:vAlign w:val="bottom"/>
          </w:tcPr>
          <w:p>
            <w:pPr>
              <w:jc w:val="right"/>
              <w:spacing w:after="0"/>
              <w:rPr>
                <w:sz w:val="20"/>
                <w:szCs w:val="20"/>
                <w:color w:val="auto"/>
              </w:rPr>
            </w:pPr>
            <w:r>
              <w:rPr>
                <w:rFonts w:ascii="Arial" w:cs="Arial" w:eastAsia="Arial" w:hAnsi="Arial"/>
                <w:sz w:val="22"/>
                <w:szCs w:val="22"/>
                <w:color w:val="auto"/>
              </w:rPr>
              <w:t>4.01(a)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“e-mail”</w:t>
            </w:r>
          </w:p>
        </w:tc>
        <w:tc>
          <w:tcPr>
            <w:tcW w:w="1600" w:type="dxa"/>
            <w:vAlign w:val="bottom"/>
          </w:tcPr>
          <w:p>
            <w:pPr>
              <w:jc w:val="right"/>
              <w:spacing w:after="0"/>
              <w:rPr>
                <w:sz w:val="20"/>
                <w:szCs w:val="20"/>
                <w:color w:val="auto"/>
              </w:rPr>
            </w:pPr>
            <w:r>
              <w:rPr>
                <w:rFonts w:ascii="Arial" w:cs="Arial" w:eastAsia="Arial" w:hAnsi="Arial"/>
                <w:sz w:val="22"/>
                <w:szCs w:val="22"/>
                <w:color w:val="auto"/>
              </w:rPr>
              <w:t>13.03</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“Exchange Election Notice”</w:t>
            </w:r>
          </w:p>
        </w:tc>
        <w:tc>
          <w:tcPr>
            <w:tcW w:w="1600" w:type="dxa"/>
            <w:vAlign w:val="bottom"/>
          </w:tcPr>
          <w:p>
            <w:pPr>
              <w:jc w:val="right"/>
              <w:spacing w:after="0"/>
              <w:rPr>
                <w:sz w:val="20"/>
                <w:szCs w:val="20"/>
                <w:color w:val="auto"/>
              </w:rPr>
            </w:pPr>
            <w:r>
              <w:rPr>
                <w:rFonts w:ascii="Arial" w:cs="Arial" w:eastAsia="Arial" w:hAnsi="Arial"/>
                <w:sz w:val="22"/>
                <w:szCs w:val="22"/>
                <w:color w:val="auto"/>
              </w:rPr>
              <w:t>10.04(b)</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600" w:type="dxa"/>
            <w:vAlign w:val="bottom"/>
          </w:tcPr>
          <w:p>
            <w:pPr>
              <w:jc w:val="right"/>
              <w:spacing w:after="0"/>
              <w:rPr>
                <w:sz w:val="20"/>
                <w:szCs w:val="20"/>
                <w:color w:val="auto"/>
              </w:rPr>
            </w:pPr>
            <w:r>
              <w:rPr>
                <w:rFonts w:ascii="Arial" w:cs="Arial" w:eastAsia="Arial" w:hAnsi="Arial"/>
                <w:sz w:val="22"/>
                <w:szCs w:val="22"/>
                <w:color w:val="auto"/>
              </w:rPr>
              <w:t>11.02(e)</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“GAAP”</w:t>
            </w:r>
          </w:p>
        </w:tc>
        <w:tc>
          <w:tcPr>
            <w:tcW w:w="1600" w:type="dxa"/>
            <w:vAlign w:val="bottom"/>
          </w:tcPr>
          <w:p>
            <w:pPr>
              <w:jc w:val="right"/>
              <w:spacing w:after="0"/>
              <w:rPr>
                <w:sz w:val="20"/>
                <w:szCs w:val="20"/>
                <w:color w:val="auto"/>
              </w:rPr>
            </w:pPr>
            <w:r>
              <w:rPr>
                <w:rFonts w:ascii="Arial" w:cs="Arial" w:eastAsia="Arial" w:hAnsi="Arial"/>
                <w:sz w:val="22"/>
                <w:szCs w:val="22"/>
                <w:color w:val="auto"/>
              </w:rPr>
              <w:t>3.04(b)</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“Indemnification Sources”</w:t>
            </w:r>
          </w:p>
        </w:tc>
        <w:tc>
          <w:tcPr>
            <w:tcW w:w="1600" w:type="dxa"/>
            <w:vAlign w:val="bottom"/>
          </w:tcPr>
          <w:p>
            <w:pPr>
              <w:jc w:val="right"/>
              <w:spacing w:after="0"/>
              <w:rPr>
                <w:sz w:val="20"/>
                <w:szCs w:val="20"/>
                <w:color w:val="auto"/>
              </w:rPr>
            </w:pPr>
            <w:r>
              <w:rPr>
                <w:rFonts w:ascii="Arial" w:cs="Arial" w:eastAsia="Arial" w:hAnsi="Arial"/>
                <w:sz w:val="22"/>
                <w:szCs w:val="22"/>
                <w:color w:val="auto"/>
              </w:rPr>
              <w:t>11.02(e)</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“Indemnitee-Related Entities”</w:t>
            </w:r>
          </w:p>
        </w:tc>
        <w:tc>
          <w:tcPr>
            <w:tcW w:w="1600" w:type="dxa"/>
            <w:vAlign w:val="bottom"/>
          </w:tcPr>
          <w:p>
            <w:pPr>
              <w:jc w:val="right"/>
              <w:spacing w:after="0"/>
              <w:rPr>
                <w:sz w:val="20"/>
                <w:szCs w:val="20"/>
                <w:color w:val="auto"/>
              </w:rPr>
            </w:pPr>
            <w:r>
              <w:rPr>
                <w:rFonts w:ascii="Arial" w:cs="Arial" w:eastAsia="Arial" w:hAnsi="Arial"/>
                <w:sz w:val="22"/>
                <w:szCs w:val="22"/>
                <w:color w:val="auto"/>
              </w:rPr>
              <w:t>11.02(e)(i)</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“Jointly Indemnifiable Claims”</w:t>
            </w:r>
          </w:p>
        </w:tc>
        <w:tc>
          <w:tcPr>
            <w:tcW w:w="1600" w:type="dxa"/>
            <w:vAlign w:val="bottom"/>
          </w:tcPr>
          <w:p>
            <w:pPr>
              <w:jc w:val="right"/>
              <w:spacing w:after="0"/>
              <w:rPr>
                <w:sz w:val="20"/>
                <w:szCs w:val="20"/>
                <w:color w:val="auto"/>
              </w:rPr>
            </w:pPr>
            <w:r>
              <w:rPr>
                <w:rFonts w:ascii="Arial" w:cs="Arial" w:eastAsia="Arial" w:hAnsi="Arial"/>
                <w:sz w:val="22"/>
                <w:szCs w:val="22"/>
                <w:color w:val="auto"/>
              </w:rPr>
              <w:t>11.02(e)(ii)</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“Management Holdings LLC”</w:t>
            </w:r>
          </w:p>
        </w:tc>
        <w:tc>
          <w:tcPr>
            <w:tcW w:w="1600" w:type="dxa"/>
            <w:vAlign w:val="bottom"/>
          </w:tcPr>
          <w:p>
            <w:pPr>
              <w:jc w:val="right"/>
              <w:spacing w:after="0"/>
              <w:rPr>
                <w:sz w:val="20"/>
                <w:szCs w:val="20"/>
                <w:color w:val="auto"/>
              </w:rPr>
            </w:pPr>
            <w:r>
              <w:rPr>
                <w:rFonts w:ascii="Arial" w:cs="Arial" w:eastAsia="Arial" w:hAnsi="Arial"/>
                <w:sz w:val="22"/>
                <w:szCs w:val="22"/>
                <w:color w:val="auto"/>
              </w:rPr>
              <w:t>Recitals</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“Member Parties”</w:t>
            </w:r>
          </w:p>
        </w:tc>
        <w:tc>
          <w:tcPr>
            <w:tcW w:w="1600" w:type="dxa"/>
            <w:vAlign w:val="bottom"/>
          </w:tcPr>
          <w:p>
            <w:pPr>
              <w:jc w:val="right"/>
              <w:spacing w:after="0"/>
              <w:rPr>
                <w:sz w:val="20"/>
                <w:szCs w:val="20"/>
                <w:color w:val="auto"/>
              </w:rPr>
            </w:pPr>
            <w:r>
              <w:rPr>
                <w:rFonts w:ascii="Arial" w:cs="Arial" w:eastAsia="Arial" w:hAnsi="Arial"/>
                <w:sz w:val="22"/>
                <w:szCs w:val="22"/>
                <w:color w:val="auto"/>
              </w:rPr>
              <w:t>13.11(a)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“Member Schedule”</w:t>
            </w:r>
          </w:p>
        </w:tc>
        <w:tc>
          <w:tcPr>
            <w:tcW w:w="1600" w:type="dxa"/>
            <w:vAlign w:val="bottom"/>
          </w:tcPr>
          <w:p>
            <w:pPr>
              <w:jc w:val="right"/>
              <w:spacing w:after="0"/>
              <w:rPr>
                <w:sz w:val="20"/>
                <w:szCs w:val="20"/>
                <w:color w:val="auto"/>
              </w:rPr>
            </w:pPr>
            <w:r>
              <w:rPr>
                <w:rFonts w:ascii="Arial" w:cs="Arial" w:eastAsia="Arial" w:hAnsi="Arial"/>
                <w:sz w:val="22"/>
                <w:szCs w:val="22"/>
                <w:color w:val="auto"/>
              </w:rPr>
              <w:t>3.01(b)</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“Officers”</w:t>
            </w:r>
          </w:p>
        </w:tc>
        <w:tc>
          <w:tcPr>
            <w:tcW w:w="1600" w:type="dxa"/>
            <w:vAlign w:val="bottom"/>
          </w:tcPr>
          <w:p>
            <w:pPr>
              <w:jc w:val="right"/>
              <w:spacing w:after="0"/>
              <w:rPr>
                <w:sz w:val="20"/>
                <w:szCs w:val="20"/>
                <w:color w:val="auto"/>
              </w:rPr>
            </w:pPr>
            <w:r>
              <w:rPr>
                <w:rFonts w:ascii="Arial" w:cs="Arial" w:eastAsia="Arial" w:hAnsi="Arial"/>
                <w:sz w:val="22"/>
                <w:szCs w:val="22"/>
                <w:color w:val="auto"/>
              </w:rPr>
              <w:t>7.05(a)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“Prior LLC Agreement”</w:t>
            </w:r>
          </w:p>
        </w:tc>
        <w:tc>
          <w:tcPr>
            <w:tcW w:w="1600" w:type="dxa"/>
            <w:vAlign w:val="bottom"/>
          </w:tcPr>
          <w:p>
            <w:pPr>
              <w:jc w:val="right"/>
              <w:spacing w:after="0"/>
              <w:rPr>
                <w:sz w:val="20"/>
                <w:szCs w:val="20"/>
                <w:color w:val="auto"/>
              </w:rPr>
            </w:pPr>
            <w:r>
              <w:rPr>
                <w:rFonts w:ascii="Arial" w:cs="Arial" w:eastAsia="Arial" w:hAnsi="Arial"/>
                <w:sz w:val="22"/>
                <w:szCs w:val="22"/>
                <w:color w:val="auto"/>
              </w:rPr>
              <w:t>Recitals</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“Pubco”</w:t>
            </w:r>
          </w:p>
        </w:tc>
        <w:tc>
          <w:tcPr>
            <w:tcW w:w="16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“Pubco Offer”</w:t>
            </w:r>
          </w:p>
        </w:tc>
        <w:tc>
          <w:tcPr>
            <w:tcW w:w="1600" w:type="dxa"/>
            <w:vAlign w:val="bottom"/>
          </w:tcPr>
          <w:p>
            <w:pPr>
              <w:jc w:val="right"/>
              <w:spacing w:after="0"/>
              <w:rPr>
                <w:sz w:val="20"/>
                <w:szCs w:val="20"/>
                <w:color w:val="auto"/>
              </w:rPr>
            </w:pPr>
            <w:r>
              <w:rPr>
                <w:rFonts w:ascii="Arial" w:cs="Arial" w:eastAsia="Arial" w:hAnsi="Arial"/>
                <w:sz w:val="22"/>
                <w:szCs w:val="22"/>
                <w:color w:val="auto"/>
              </w:rPr>
              <w:t>10.04(a)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“Redeemed Units”</w:t>
            </w:r>
          </w:p>
        </w:tc>
        <w:tc>
          <w:tcPr>
            <w:tcW w:w="1600" w:type="dxa"/>
            <w:vAlign w:val="bottom"/>
          </w:tcPr>
          <w:p>
            <w:pPr>
              <w:jc w:val="right"/>
              <w:spacing w:after="0"/>
              <w:rPr>
                <w:sz w:val="20"/>
                <w:szCs w:val="20"/>
                <w:color w:val="auto"/>
              </w:rPr>
            </w:pPr>
            <w:r>
              <w:rPr>
                <w:rFonts w:ascii="Arial" w:cs="Arial" w:eastAsia="Arial" w:hAnsi="Arial"/>
                <w:sz w:val="22"/>
                <w:szCs w:val="22"/>
                <w:color w:val="auto"/>
              </w:rPr>
              <w:t>10.01(a)</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“Redeeming Member”</w:t>
            </w:r>
          </w:p>
        </w:tc>
        <w:tc>
          <w:tcPr>
            <w:tcW w:w="1600" w:type="dxa"/>
            <w:vAlign w:val="bottom"/>
          </w:tcPr>
          <w:p>
            <w:pPr>
              <w:jc w:val="right"/>
              <w:spacing w:after="0"/>
              <w:rPr>
                <w:sz w:val="20"/>
                <w:szCs w:val="20"/>
                <w:color w:val="auto"/>
              </w:rPr>
            </w:pPr>
            <w:r>
              <w:rPr>
                <w:rFonts w:ascii="Arial" w:cs="Arial" w:eastAsia="Arial" w:hAnsi="Arial"/>
                <w:sz w:val="22"/>
                <w:szCs w:val="22"/>
                <w:color w:val="auto"/>
              </w:rPr>
              <w:t>10.01(a)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“Redemption”</w:t>
            </w:r>
          </w:p>
        </w:tc>
        <w:tc>
          <w:tcPr>
            <w:tcW w:w="1600" w:type="dxa"/>
            <w:vAlign w:val="bottom"/>
          </w:tcPr>
          <w:p>
            <w:pPr>
              <w:jc w:val="right"/>
              <w:spacing w:after="0"/>
              <w:rPr>
                <w:sz w:val="20"/>
                <w:szCs w:val="20"/>
                <w:color w:val="auto"/>
              </w:rPr>
            </w:pPr>
            <w:r>
              <w:rPr>
                <w:rFonts w:ascii="Arial" w:cs="Arial" w:eastAsia="Arial" w:hAnsi="Arial"/>
                <w:sz w:val="22"/>
                <w:szCs w:val="22"/>
                <w:color w:val="auto"/>
              </w:rPr>
              <w:t>10.01(a)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“Redemption Date”</w:t>
            </w:r>
          </w:p>
        </w:tc>
        <w:tc>
          <w:tcPr>
            <w:tcW w:w="1600" w:type="dxa"/>
            <w:vAlign w:val="bottom"/>
          </w:tcPr>
          <w:p>
            <w:pPr>
              <w:jc w:val="right"/>
              <w:spacing w:after="0"/>
              <w:rPr>
                <w:sz w:val="20"/>
                <w:szCs w:val="20"/>
                <w:color w:val="auto"/>
              </w:rPr>
            </w:pPr>
            <w:r>
              <w:rPr>
                <w:rFonts w:ascii="Arial" w:cs="Arial" w:eastAsia="Arial" w:hAnsi="Arial"/>
                <w:sz w:val="22"/>
                <w:szCs w:val="22"/>
                <w:color w:val="auto"/>
              </w:rPr>
              <w:t>10.01(a)</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“Redemption Notice”</w:t>
            </w:r>
          </w:p>
        </w:tc>
        <w:tc>
          <w:tcPr>
            <w:tcW w:w="1600" w:type="dxa"/>
            <w:vAlign w:val="bottom"/>
          </w:tcPr>
          <w:p>
            <w:pPr>
              <w:jc w:val="right"/>
              <w:spacing w:after="0"/>
              <w:rPr>
                <w:sz w:val="20"/>
                <w:szCs w:val="20"/>
                <w:color w:val="auto"/>
              </w:rPr>
            </w:pPr>
            <w:r>
              <w:rPr>
                <w:rFonts w:ascii="Arial" w:cs="Arial" w:eastAsia="Arial" w:hAnsi="Arial"/>
                <w:sz w:val="22"/>
                <w:szCs w:val="22"/>
                <w:color w:val="auto"/>
              </w:rPr>
              <w:t>10.01(a)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“Redemption Right”</w:t>
            </w:r>
          </w:p>
        </w:tc>
        <w:tc>
          <w:tcPr>
            <w:tcW w:w="1600" w:type="dxa"/>
            <w:vAlign w:val="bottom"/>
          </w:tcPr>
          <w:p>
            <w:pPr>
              <w:jc w:val="right"/>
              <w:spacing w:after="0"/>
              <w:rPr>
                <w:sz w:val="20"/>
                <w:szCs w:val="20"/>
                <w:color w:val="auto"/>
              </w:rPr>
            </w:pPr>
            <w:r>
              <w:rPr>
                <w:rFonts w:ascii="Arial" w:cs="Arial" w:eastAsia="Arial" w:hAnsi="Arial"/>
                <w:sz w:val="22"/>
                <w:szCs w:val="22"/>
                <w:color w:val="auto"/>
              </w:rPr>
              <w:t>10.01(a)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“Regulatory Allocations”</w:t>
            </w:r>
          </w:p>
        </w:tc>
        <w:tc>
          <w:tcPr>
            <w:tcW w:w="1600" w:type="dxa"/>
            <w:vAlign w:val="bottom"/>
          </w:tcPr>
          <w:p>
            <w:pPr>
              <w:jc w:val="right"/>
              <w:spacing w:after="0"/>
              <w:rPr>
                <w:sz w:val="20"/>
                <w:szCs w:val="20"/>
                <w:color w:val="auto"/>
              </w:rPr>
            </w:pPr>
            <w:r>
              <w:rPr>
                <w:rFonts w:ascii="Arial" w:cs="Arial" w:eastAsia="Arial" w:hAnsi="Arial"/>
                <w:sz w:val="22"/>
                <w:szCs w:val="22"/>
                <w:color w:val="auto"/>
              </w:rPr>
              <w:t>5.04(c)</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“Reorganization”</w:t>
            </w:r>
          </w:p>
        </w:tc>
        <w:tc>
          <w:tcPr>
            <w:tcW w:w="1600" w:type="dxa"/>
            <w:vAlign w:val="bottom"/>
          </w:tcPr>
          <w:p>
            <w:pPr>
              <w:jc w:val="right"/>
              <w:spacing w:after="0"/>
              <w:rPr>
                <w:sz w:val="20"/>
                <w:szCs w:val="20"/>
                <w:color w:val="auto"/>
              </w:rPr>
            </w:pPr>
            <w:r>
              <w:rPr>
                <w:rFonts w:ascii="Arial" w:cs="Arial" w:eastAsia="Arial" w:hAnsi="Arial"/>
                <w:sz w:val="22"/>
                <w:szCs w:val="22"/>
                <w:color w:val="auto"/>
              </w:rPr>
              <w:t>Recitals</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“Reorganization Agreement”</w:t>
            </w:r>
          </w:p>
        </w:tc>
        <w:tc>
          <w:tcPr>
            <w:tcW w:w="1600" w:type="dxa"/>
            <w:vAlign w:val="bottom"/>
          </w:tcPr>
          <w:p>
            <w:pPr>
              <w:jc w:val="right"/>
              <w:spacing w:after="0"/>
              <w:rPr>
                <w:sz w:val="20"/>
                <w:szCs w:val="20"/>
                <w:color w:val="auto"/>
              </w:rPr>
            </w:pPr>
            <w:r>
              <w:rPr>
                <w:rFonts w:ascii="Arial" w:cs="Arial" w:eastAsia="Arial" w:hAnsi="Arial"/>
                <w:sz w:val="22"/>
                <w:szCs w:val="22"/>
                <w:color w:val="auto"/>
              </w:rPr>
              <w:t>Recitals</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“Revaluation”</w:t>
            </w:r>
          </w:p>
        </w:tc>
        <w:tc>
          <w:tcPr>
            <w:tcW w:w="1600" w:type="dxa"/>
            <w:vAlign w:val="bottom"/>
          </w:tcPr>
          <w:p>
            <w:pPr>
              <w:jc w:val="right"/>
              <w:spacing w:after="0"/>
              <w:rPr>
                <w:sz w:val="20"/>
                <w:szCs w:val="20"/>
                <w:color w:val="auto"/>
              </w:rPr>
            </w:pPr>
            <w:r>
              <w:rPr>
                <w:rFonts w:ascii="Arial" w:cs="Arial" w:eastAsia="Arial" w:hAnsi="Arial"/>
                <w:sz w:val="22"/>
                <w:szCs w:val="22"/>
                <w:color w:val="auto"/>
              </w:rPr>
              <w:t>5.02(c)</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“Share Settlement”</w:t>
            </w:r>
          </w:p>
        </w:tc>
        <w:tc>
          <w:tcPr>
            <w:tcW w:w="1600" w:type="dxa"/>
            <w:vAlign w:val="bottom"/>
          </w:tcPr>
          <w:p>
            <w:pPr>
              <w:jc w:val="right"/>
              <w:spacing w:after="0"/>
              <w:rPr>
                <w:sz w:val="20"/>
                <w:szCs w:val="20"/>
                <w:color w:val="auto"/>
              </w:rPr>
            </w:pPr>
            <w:r>
              <w:rPr>
                <w:rFonts w:ascii="Arial" w:cs="Arial" w:eastAsia="Arial" w:hAnsi="Arial"/>
                <w:sz w:val="22"/>
                <w:szCs w:val="22"/>
                <w:color w:val="auto"/>
              </w:rPr>
              <w:t>10.01(b)</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“Tax Distribution”</w:t>
            </w:r>
          </w:p>
        </w:tc>
        <w:tc>
          <w:tcPr>
            <w:tcW w:w="1600" w:type="dxa"/>
            <w:vAlign w:val="bottom"/>
          </w:tcPr>
          <w:p>
            <w:pPr>
              <w:jc w:val="right"/>
              <w:spacing w:after="0"/>
              <w:rPr>
                <w:sz w:val="20"/>
                <w:szCs w:val="20"/>
                <w:color w:val="auto"/>
              </w:rPr>
            </w:pPr>
            <w:r>
              <w:rPr>
                <w:rFonts w:ascii="Arial" w:cs="Arial" w:eastAsia="Arial" w:hAnsi="Arial"/>
                <w:sz w:val="22"/>
                <w:szCs w:val="22"/>
                <w:color w:val="auto"/>
              </w:rPr>
              <w:t>5.03(e)</w:t>
            </w:r>
          </w:p>
        </w:tc>
      </w:tr>
      <w:tr>
        <w:trPr>
          <w:trHeight w:val="284"/>
        </w:trPr>
        <w:tc>
          <w:tcPr>
            <w:tcW w:w="9600" w:type="dxa"/>
            <w:vAlign w:val="bottom"/>
          </w:tcPr>
          <w:p>
            <w:pPr>
              <w:spacing w:after="0"/>
              <w:rPr>
                <w:sz w:val="20"/>
                <w:szCs w:val="20"/>
                <w:color w:val="auto"/>
              </w:rPr>
            </w:pPr>
            <w:r>
              <w:rPr>
                <w:rFonts w:ascii="Arial" w:cs="Arial" w:eastAsia="Arial" w:hAnsi="Arial"/>
                <w:sz w:val="22"/>
                <w:szCs w:val="22"/>
                <w:b w:val="1"/>
                <w:bCs w:val="1"/>
                <w:color w:val="auto"/>
              </w:rPr>
              <w:t>“Tax Matters Representative”</w:t>
            </w:r>
          </w:p>
        </w:tc>
        <w:tc>
          <w:tcPr>
            <w:tcW w:w="1600" w:type="dxa"/>
            <w:vAlign w:val="bottom"/>
          </w:tcPr>
          <w:p>
            <w:pPr>
              <w:jc w:val="right"/>
              <w:spacing w:after="0"/>
              <w:rPr>
                <w:sz w:val="20"/>
                <w:szCs w:val="20"/>
                <w:color w:val="auto"/>
              </w:rPr>
            </w:pPr>
            <w:r>
              <w:rPr>
                <w:rFonts w:ascii="Arial" w:cs="Arial" w:eastAsia="Arial" w:hAnsi="Arial"/>
                <w:sz w:val="22"/>
                <w:szCs w:val="22"/>
                <w:color w:val="auto"/>
              </w:rPr>
              <w:t>6.01(a)</w:t>
            </w:r>
          </w:p>
        </w:tc>
      </w:tr>
      <w:tr>
        <w:trPr>
          <w:trHeight w:val="283"/>
        </w:trPr>
        <w:tc>
          <w:tcPr>
            <w:tcW w:w="9600" w:type="dxa"/>
            <w:vAlign w:val="bottom"/>
          </w:tcPr>
          <w:p>
            <w:pPr>
              <w:spacing w:after="0"/>
              <w:rPr>
                <w:sz w:val="20"/>
                <w:szCs w:val="20"/>
                <w:color w:val="auto"/>
              </w:rPr>
            </w:pPr>
            <w:r>
              <w:rPr>
                <w:rFonts w:ascii="Arial" w:cs="Arial" w:eastAsia="Arial" w:hAnsi="Arial"/>
                <w:sz w:val="22"/>
                <w:szCs w:val="22"/>
                <w:b w:val="1"/>
                <w:bCs w:val="1"/>
                <w:color w:val="auto"/>
              </w:rPr>
              <w:t>“Transferor Member”</w:t>
            </w:r>
          </w:p>
        </w:tc>
        <w:tc>
          <w:tcPr>
            <w:tcW w:w="1600" w:type="dxa"/>
            <w:vAlign w:val="bottom"/>
          </w:tcPr>
          <w:p>
            <w:pPr>
              <w:jc w:val="right"/>
              <w:spacing w:after="0"/>
              <w:rPr>
                <w:sz w:val="20"/>
                <w:szCs w:val="20"/>
                <w:color w:val="auto"/>
              </w:rPr>
            </w:pPr>
            <w:r>
              <w:rPr>
                <w:rFonts w:ascii="Arial" w:cs="Arial" w:eastAsia="Arial" w:hAnsi="Arial"/>
                <w:sz w:val="22"/>
                <w:szCs w:val="22"/>
                <w:color w:val="auto"/>
              </w:rPr>
              <w:t>5.02(b)</w:t>
            </w:r>
          </w:p>
        </w:tc>
      </w:tr>
    </w:tbl>
    <w:p>
      <w:pPr>
        <w:spacing w:after="0" w:line="279" w:lineRule="exact"/>
        <w:rPr>
          <w:sz w:val="20"/>
          <w:szCs w:val="20"/>
          <w:color w:val="auto"/>
        </w:rPr>
      </w:pPr>
    </w:p>
    <w:p>
      <w:pPr>
        <w:jc w:val="both"/>
        <w:ind w:firstLine="843"/>
        <w:spacing w:after="0" w:line="32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6" w:name="page107"/>
    <w:bookmarkEnd w:id="106"/>
    <w:p>
      <w:pPr>
        <w:jc w:val="both"/>
        <w:spacing w:after="0" w:line="303" w:lineRule="auto"/>
        <w:rPr>
          <w:sz w:val="20"/>
          <w:szCs w:val="20"/>
          <w:color w:val="auto"/>
        </w:rPr>
      </w:pPr>
      <w:r>
        <w:rPr>
          <w:rFonts w:ascii="Arial" w:cs="Arial" w:eastAsia="Arial" w:hAnsi="Arial"/>
          <w:sz w:val="19"/>
          <w:szCs w:val="19"/>
          <w:color w:val="auto"/>
        </w:rPr>
        <w:t>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w:t>
      </w:r>
    </w:p>
    <w:p>
      <w:pPr>
        <w:spacing w:after="0" w:line="158"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9"/>
          <w:szCs w:val="19"/>
          <w:color w:val="auto"/>
        </w:rPr>
        <w:t>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As used in this Agreement, all references to “majority in interest” and phrases of similar import shall be deemed to refer to such percentage or fraction of interest based on the Relative Percentage Interests of the Members subject to such determination. Unless otherwise expressly provided herein, when any approval, consent or other matter requires any action or approval of any group of Members, including any holders of any class of Units, such approval, consent or other matter shall require the approval of a majority in interest of such group of Members. Except to the extent otherwise expressly provided herein, all references to any Member shall be deemed to refer solely to such Person in its capacity as such Member and not in any other capacity.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39" w:lineRule="exact"/>
        <w:rPr>
          <w:sz w:val="20"/>
          <w:szCs w:val="20"/>
          <w:color w:val="auto"/>
        </w:rPr>
      </w:pPr>
    </w:p>
    <w:p>
      <w:pPr>
        <w:jc w:val="both"/>
        <w:ind w:firstLine="843"/>
        <w:spacing w:after="0" w:line="305"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Formation</w:t>
      </w:r>
      <w:r>
        <w:rPr>
          <w:rFonts w:ascii="Arial" w:cs="Arial" w:eastAsia="Arial" w:hAnsi="Arial"/>
          <w:sz w:val="19"/>
          <w:szCs w:val="19"/>
          <w:color w:val="auto"/>
        </w:rPr>
        <w:t>. The Company was formed upon the filing of the certificate of formation of the Company with the Secretary of State of the State of Delaware on May 31, 2019. The authorized officer or representative, as an “authorized person” within the meaning of the Delaware Act, shall file and record any amendments and/or restatements to the certificate of formation of the Company and such other certificates and documents (and any amendments or restatements thereof) as may be required under the laws of the State of Delaware and of any other jurisdiction in which the Company may conduct business. The authorized officer or representative shall, on request, provide any Member with copies of each such document as filed and recorded. The Members hereby agree that the Company and its Subsidiaries shall be governed by the terms and conditions of this Agreement and, except as provided herein, the Delaware Act.</w:t>
      </w:r>
    </w:p>
    <w:p>
      <w:pPr>
        <w:spacing w:after="0" w:line="155" w:lineRule="exact"/>
        <w:rPr>
          <w:sz w:val="20"/>
          <w:szCs w:val="20"/>
          <w:color w:val="auto"/>
        </w:rPr>
      </w:pPr>
    </w:p>
    <w:p>
      <w:pPr>
        <w:jc w:val="both"/>
        <w:ind w:firstLine="843"/>
        <w:spacing w:after="0" w:line="327"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i w:val="1"/>
          <w:iCs w:val="1"/>
          <w:color w:val="auto"/>
        </w:rPr>
        <w:t>Name</w:t>
      </w:r>
      <w:r>
        <w:rPr>
          <w:rFonts w:ascii="Arial" w:cs="Arial" w:eastAsia="Arial" w:hAnsi="Arial"/>
          <w:sz w:val="19"/>
          <w:szCs w:val="19"/>
          <w:color w:val="auto"/>
        </w:rPr>
        <w:t>. The name of the Company shall be AIDH Topco, LLC; provided that the Managing Member may change the name of the Company to such other name as the Managing Member shall determine, and shall have the authority to execute, acknowledge, deliver, file and record such further certificates, amendments, instruments and documents, and to do all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7" w:name="page108"/>
    <w:bookmarkEnd w:id="107"/>
    <w:p>
      <w:pPr>
        <w:jc w:val="both"/>
        <w:spacing w:after="0" w:line="276" w:lineRule="auto"/>
        <w:rPr>
          <w:sz w:val="20"/>
          <w:szCs w:val="20"/>
          <w:color w:val="auto"/>
        </w:rPr>
      </w:pPr>
      <w:r>
        <w:rPr>
          <w:rFonts w:ascii="Arial" w:cs="Arial" w:eastAsia="Arial" w:hAnsi="Arial"/>
          <w:sz w:val="22"/>
          <w:szCs w:val="22"/>
          <w:color w:val="auto"/>
        </w:rPr>
        <w:t>such other acts and things, as may be required by Applicable Law or as, in the reasonable judgment of the Managing Member, may be necessary or advisable to effect such change.</w:t>
      </w:r>
    </w:p>
    <w:p>
      <w:pPr>
        <w:spacing w:after="0" w:line="174" w:lineRule="exact"/>
        <w:rPr>
          <w:sz w:val="20"/>
          <w:szCs w:val="20"/>
          <w:color w:val="auto"/>
        </w:rPr>
      </w:pPr>
    </w:p>
    <w:p>
      <w:pPr>
        <w:jc w:val="both"/>
        <w:ind w:right="20" w:firstLine="843"/>
        <w:spacing w:after="0" w:line="276"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Term</w:t>
      </w:r>
      <w:r>
        <w:rPr>
          <w:rFonts w:ascii="Arial" w:cs="Arial" w:eastAsia="Arial" w:hAnsi="Arial"/>
          <w:sz w:val="22"/>
          <w:szCs w:val="22"/>
          <w:color w:val="auto"/>
        </w:rPr>
        <w:t>. The Company shall have perpetual existence unless sooner dissolved and its affairs wound up as provided in Article 12.</w:t>
      </w:r>
    </w:p>
    <w:p>
      <w:pPr>
        <w:spacing w:after="0" w:line="174" w:lineRule="exact"/>
        <w:rPr>
          <w:sz w:val="20"/>
          <w:szCs w:val="20"/>
          <w:color w:val="auto"/>
        </w:rPr>
      </w:pPr>
    </w:p>
    <w:p>
      <w:pPr>
        <w:jc w:val="both"/>
        <w:ind w:firstLine="843"/>
        <w:spacing w:after="0" w:line="274"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i w:val="1"/>
          <w:iCs w:val="1"/>
          <w:color w:val="auto"/>
        </w:rPr>
        <w:t>Registered Agent and Registered Office</w:t>
      </w:r>
      <w:r>
        <w:rPr>
          <w:rFonts w:ascii="Arial" w:cs="Arial" w:eastAsia="Arial" w:hAnsi="Arial"/>
          <w:sz w:val="21"/>
          <w:szCs w:val="21"/>
          <w:color w:val="auto"/>
        </w:rPr>
        <w:t>. The registered office required to be maintained by the Company in the State of Delaware pursuant to the Delaware Act is c/o the Corporation Trust Company, 1209 Orange Street, Wilmington, Delaware 19801, County of New Castle. The name and address of the registered agent of the Company pursuant to the Delaware Act are the Corporation Trust Company, 1209 Orange Street, Wilmington, Delaware 19801, County of New Castle. The Company may, upon compliance with the applicable provisions of the Act, change its registered office or registered agent from time to time in the discretion of the Managing Member.</w:t>
      </w:r>
    </w:p>
    <w:p>
      <w:pPr>
        <w:spacing w:after="0" w:line="182"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Purpose</w:t>
      </w:r>
      <w:r>
        <w:rPr>
          <w:rFonts w:ascii="Arial" w:cs="Arial" w:eastAsia="Arial" w:hAnsi="Arial"/>
          <w:sz w:val="22"/>
          <w:szCs w:val="22"/>
          <w:color w:val="auto"/>
        </w:rPr>
        <w:t>. Subject to the limitations contained elsewhere in this Agreement, the Company is formed for the object and purpose of, and the nature of the business to be conducted and promoted by the Company is, engaging in any lawful act or activity for which limited liability companies may be formed under the Delaware Act and engaging in any and all activities necessary, advisable, convenient or incidental thereto.</w:t>
      </w:r>
    </w:p>
    <w:p>
      <w:pPr>
        <w:spacing w:after="0" w:line="191" w:lineRule="exact"/>
        <w:rPr>
          <w:sz w:val="20"/>
          <w:szCs w:val="20"/>
          <w:color w:val="auto"/>
        </w:rPr>
      </w:pPr>
    </w:p>
    <w:p>
      <w:pPr>
        <w:jc w:val="both"/>
        <w:ind w:firstLine="843"/>
        <w:spacing w:after="0" w:line="276"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Powers of the Company</w:t>
      </w:r>
      <w:r>
        <w:rPr>
          <w:rFonts w:ascii="Arial" w:cs="Arial" w:eastAsia="Arial" w:hAnsi="Arial"/>
          <w:sz w:val="22"/>
          <w:szCs w:val="22"/>
          <w:color w:val="auto"/>
        </w:rPr>
        <w:t>. The Company shall have the power and authority to take any and all actions necessary, appropriate or advisable to or for the furtherance of the purposes set forth in Section 2.05.</w:t>
      </w:r>
    </w:p>
    <w:p>
      <w:pPr>
        <w:spacing w:after="0" w:line="174"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Partnership Tax Status</w:t>
      </w:r>
      <w:r>
        <w:rPr>
          <w:rFonts w:ascii="Arial" w:cs="Arial" w:eastAsia="Arial" w:hAnsi="Arial"/>
          <w:sz w:val="22"/>
          <w:szCs w:val="22"/>
          <w:color w:val="auto"/>
        </w:rPr>
        <w:t>. The Members intend that the Company shall be treated as a partnership for federal, state and local income tax purposes to the extent such treatment is available, and agree to take such actions as may be necessary to receive and maintain such treatment and refrain from taking any positions or making any elections inconsistent therewith.</w:t>
      </w:r>
    </w:p>
    <w:p>
      <w:pPr>
        <w:spacing w:after="0" w:line="191" w:lineRule="exact"/>
        <w:rPr>
          <w:sz w:val="20"/>
          <w:szCs w:val="20"/>
          <w:color w:val="auto"/>
        </w:rPr>
      </w:pPr>
    </w:p>
    <w:p>
      <w:pPr>
        <w:jc w:val="both"/>
        <w:ind w:firstLine="843"/>
        <w:spacing w:after="0" w:line="358"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Regulation of Internal Affairs</w:t>
      </w:r>
      <w:r>
        <w:rPr>
          <w:rFonts w:ascii="Arial" w:cs="Arial" w:eastAsia="Arial" w:hAnsi="Arial"/>
          <w:sz w:val="19"/>
          <w:szCs w:val="19"/>
          <w:color w:val="auto"/>
        </w:rPr>
        <w:t>. The internal affairs of the Company and the conduct of its business shall be regulated by this Agreement, and to the extent not provided for herein, shall be determined by the Managing Member.</w:t>
      </w:r>
    </w:p>
    <w:p>
      <w:pPr>
        <w:spacing w:after="0" w:line="104" w:lineRule="exact"/>
        <w:rPr>
          <w:sz w:val="20"/>
          <w:szCs w:val="20"/>
          <w:color w:val="auto"/>
        </w:rPr>
      </w:pPr>
    </w:p>
    <w:p>
      <w:pPr>
        <w:jc w:val="both"/>
        <w:ind w:firstLine="843"/>
        <w:spacing w:after="0" w:line="284"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i w:val="1"/>
          <w:iCs w:val="1"/>
          <w:color w:val="auto"/>
        </w:rPr>
        <w:t>Ownership of Property</w:t>
      </w:r>
      <w:r>
        <w:rPr>
          <w:rFonts w:ascii="Arial" w:cs="Arial" w:eastAsia="Arial" w:hAnsi="Arial"/>
          <w:sz w:val="21"/>
          <w:szCs w:val="21"/>
          <w:color w:val="auto"/>
        </w:rPr>
        <w:t>. Legal title to all Property, conveyed to, or held by the Company or its Subsidiaries shall reside in the Company or its Subsidiaries and shall be conveyed only in the name of the Company or its Subsidiaries and no Member or any other Person, individually, shall have any ownership of such Property.</w:t>
      </w:r>
    </w:p>
    <w:p>
      <w:pPr>
        <w:spacing w:after="0" w:line="169" w:lineRule="exact"/>
        <w:rPr>
          <w:sz w:val="20"/>
          <w:szCs w:val="20"/>
          <w:color w:val="auto"/>
        </w:rPr>
      </w:pPr>
    </w:p>
    <w:p>
      <w:pPr>
        <w:jc w:val="both"/>
        <w:ind w:right="20" w:firstLine="843"/>
        <w:spacing w:after="0" w:line="276"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Subsidiaries</w:t>
      </w:r>
      <w:r>
        <w:rPr>
          <w:rFonts w:ascii="Arial" w:cs="Arial" w:eastAsia="Arial" w:hAnsi="Arial"/>
          <w:sz w:val="22"/>
          <w:szCs w:val="22"/>
          <w:color w:val="auto"/>
        </w:rPr>
        <w:t>. The Company shall cause the business and affairs of each of the Subsidiaries to be managed by the Managing Member in accordance with and in a manner consistent with this Agreement.</w:t>
      </w:r>
    </w:p>
    <w:p>
      <w:pPr>
        <w:spacing w:after="0" w:line="174" w:lineRule="exact"/>
        <w:rPr>
          <w:sz w:val="20"/>
          <w:szCs w:val="20"/>
          <w:color w:val="auto"/>
        </w:rPr>
      </w:pPr>
    </w:p>
    <w:p>
      <w:pPr>
        <w:jc w:val="both"/>
        <w:ind w:firstLine="843"/>
        <w:spacing w:after="0" w:line="317"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Qualification in Other Jurisdictions</w:t>
      </w:r>
      <w:r>
        <w:rPr>
          <w:rFonts w:ascii="Arial" w:cs="Arial" w:eastAsia="Arial" w:hAnsi="Arial"/>
          <w:sz w:val="19"/>
          <w:szCs w:val="19"/>
          <w:color w:val="auto"/>
        </w:rPr>
        <w:t>. The Managing Member shall execute, deliver and file certificates (and any amendments and/or restatements thereof) necessary for the Company to qualify to do business in the jurisdictions in which the Company may wish to conduct business. In those jurisdictions in which the Company may wish to conduct business in which qualification or registration under assumed or fictitious names is required or desirable,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Managing Member shall cause the Company to be so qualified or registered in compliance with Applicable Law.</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7"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UNITS; MEMBERS; BOOKS AND RECORDS; REPORTS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Units; Admission of Members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61" w:lineRule="auto"/>
        <w:tabs>
          <w:tab w:leader="none" w:pos="1929"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Member’s interest in the Company, including such Member’s interest, if any, in the capital, income, gain, loss, deduction and expense of the Company and the right to vote, if any, on certain Company matters as provided in this Agreement, shall be represented by Units. The ownership by a Member of Units shall entitle such Member to allocations of profits and losses and other items and distributions of cash and other property as is set forth in Article 5. Units shall be issued in non-certificated form.</w:t>
      </w:r>
    </w:p>
    <w:p>
      <w:pPr>
        <w:spacing w:after="0" w:line="190" w:lineRule="exact"/>
        <w:rPr>
          <w:rFonts w:ascii="Arial" w:cs="Arial" w:eastAsia="Arial" w:hAnsi="Arial"/>
          <w:sz w:val="22"/>
          <w:szCs w:val="22"/>
          <w:color w:val="auto"/>
        </w:rPr>
      </w:pPr>
    </w:p>
    <w:p>
      <w:pPr>
        <w:jc w:val="both"/>
        <w:ind w:firstLine="1505"/>
        <w:spacing w:after="0" w:line="261" w:lineRule="auto"/>
        <w:tabs>
          <w:tab w:leader="none" w:pos="1929" w:val="left"/>
        </w:tabs>
        <w:numPr>
          <w:ilvl w:val="0"/>
          <w:numId w:val="77"/>
        </w:numPr>
        <w:rPr>
          <w:rFonts w:ascii="Arial" w:cs="Arial" w:eastAsia="Arial" w:hAnsi="Arial"/>
          <w:sz w:val="22"/>
          <w:szCs w:val="22"/>
          <w:color w:val="auto"/>
        </w:rPr>
      </w:pPr>
      <w:r>
        <w:rPr>
          <w:rFonts w:ascii="Arial" w:cs="Arial" w:eastAsia="Arial" w:hAnsi="Arial"/>
          <w:sz w:val="22"/>
          <w:szCs w:val="22"/>
          <w:color w:val="auto"/>
        </w:rPr>
        <w:t>Effective as of the execution of this Agreement, each Member hereby exchanges the Original Units held by such Member immediately prior to the execution of this Agreement for the number of LLC Units set forth opposite the name of such Member on Schedule A (the “</w:t>
      </w:r>
      <w:r>
        <w:rPr>
          <w:rFonts w:ascii="Arial" w:cs="Arial" w:eastAsia="Arial" w:hAnsi="Arial"/>
          <w:sz w:val="22"/>
          <w:szCs w:val="22"/>
          <w:b w:val="1"/>
          <w:bCs w:val="1"/>
          <w:color w:val="auto"/>
        </w:rPr>
        <w:t>Member Schedule</w:t>
      </w:r>
      <w:r>
        <w:rPr>
          <w:rFonts w:ascii="Arial" w:cs="Arial" w:eastAsia="Arial" w:hAnsi="Arial"/>
          <w:sz w:val="22"/>
          <w:szCs w:val="22"/>
          <w:color w:val="auto"/>
        </w:rPr>
        <w:t>”) in the column titled “LLC Units”. As a result of such exchange, the Original Units held by each Member immediately prior to the execution of this Agreement are hereby cancelled and extinguished without any further action by any Person.</w:t>
      </w:r>
    </w:p>
    <w:p>
      <w:pPr>
        <w:spacing w:after="0" w:line="190" w:lineRule="exact"/>
        <w:rPr>
          <w:rFonts w:ascii="Arial" w:cs="Arial" w:eastAsia="Arial" w:hAnsi="Arial"/>
          <w:sz w:val="22"/>
          <w:szCs w:val="22"/>
          <w:color w:val="auto"/>
        </w:rPr>
      </w:pPr>
    </w:p>
    <w:p>
      <w:pPr>
        <w:jc w:val="both"/>
        <w:ind w:firstLine="1505"/>
        <w:spacing w:after="0" w:line="302" w:lineRule="auto"/>
        <w:tabs>
          <w:tab w:leader="none" w:pos="1929"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Member Schedule shall be maintained by the Managing Member on behalf of the Company in accordance with this Agreement. Notwithstanding anything to the contrary contained herein or in the Delaware Act, neither the Managing Member nor the Company shall be required to disclose an unredacted Member Schedule to any Non-Pubco Member, or any other information showing the identity of the other Non-Pubco Members or the number of LLC Units or shares of Class B Common Stock owned by another Non-Pubco Member. For each Non-Pubco Member, the Company shall provide such Member, upon request, a redacted copy of the Member Schedule revealing only such Member’s LLC Units, the total issued and outstanding LLC Units, and such Member’s Percentage Interest. When any Units or other Equity Securities of the Company are issued, repurchased, redeemed, converted or Transferred in accordance with this Agreement, the Member Schedule shall be amended by the Managing Member to reflect such issuance, repurchase, redemption or Transfer, the admission of additional or substitute Members and the resulting Percentage Interest of each Member. Following the date hereof, no Person shall be admitted as a Member and no additional Units shall be issued except as expressly provided herein.</w:t>
      </w:r>
    </w:p>
    <w:p>
      <w:pPr>
        <w:spacing w:after="0" w:line="161" w:lineRule="exact"/>
        <w:rPr>
          <w:rFonts w:ascii="Arial" w:cs="Arial" w:eastAsia="Arial" w:hAnsi="Arial"/>
          <w:sz w:val="19"/>
          <w:szCs w:val="19"/>
          <w:color w:val="auto"/>
        </w:rPr>
      </w:pPr>
    </w:p>
    <w:p>
      <w:pPr>
        <w:jc w:val="both"/>
        <w:ind w:firstLine="1505"/>
        <w:spacing w:after="0" w:line="273" w:lineRule="auto"/>
        <w:tabs>
          <w:tab w:leader="none" w:pos="1929"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Managing Member may cause the Company to authorize and issue from time to time such other Units or other Equity Securities of any type, class or series and having the designations, preferences and/or special rights as may be determined by the Managing Member. Such Units or other Equity Securities may be issued pursuant to such agreements as the Managing Member shall approve, including with respect to Persons employed by or otherwise performing services for the Company or any of its Subsidiaries, other equity compensation agreements, options or warrants. When any such other Units or other Equity Securities are authorized and issued, the Member Schedule and this Agreement shall be amended by the Managing Member to reflect such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9" w:name="page110"/>
    <w:bookmarkEnd w:id="109"/>
    <w:p>
      <w:pPr>
        <w:spacing w:after="0" w:line="276" w:lineRule="auto"/>
        <w:rPr>
          <w:sz w:val="20"/>
          <w:szCs w:val="20"/>
          <w:color w:val="auto"/>
        </w:rPr>
      </w:pPr>
      <w:r>
        <w:rPr>
          <w:rFonts w:ascii="Arial" w:cs="Arial" w:eastAsia="Arial" w:hAnsi="Arial"/>
          <w:sz w:val="22"/>
          <w:szCs w:val="22"/>
          <w:color w:val="auto"/>
        </w:rPr>
        <w:t>additional issuances and resulting dilution, which shall be borne by all Members in proportion to their respective Percentage Interests.</w:t>
      </w:r>
    </w:p>
    <w:p>
      <w:pPr>
        <w:spacing w:after="0" w:line="174" w:lineRule="exact"/>
        <w:rPr>
          <w:sz w:val="20"/>
          <w:szCs w:val="20"/>
          <w:color w:val="auto"/>
        </w:rPr>
      </w:pPr>
    </w:p>
    <w:p>
      <w:pPr>
        <w:jc w:val="both"/>
        <w:ind w:firstLine="1505"/>
        <w:spacing w:after="0" w:line="259" w:lineRule="auto"/>
        <w:tabs>
          <w:tab w:leader="none" w:pos="1929"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In addition to amendments permitted by </w:t>
      </w:r>
      <w:r>
        <w:rPr>
          <w:rFonts w:ascii="Arial" w:cs="Arial" w:eastAsia="Arial" w:hAnsi="Arial"/>
          <w:sz w:val="22"/>
          <w:szCs w:val="22"/>
          <w:u w:val="single" w:color="auto"/>
          <w:color w:val="auto"/>
        </w:rPr>
        <w:t>Section 3.01(d)</w:t>
      </w:r>
      <w:r>
        <w:rPr>
          <w:rFonts w:ascii="Arial" w:cs="Arial" w:eastAsia="Arial" w:hAnsi="Arial"/>
          <w:sz w:val="22"/>
          <w:szCs w:val="22"/>
          <w:color w:val="auto"/>
        </w:rPr>
        <w:t xml:space="preserve">, the Managing Member, in its sole discretion and without the approval at the time of any other Member or other Person bound by this Agreement and notwithstanding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13.10</w:t>
      </w:r>
      <w:r>
        <w:rPr>
          <w:rFonts w:ascii="Arial" w:cs="Arial" w:eastAsia="Arial" w:hAnsi="Arial"/>
          <w:sz w:val="22"/>
          <w:szCs w:val="22"/>
          <w:color w:val="auto"/>
        </w:rPr>
        <w:t>, may amend any provision of this Agreement, and execute, swear to, acknowledge, deliver, file and record whatever documents may be required in connection therewith, as the Managing Member determines in its sole discretion to be necessary, desirable or advisable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Management Holdings LLC; Repurchase; Forfeiture.</w:t>
      </w:r>
    </w:p>
    <w:p>
      <w:pPr>
        <w:spacing w:after="0" w:line="233" w:lineRule="exact"/>
        <w:rPr>
          <w:sz w:val="20"/>
          <w:szCs w:val="20"/>
          <w:color w:val="auto"/>
        </w:rPr>
      </w:pPr>
    </w:p>
    <w:p>
      <w:pPr>
        <w:ind w:firstLine="1505"/>
        <w:spacing w:after="0" w:line="276" w:lineRule="auto"/>
        <w:tabs>
          <w:tab w:leader="none" w:pos="1929" w:val="left"/>
        </w:tabs>
        <w:numPr>
          <w:ilvl w:val="0"/>
          <w:numId w:val="79"/>
        </w:numPr>
        <w:rPr>
          <w:rFonts w:ascii="Arial" w:cs="Arial" w:eastAsia="Arial" w:hAnsi="Arial"/>
          <w:sz w:val="22"/>
          <w:szCs w:val="22"/>
          <w:color w:val="auto"/>
        </w:rPr>
      </w:pPr>
      <w:r>
        <w:rPr>
          <w:rFonts w:ascii="Arial" w:cs="Arial" w:eastAsia="Arial" w:hAnsi="Arial"/>
          <w:sz w:val="22"/>
          <w:szCs w:val="22"/>
          <w:color w:val="auto"/>
        </w:rPr>
        <w:t>Management Holdings LLC was established as a special purpose investment vehicle through which certain equityholders of Management Holdings LLC indirectly hold interests in the Company.</w:t>
      </w:r>
    </w:p>
    <w:p>
      <w:pPr>
        <w:spacing w:after="0" w:line="174" w:lineRule="exact"/>
        <w:rPr>
          <w:rFonts w:ascii="Arial" w:cs="Arial" w:eastAsia="Arial" w:hAnsi="Arial"/>
          <w:sz w:val="22"/>
          <w:szCs w:val="22"/>
          <w:color w:val="auto"/>
        </w:rPr>
      </w:pPr>
    </w:p>
    <w:p>
      <w:pPr>
        <w:jc w:val="both"/>
        <w:ind w:firstLine="1505"/>
        <w:spacing w:after="0" w:line="260" w:lineRule="auto"/>
        <w:tabs>
          <w:tab w:leader="none" w:pos="1929"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the event that the Corresponding Management Holdings Units are to be exchanged by the applicable holder thereof pursuant to Section 9.01 of the Management Holdings LLC Agreement, a Management Unit Agreement or such other similar agreement or arrangement, Management Holdings LLC shall redeem such holder by distributing the Corresponding Company Units to such holder followed by the Company redeeming such Corresponding Company Units held by such holder. Any Corresponding Company Units repurchased by the Company pursuant to this Section 3.02(b) shall be immediately cancelled.</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Substitute Members and Additional Members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1" w:lineRule="auto"/>
        <w:tabs>
          <w:tab w:leader="none" w:pos="1929" w:val="left"/>
        </w:tabs>
        <w:numPr>
          <w:ilvl w:val="0"/>
          <w:numId w:val="80"/>
        </w:numPr>
        <w:rPr>
          <w:rFonts w:ascii="Arial" w:cs="Arial" w:eastAsia="Arial" w:hAnsi="Arial"/>
          <w:sz w:val="19"/>
          <w:szCs w:val="19"/>
          <w:color w:val="auto"/>
        </w:rPr>
      </w:pPr>
      <w:r>
        <w:rPr>
          <w:rFonts w:ascii="Arial" w:cs="Arial" w:eastAsia="Arial" w:hAnsi="Arial"/>
          <w:sz w:val="19"/>
          <w:szCs w:val="19"/>
          <w:color w:val="auto"/>
        </w:rPr>
        <w:t>No Transferee of any Units or Person to whom any Units are issued pursuant to this Agreement shall be admitted as a Member hereunder or acquire any rights hereunder, including any voting rights or the right to receive distributions and allocations in respect of the Transferred or issued Units, as applicable, unless (i) such Units are Transferred or issued in compliance with the provisions of this Agreement (including Article 8), (ii) such Transferee or recipient shall have executed and delivered to the Company such instruments as the Managing Member deems necessary or desirable, in its reasonable discretion, to effectuate the admission of such Transferee or recipient as a Member and to confirm the agreement of such Transferee or recipient to be bound by all the terms and provisions of this Agreement, (iii) the Managing Member shall have received the opinion of counsel, if any, required by Section 3.02(b)Section 3.03(b) in connection with such Transfer and (iv) all necessary instruments reflecting such Transfer and/or admission shall have been filed in each jurisdiction in which such filling is necessary in order to qualify the company to conduct business or to preserve the limited liability of the Members. Upon complying with the immediately preceding sentence, without the need for any further action of any Person, a Transferee or recipient shall be deemed admitted to the Company as a Member. A Substitute Member shall enjoy the same rights, and be subject to the same obligations, as the Transferor; provided that such Transferor shall not be relieved of any obligation or liability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22"/>
          <w:szCs w:val="22"/>
          <w:color w:val="auto"/>
        </w:rPr>
        <w:t>hereunder arising prior to the consummation of such Transfer but shall be relieved of all future obligations with respect to the Units so Transferred. As promptly as practicable after the admission of any Person as a Member, the books and records of the Company shall be changed to reflect such admission of a Substitute Member or Additional Member. In the event of any admission of a Substitute Member or Additional Member pursuant to this Section 3.03, this Agreement shall be deemed amended to reflect such admission, and any formal amendment of this Agreement (including the Member Schedule) in connection therewith shall only require execution by the Company and such Substitute Member or Additional Member, as applicable, to be effective.</w:t>
      </w:r>
    </w:p>
    <w:p>
      <w:pPr>
        <w:spacing w:after="0" w:line="195" w:lineRule="exact"/>
        <w:rPr>
          <w:sz w:val="20"/>
          <w:szCs w:val="20"/>
          <w:color w:val="auto"/>
        </w:rPr>
      </w:pPr>
    </w:p>
    <w:p>
      <w:pPr>
        <w:jc w:val="both"/>
        <w:ind w:firstLine="1505"/>
        <w:spacing w:after="0" w:line="272" w:lineRule="auto"/>
        <w:tabs>
          <w:tab w:leader="none" w:pos="1929" w:val="left"/>
        </w:tabs>
        <w:numPr>
          <w:ilvl w:val="0"/>
          <w:numId w:val="81"/>
        </w:numPr>
        <w:rPr>
          <w:rFonts w:ascii="Arial" w:cs="Arial" w:eastAsia="Arial" w:hAnsi="Arial"/>
          <w:sz w:val="21"/>
          <w:szCs w:val="21"/>
          <w:color w:val="auto"/>
        </w:rPr>
      </w:pPr>
      <w:r>
        <w:rPr>
          <w:rFonts w:ascii="Arial" w:cs="Arial" w:eastAsia="Arial" w:hAnsi="Arial"/>
          <w:sz w:val="21"/>
          <w:szCs w:val="21"/>
          <w:color w:val="auto"/>
        </w:rPr>
        <w:t>As a further condition to any Transfer of all or any part of a Member’s Units, the Managing Member may, in its discretion, require a written opinion of counsel to the transferring Member reasonably satisfactory to the Managing Member, obtained at the sole expense of the transferring Member, reasonably satisfactory in form and substance to the Managing Member, as to such matters as are customary and appropriate in transactions of this type, including, without limitation (or, in the case of any Transfer made to a Permitted Transferee, limited to an opinion) to the effect that such Transfer will not result in a violation of the registration or other requirements of the Securities Act or any other federal or state securities laws. No such opinion, however, shall be required in connection with a Transfer made pursuant to Article 10 of this Agreement or in connection with a Transfer by any Member that is an investment fund, investment account or investment entity or any of their or their Affiliates’ respective Affiliated Funds.</w:t>
      </w:r>
    </w:p>
    <w:p>
      <w:pPr>
        <w:spacing w:after="0" w:line="182" w:lineRule="exact"/>
        <w:rPr>
          <w:rFonts w:ascii="Arial" w:cs="Arial" w:eastAsia="Arial" w:hAnsi="Arial"/>
          <w:sz w:val="21"/>
          <w:szCs w:val="21"/>
          <w:color w:val="auto"/>
        </w:rPr>
      </w:pPr>
    </w:p>
    <w:p>
      <w:pPr>
        <w:ind w:right="20" w:firstLine="1505"/>
        <w:spacing w:after="0" w:line="276" w:lineRule="auto"/>
        <w:tabs>
          <w:tab w:leader="none" w:pos="1929"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a Member shall Transfer all (but not less than all) of its Units, the Member shall thereupon cease to be a Member of the Company.</w:t>
      </w:r>
    </w:p>
    <w:p>
      <w:pPr>
        <w:spacing w:after="0" w:line="174" w:lineRule="exact"/>
        <w:rPr>
          <w:rFonts w:ascii="Arial" w:cs="Arial" w:eastAsia="Arial" w:hAnsi="Arial"/>
          <w:sz w:val="22"/>
          <w:szCs w:val="22"/>
          <w:color w:val="auto"/>
        </w:rPr>
      </w:pPr>
    </w:p>
    <w:p>
      <w:pPr>
        <w:jc w:val="both"/>
        <w:ind w:firstLine="1505"/>
        <w:spacing w:after="0" w:line="259" w:lineRule="auto"/>
        <w:tabs>
          <w:tab w:leader="none" w:pos="1929"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reasonable costs and expenses incurred by the Managing Member and the Company in connection with any Transfer of a Member’s Units, including any filing and recording costs and the reasonable fees and disbursements of counsel for the Company, shall be paid by the transferring Member. In addition, the transferring Member hereby indemnifies the Managing Member and the Company against any losses, claims, damages or liabilities to which the Managing Member, the Company, or any of their Affiliates may become subject arising out of or based upon any false representation or warranty made by, or breach or failure to comply with any covenant or agreement of, such transferring Member or such transferee in connection with such Transfer.</w:t>
      </w:r>
    </w:p>
    <w:p>
      <w:pPr>
        <w:spacing w:after="0" w:line="195" w:lineRule="exact"/>
        <w:rPr>
          <w:rFonts w:ascii="Arial" w:cs="Arial" w:eastAsia="Arial" w:hAnsi="Arial"/>
          <w:sz w:val="22"/>
          <w:szCs w:val="22"/>
          <w:color w:val="auto"/>
        </w:rPr>
      </w:pPr>
    </w:p>
    <w:p>
      <w:pPr>
        <w:jc w:val="both"/>
        <w:ind w:right="20" w:firstLine="1505"/>
        <w:spacing w:after="0" w:line="266" w:lineRule="auto"/>
        <w:tabs>
          <w:tab w:leader="none" w:pos="1929"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connection with any Transfer of any portion of a Member’s Units pursuant to Article 10 of this Agreement, the Managing Member shall cause the Company to take any action as may be required under Article 10 of this Agreement or requested by any party thereto to effect such Transfer promptly.</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Tax and Accounting Information</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62" w:lineRule="auto"/>
        <w:tabs>
          <w:tab w:leader="none" w:pos="1929" w:val="left"/>
        </w:tabs>
        <w:numPr>
          <w:ilvl w:val="0"/>
          <w:numId w:val="82"/>
        </w:numPr>
        <w:rPr>
          <w:rFonts w:ascii="Arial" w:cs="Arial" w:eastAsia="Arial" w:hAnsi="Arial"/>
          <w:sz w:val="22"/>
          <w:szCs w:val="22"/>
          <w:color w:val="auto"/>
        </w:rPr>
      </w:pPr>
      <w:r>
        <w:rPr>
          <w:rFonts w:ascii="Arial" w:cs="Arial" w:eastAsia="Arial" w:hAnsi="Arial"/>
          <w:sz w:val="22"/>
          <w:szCs w:val="22"/>
          <w:color w:val="auto"/>
        </w:rPr>
        <w:t>Accounting Decisions and Reliance on Others. All decisions as to accounting matters, except as otherwise specifically set forth herein, shall be made by the Managing Member in accordance with Applicable Law and with accounting methods followed for federal income tax purposes. In making such decisions, the Managing Member may rely upon the advice of the independent accountants of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1" w:name="page112"/>
    <w:bookmarkEnd w:id="111"/>
    <w:p>
      <w:pPr>
        <w:jc w:val="both"/>
        <w:ind w:firstLine="1505"/>
        <w:spacing w:after="0" w:line="262" w:lineRule="auto"/>
        <w:tabs>
          <w:tab w:leader="none" w:pos="1956"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Records and Accounting Maintained</w:t>
      </w:r>
      <w:r>
        <w:rPr>
          <w:rFonts w:ascii="Arial" w:cs="Arial" w:eastAsia="Arial" w:hAnsi="Arial"/>
          <w:sz w:val="22"/>
          <w:szCs w:val="22"/>
          <w:color w:val="auto"/>
        </w:rPr>
        <w:t>. The books and records of the Company shall be kept,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position and the results of its operations recorded, in all material respects in accordance with United States generally accepted accounting principles as in effect from time to time (“</w:t>
      </w:r>
      <w:r>
        <w:rPr>
          <w:rFonts w:ascii="Arial" w:cs="Arial" w:eastAsia="Arial" w:hAnsi="Arial"/>
          <w:sz w:val="22"/>
          <w:szCs w:val="22"/>
          <w:b w:val="1"/>
          <w:bCs w:val="1"/>
          <w:color w:val="auto"/>
        </w:rPr>
        <w:t>GAAP</w:t>
      </w:r>
      <w:r>
        <w:rPr>
          <w:rFonts w:ascii="Arial" w:cs="Arial" w:eastAsia="Arial" w:hAnsi="Arial"/>
          <w:sz w:val="22"/>
          <w:szCs w:val="22"/>
          <w:color w:val="auto"/>
        </w:rPr>
        <w:t>”). The Fiscal Year of the Company shall be used for financial reporting and for federal income tax purposes.</w:t>
      </w:r>
    </w:p>
    <w:p>
      <w:pPr>
        <w:spacing w:after="0" w:line="191" w:lineRule="exact"/>
        <w:rPr>
          <w:rFonts w:ascii="Arial" w:cs="Arial" w:eastAsia="Arial" w:hAnsi="Arial"/>
          <w:sz w:val="22"/>
          <w:szCs w:val="22"/>
          <w:color w:val="auto"/>
        </w:rPr>
      </w:pPr>
    </w:p>
    <w:p>
      <w:pPr>
        <w:ind w:left="1940" w:hanging="435"/>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Financial Reports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760" w:firstLine="1494"/>
        <w:spacing w:after="0" w:line="266" w:lineRule="auto"/>
        <w:tabs>
          <w:tab w:leader="none" w:pos="2538"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books and records of the Company shall be audited as of the end of each Fiscal Year by the same accounting firm that audits the books and records of Pubco (or, if such firm declines to perform such audit, by an accounting firm selected by the Managing Member).</w:t>
      </w:r>
    </w:p>
    <w:p>
      <w:pPr>
        <w:spacing w:after="0" w:line="184" w:lineRule="exact"/>
        <w:rPr>
          <w:rFonts w:ascii="Arial" w:cs="Arial" w:eastAsia="Arial" w:hAnsi="Arial"/>
          <w:sz w:val="22"/>
          <w:szCs w:val="22"/>
          <w:color w:val="auto"/>
        </w:rPr>
      </w:pPr>
    </w:p>
    <w:p>
      <w:pPr>
        <w:jc w:val="both"/>
        <w:ind w:left="760" w:firstLine="1494"/>
        <w:spacing w:after="0" w:line="266" w:lineRule="auto"/>
        <w:tabs>
          <w:tab w:leader="none" w:pos="2592"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the event neither Pubco nor the Company is required to file an annual report on Form 10-K or quarterly report on Form 10-Q, the Company shall deliver, or cause to be delivered, the following to Pubco and each of the Non-Pubco Members:</w:t>
      </w:r>
    </w:p>
    <w:p>
      <w:pPr>
        <w:spacing w:after="0" w:line="184" w:lineRule="exact"/>
        <w:rPr>
          <w:rFonts w:ascii="Arial" w:cs="Arial" w:eastAsia="Arial" w:hAnsi="Arial"/>
          <w:sz w:val="22"/>
          <w:szCs w:val="22"/>
          <w:color w:val="auto"/>
        </w:rPr>
      </w:pPr>
    </w:p>
    <w:p>
      <w:pPr>
        <w:jc w:val="both"/>
        <w:ind w:left="1500" w:firstLine="1503"/>
        <w:spacing w:after="0" w:line="279" w:lineRule="auto"/>
        <w:tabs>
          <w:tab w:leader="none" w:pos="3430" w:val="left"/>
        </w:tabs>
        <w:numPr>
          <w:ilvl w:val="2"/>
          <w:numId w:val="83"/>
        </w:numPr>
        <w:rPr>
          <w:rFonts w:ascii="Arial" w:cs="Arial" w:eastAsia="Arial" w:hAnsi="Arial"/>
          <w:sz w:val="21"/>
          <w:szCs w:val="21"/>
          <w:color w:val="auto"/>
        </w:rPr>
      </w:pPr>
      <w:r>
        <w:rPr>
          <w:rFonts w:ascii="Arial" w:cs="Arial" w:eastAsia="Arial" w:hAnsi="Arial"/>
          <w:sz w:val="21"/>
          <w:szCs w:val="21"/>
          <w:color w:val="auto"/>
        </w:rPr>
        <w:t>not later than ninety (90) days after the end of each Fiscal Year of the Company, a copy of the audited consolidated balance sheet of the Company and its Subsidiaries as of the end of such Fiscal Year and the related statements of operations and cash flows for such Fiscal Year, setting forth in each case in comparative form the figures for the previous year, all in reasonable detail; and</w:t>
      </w:r>
    </w:p>
    <w:p>
      <w:pPr>
        <w:spacing w:after="0" w:line="173" w:lineRule="exact"/>
        <w:rPr>
          <w:rFonts w:ascii="Arial" w:cs="Arial" w:eastAsia="Arial" w:hAnsi="Arial"/>
          <w:sz w:val="21"/>
          <w:szCs w:val="21"/>
          <w:color w:val="auto"/>
        </w:rPr>
      </w:pPr>
    </w:p>
    <w:p>
      <w:pPr>
        <w:jc w:val="both"/>
        <w:ind w:left="1500" w:firstLine="1503"/>
        <w:spacing w:after="0" w:line="261" w:lineRule="auto"/>
        <w:tabs>
          <w:tab w:leader="none" w:pos="3430" w:val="left"/>
        </w:tabs>
        <w:numPr>
          <w:ilvl w:val="2"/>
          <w:numId w:val="83"/>
        </w:numPr>
        <w:rPr>
          <w:rFonts w:ascii="Arial" w:cs="Arial" w:eastAsia="Arial" w:hAnsi="Arial"/>
          <w:sz w:val="22"/>
          <w:szCs w:val="22"/>
          <w:color w:val="auto"/>
        </w:rPr>
      </w:pPr>
      <w:r>
        <w:rPr>
          <w:rFonts w:ascii="Arial" w:cs="Arial" w:eastAsia="Arial" w:hAnsi="Arial"/>
          <w:sz w:val="22"/>
          <w:szCs w:val="22"/>
          <w:color w:val="auto"/>
        </w:rPr>
        <w:t>not later than forty five (45) days or such later time as permitted under applicable securities law after the end of each of the first three fiscal quarters of each Fiscal Year, the unaudited consolidated balance sheet of the Company and its Subsidiaries, and the related statements of operations and cash flows for such quarter and for the period commencing on the first day of the Fiscal Year and ending on the last day of such quarter.</w:t>
      </w:r>
    </w:p>
    <w:p>
      <w:pPr>
        <w:spacing w:after="0" w:line="190" w:lineRule="exact"/>
        <w:rPr>
          <w:rFonts w:ascii="Arial" w:cs="Arial" w:eastAsia="Arial" w:hAnsi="Arial"/>
          <w:sz w:val="22"/>
          <w:szCs w:val="22"/>
          <w:color w:val="auto"/>
        </w:rPr>
      </w:pPr>
    </w:p>
    <w:p>
      <w:pPr>
        <w:ind w:left="1940" w:hanging="435"/>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Tax Returns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760" w:firstLine="1494"/>
        <w:spacing w:after="0" w:line="311" w:lineRule="auto"/>
        <w:tabs>
          <w:tab w:leader="none" w:pos="2538"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Company shall timely prepare or cause to be prepared by an accounting firm selected by the Managing Member all federal, state, local and foreign tax returns (including information returns) of the Company and its Subsidiaries, which may be required by a jurisdiction in which the Company and its Subsidiaries operate or conduct business for each year or period for which such returns are required to be filed and shall cause such returns to be timely filed. Upon request of any Member, the Company shall furnish to such Member a copy of each such tax return; and</w:t>
      </w:r>
    </w:p>
    <w:p>
      <w:pPr>
        <w:spacing w:after="0" w:line="150" w:lineRule="exact"/>
        <w:rPr>
          <w:rFonts w:ascii="Arial" w:cs="Arial" w:eastAsia="Arial" w:hAnsi="Arial"/>
          <w:sz w:val="19"/>
          <w:szCs w:val="19"/>
          <w:color w:val="auto"/>
        </w:rPr>
      </w:pPr>
    </w:p>
    <w:p>
      <w:pPr>
        <w:jc w:val="both"/>
        <w:ind w:left="760" w:firstLine="1494"/>
        <w:spacing w:after="0" w:line="308" w:lineRule="auto"/>
        <w:tabs>
          <w:tab w:leader="none" w:pos="2576"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Company shall furnish to each Member (a) as soon as reasonably practical after the end of each Fiscal Year and in any event by August 1, all information concerning the Company and its Subsidiaries required for the preparation of tax returns of such Members (or any beneficial owner(s) of such Member), including a report (including Schedule K-1), indicating each Member’s share of the Company’s taxable income, gain, credits, losses and deductions for such year, in sufficient detail to enable such Member to prepare its federal, state and other tax returns; provided that estimates of such information believed by the Managing Member in good faith to be reasonable shall be provided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2" w:name="page113"/>
    <w:bookmarkEnd w:id="112"/>
    <w:p>
      <w:pPr>
        <w:jc w:val="both"/>
        <w:ind w:left="760"/>
        <w:spacing w:after="0" w:line="262" w:lineRule="auto"/>
        <w:rPr>
          <w:sz w:val="20"/>
          <w:szCs w:val="20"/>
          <w:color w:val="auto"/>
        </w:rPr>
      </w:pPr>
      <w:r>
        <w:rPr>
          <w:rFonts w:ascii="Arial" w:cs="Arial" w:eastAsia="Arial" w:hAnsi="Arial"/>
          <w:sz w:val="22"/>
          <w:szCs w:val="22"/>
          <w:color w:val="auto"/>
        </w:rPr>
        <w:t>March 15, and (b) from time to time as reasonably requested by such Member, such other information concerning the Company and its Subsidiaries that is reasonably requested by such Member for compliance with its tax obligations (or the tax obligations of any beneficial owner(s) of such Member) including for purposes of making quarterly estimated tax payments.</w:t>
      </w:r>
    </w:p>
    <w:p>
      <w:pPr>
        <w:spacing w:after="0" w:line="191" w:lineRule="exact"/>
        <w:rPr>
          <w:sz w:val="20"/>
          <w:szCs w:val="20"/>
          <w:color w:val="auto"/>
        </w:rPr>
      </w:pPr>
    </w:p>
    <w:p>
      <w:pPr>
        <w:jc w:val="both"/>
        <w:ind w:firstLine="1505"/>
        <w:spacing w:after="0" w:line="260" w:lineRule="auto"/>
        <w:tabs>
          <w:tab w:leader="none" w:pos="1956"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Inconsistent Positions</w:t>
      </w:r>
      <w:r>
        <w:rPr>
          <w:rFonts w:ascii="Arial" w:cs="Arial" w:eastAsia="Arial" w:hAnsi="Arial"/>
          <w:sz w:val="22"/>
          <w:szCs w:val="22"/>
          <w:color w:val="auto"/>
        </w:rPr>
        <w:t>. Each Member agrees not to, except as otherwise required by applicable law or</w:t>
      </w:r>
      <w:r>
        <w:rPr>
          <w:rFonts w:ascii="Arial" w:cs="Arial" w:eastAsia="Arial" w:hAnsi="Arial"/>
          <w:sz w:val="22"/>
          <w:szCs w:val="22"/>
          <w:i w:val="1"/>
          <w:iCs w:val="1"/>
          <w:color w:val="auto"/>
        </w:rPr>
        <w:t xml:space="preserve"> </w:t>
      </w:r>
      <w:r>
        <w:rPr>
          <w:rFonts w:ascii="Arial" w:cs="Arial" w:eastAsia="Arial" w:hAnsi="Arial"/>
          <w:sz w:val="22"/>
          <w:szCs w:val="22"/>
          <w:color w:val="auto"/>
        </w:rPr>
        <w:t>regulatory requirements, (i) treat, on such Member’s individual income tax returns, any item of income, gain, loss, deduction or credit relating to such Member’s interest in the Company in a manner inconsistent with the treatment of such item by the Company as reflected on the Form K-1 or other information statement furnished by the Company to such Member for use in preparing such Member’s income tax returns or (ii) file any claim for refund relating to any such item based on, or which would result in, such inconsistent treatment.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7"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PUBCO OWNERSHIP; RESTRICTIONS ON PUBCO STOCK</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Pubco Ownership</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0" w:lineRule="auto"/>
        <w:tabs>
          <w:tab w:leader="none" w:pos="1929"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Pubco, if at any time Pubco issues a share of Class A Common Stock or any other Equity Security of Pubco entitled to any economic rights (including in the IPO) (an “ </w:t>
      </w:r>
      <w:r>
        <w:rPr>
          <w:rFonts w:ascii="Arial" w:cs="Arial" w:eastAsia="Arial" w:hAnsi="Arial"/>
          <w:sz w:val="19"/>
          <w:szCs w:val="19"/>
          <w:b w:val="1"/>
          <w:bCs w:val="1"/>
          <w:color w:val="auto"/>
        </w:rPr>
        <w:t>Economic Pubco Security</w:t>
      </w:r>
      <w:r>
        <w:rPr>
          <w:rFonts w:ascii="Arial" w:cs="Arial" w:eastAsia="Arial" w:hAnsi="Arial"/>
          <w:sz w:val="19"/>
          <w:szCs w:val="19"/>
          <w:color w:val="auto"/>
        </w:rPr>
        <w:t>”) with regard thereto (other than Class B Common Stock, or other Equity Security of Pubco not entitled to any economic rights with respect thereto), (i) the Company shall issue to Pubco one LLC Unit (if Pubco issues a share of Class A Common Stock) or such other Equity Security of the Company (if Pubco issues an Economic Pubco Security other than Class A Common Stock) corresponding to the Economic Pubco Security, and with substantially the same rights to dividends and distributions (including distributions upon liquidation) and other economic rights as those of such Economic Pubco Security and (ii) the net proceeds received by Pubco with respect to the corresponding Economic Pubco Security, if any, shall be concurrently contributed to the Company; provided, however, that if Pubco issues any Economic Pubco Securities, some or all of the net proceeds of which are to be used to fund expenses or other obligations of Pubco for which Pubco would be entitled to a distribution from the Company pursuant to Section 5.03(c) or reimbursement by the Company pursuant to Section 13.01, then Pubco shall not be required to transfer such net proceeds to the Company which are used or will be used to fund such expenses or obligations and provided, further, that if Pubco issues any shares of Class A Common Stock (including in the IPO) in order to purchase or fund the purchase from a Non-Pubco Member of a number of LLC Units (and shares of Class B Common Stock) or to purchase or fund the purchase of shares of Class A Common Stock, in each case equal to the number of shares of Class A Common Stock issued, then the Company shall not issue any new LLC Units in connection therewith and Pubco shall not be required to transfer such net proceeds to the Company (it being understood that such net proceeds shall instead be transferred to such Non-Pubco Member or transferor of Class A Common Stock, as applicable, as consideration for such purchase).</w:t>
      </w:r>
    </w:p>
    <w:p>
      <w:pPr>
        <w:spacing w:after="0" w:line="160" w:lineRule="exact"/>
        <w:rPr>
          <w:rFonts w:ascii="Arial" w:cs="Arial" w:eastAsia="Arial" w:hAnsi="Arial"/>
          <w:sz w:val="19"/>
          <w:szCs w:val="19"/>
          <w:color w:val="auto"/>
        </w:rPr>
      </w:pPr>
    </w:p>
    <w:p>
      <w:pPr>
        <w:ind w:firstLine="1505"/>
        <w:spacing w:after="0" w:line="276" w:lineRule="auto"/>
        <w:tabs>
          <w:tab w:leader="none" w:pos="1929" w:val="left"/>
        </w:tabs>
        <w:numPr>
          <w:ilvl w:val="0"/>
          <w:numId w:val="85"/>
        </w:numPr>
        <w:rPr>
          <w:rFonts w:ascii="Arial" w:cs="Arial" w:eastAsia="Arial" w:hAnsi="Arial"/>
          <w:sz w:val="22"/>
          <w:szCs w:val="22"/>
          <w:color w:val="auto"/>
        </w:rPr>
      </w:pPr>
      <w:r>
        <w:rPr>
          <w:rFonts w:ascii="Arial" w:cs="Arial" w:eastAsia="Arial" w:hAnsi="Arial"/>
          <w:sz w:val="22"/>
          <w:szCs w:val="22"/>
          <w:color w:val="auto"/>
        </w:rPr>
        <w:t>For the avoidance of doubt, this Article 4 shall apply to the issuance and distribution to holders of shares of Pubco Common Stock of rights to purchase Equity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3" w:name="page114"/>
    <w:bookmarkEnd w:id="113"/>
    <w:p>
      <w:pPr>
        <w:jc w:val="both"/>
        <w:spacing w:after="0" w:line="327" w:lineRule="auto"/>
        <w:rPr>
          <w:sz w:val="20"/>
          <w:szCs w:val="20"/>
          <w:color w:val="auto"/>
        </w:rPr>
      </w:pPr>
      <w:r>
        <w:rPr>
          <w:rFonts w:ascii="Arial" w:cs="Arial" w:eastAsia="Arial" w:hAnsi="Arial"/>
          <w:sz w:val="19"/>
          <w:szCs w:val="19"/>
          <w:color w:val="auto"/>
        </w:rPr>
        <w:t>of Pubco under a “poison pill” or similar shareholders rights plan (it also being understood that upon redemption or exchange of LLC Units (including any such right to purchase LLC Units in the Company) for shares of Class A Common Stock, such Class A Common Stock will be issued together with a corresponding right to purchase Equity Securities of Pubco).</w:t>
      </w:r>
    </w:p>
    <w:p>
      <w:pPr>
        <w:spacing w:after="0" w:line="133" w:lineRule="exact"/>
        <w:rPr>
          <w:sz w:val="20"/>
          <w:szCs w:val="20"/>
          <w:color w:val="auto"/>
        </w:rPr>
      </w:pPr>
    </w:p>
    <w:p>
      <w:pPr>
        <w:jc w:val="both"/>
        <w:ind w:firstLine="1505"/>
        <w:spacing w:after="0" w:line="301" w:lineRule="auto"/>
        <w:tabs>
          <w:tab w:leader="none" w:pos="1929"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at any time Pubco issues one or more shares of Class A Common Stock in connection with an equity incentive program or other compensatory plan or program, whether such share or shares are issued upon exercise of an option (including with respect to the options outstanding on the date hereof) or equity appreciation right, settlement of a restricted stock unit, as restricted stock or otherwise, the Company shall issue to Pubco a corresponding number of LLC Units; provided that Pubco shall be required to concurrently contribute the net proceeds (if any) received by Pubco from or otherwise in connection with such corresponding issuance of one or more shares of Class A Common Stock, including the exercise price of any option or equity appreciation right exercised, to the Company. If any such shares of Class A Common Stock so issued by Pubco in connection with an equity incentive program are subject to vesting or forfeiture provisions, then the LLC Units that are issued by the Company to Pubco in connection therewith in accordance with the preceding provisions of this Section 4.01(c) shall be subject to vesting or forfeiture on the same basis; if any of such shares of Class A Common Stock vest or are forfeited, then a corresponding number of the LLC Units issued by the Company in accordance with the preceding provisions of this Section 4.01(c) shall automatically vest or be forfeited. Any cash or property held by either Pubco or the Company or on either’s behalf in respect of dividends paid on restricted Class A Common Stock that fails to vest shall be returned to the Company upon the forfeiture of such restricted Class A Common Stock.</w:t>
      </w:r>
    </w:p>
    <w:p>
      <w:pPr>
        <w:spacing w:after="0" w:line="200" w:lineRule="exact"/>
        <w:rPr>
          <w:sz w:val="20"/>
          <w:szCs w:val="20"/>
          <w:color w:val="auto"/>
        </w:rPr>
      </w:pPr>
    </w:p>
    <w:p>
      <w:pPr>
        <w:spacing w:after="0" w:line="23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Restrictions on Pubco Common Stock</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71" w:lineRule="auto"/>
        <w:tabs>
          <w:tab w:leader="none" w:pos="1929" w:val="left"/>
        </w:tabs>
        <w:numPr>
          <w:ilvl w:val="0"/>
          <w:numId w:val="87"/>
        </w:numPr>
        <w:rPr>
          <w:rFonts w:ascii="Arial" w:cs="Arial" w:eastAsia="Arial" w:hAnsi="Arial"/>
          <w:sz w:val="21"/>
          <w:szCs w:val="21"/>
          <w:color w:val="auto"/>
        </w:rPr>
      </w:pPr>
      <w:r>
        <w:rPr>
          <w:rFonts w:ascii="Arial" w:cs="Arial" w:eastAsia="Arial" w:hAnsi="Arial"/>
          <w:sz w:val="21"/>
          <w:szCs w:val="21"/>
          <w:color w:val="auto"/>
        </w:rPr>
        <w:t>Except as otherwise determined by the Managing Member in accordance with Section 4.02(d), (i) the Company may not issue any additional LLC Units to Pubco or any of its Subsidiaries unless substantially simultaneously therewith Pubco or such Subsidiary issues or sells an equal number of shares of Class A Common Stock to another Person, (ii) the Company may not issue any additional LLC Units to any Person (other than Pubco or any of its Subsidiaries) unless simultaneously therewith Pubco issues or sells an equal number of shares of Class B Common Stock to such Person (or, in the case of Corresponding Company Units, to the Management Member holding the Corresponding Management Holdings Units) and (iii) the Company may not issue any other Equity Securities of the Company to Pubco or any of its Subsidiaries unless substantially simultaneously therewith, Pubco or such Subsidiary issues or sells, to another Person, an equal number of shares of a new class or series of Equity Securities of Pubco or such Subsidiary with substantially the same rights to dividends and distributions (including distributions upon liquidation) and other economic rights as those of such Equity Securities of the Company.</w:t>
      </w:r>
    </w:p>
    <w:p>
      <w:pPr>
        <w:spacing w:after="0" w:line="186" w:lineRule="exact"/>
        <w:rPr>
          <w:rFonts w:ascii="Arial" w:cs="Arial" w:eastAsia="Arial" w:hAnsi="Arial"/>
          <w:sz w:val="21"/>
          <w:szCs w:val="21"/>
          <w:color w:val="auto"/>
        </w:rPr>
      </w:pPr>
    </w:p>
    <w:p>
      <w:pPr>
        <w:jc w:val="both"/>
        <w:ind w:firstLine="1505"/>
        <w:spacing w:after="0" w:line="276" w:lineRule="auto"/>
        <w:tabs>
          <w:tab w:leader="none" w:pos="1929" w:val="left"/>
        </w:tabs>
        <w:numPr>
          <w:ilvl w:val="0"/>
          <w:numId w:val="87"/>
        </w:numPr>
        <w:rPr>
          <w:rFonts w:ascii="Arial" w:cs="Arial" w:eastAsia="Arial" w:hAnsi="Arial"/>
          <w:sz w:val="21"/>
          <w:szCs w:val="21"/>
          <w:color w:val="auto"/>
        </w:rPr>
      </w:pPr>
      <w:r>
        <w:rPr>
          <w:rFonts w:ascii="Arial" w:cs="Arial" w:eastAsia="Arial" w:hAnsi="Arial"/>
          <w:sz w:val="21"/>
          <w:szCs w:val="21"/>
          <w:color w:val="auto"/>
        </w:rPr>
        <w:t>Except as otherwise determined by the Managing Member in accordance with Section 4.02(d), (i) Pubco and its Subsidiaries may not redeem, repurchase or otherwise acquire any shares of Class A Common Stock unless substantially simultaneously therewith the Company redeems, repurchases or otherwise acquires from Pubco or any of its Subsidiaries an equal number of LLC Units for the same price per security (or, if Pubco uses funds received from distributions from the Company or the net proceeds from an issuance of Class A Common Stock to fund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redemption, repurchase or acquisition, then the Company shall cancel an equal number of LLC Units for no consideration) and</w:t>
      </w:r>
    </w:p>
    <w:p>
      <w:pPr>
        <w:spacing w:after="0" w:line="56" w:lineRule="exact"/>
        <w:rPr>
          <w:sz w:val="20"/>
          <w:szCs w:val="20"/>
          <w:color w:val="auto"/>
        </w:rPr>
      </w:pPr>
    </w:p>
    <w:p>
      <w:pPr>
        <w:jc w:val="both"/>
        <w:ind w:firstLine="8"/>
        <w:spacing w:after="0" w:line="299" w:lineRule="auto"/>
        <w:tabs>
          <w:tab w:leader="none" w:pos="377" w:val="left"/>
        </w:tabs>
        <w:numPr>
          <w:ilvl w:val="0"/>
          <w:numId w:val="88"/>
        </w:numPr>
        <w:rPr>
          <w:rFonts w:ascii="Arial" w:cs="Arial" w:eastAsia="Arial" w:hAnsi="Arial"/>
          <w:sz w:val="19"/>
          <w:szCs w:val="19"/>
          <w:color w:val="auto"/>
        </w:rPr>
      </w:pPr>
      <w:r>
        <w:rPr>
          <w:rFonts w:ascii="Arial" w:cs="Arial" w:eastAsia="Arial" w:hAnsi="Arial"/>
          <w:sz w:val="19"/>
          <w:szCs w:val="19"/>
          <w:color w:val="auto"/>
        </w:rPr>
        <w:t>Pubco and its Subsidiaries may not redeem or repurchase any other Equity Securities of Pubco unless substantially simultaneously therewith the Company redeems or repurchases from Pubco or any of its Subsidiaries an equal number of Equity Securities of the Company of a corresponding class or series with substantially the same rights to dividends and distributions (including distributions upon liquidation) or other economic rights as those of such Equity Securities of Pubco for the same price per security (or, if Pubco uses funds received from distributions from the Company or the net proceeds from an issuance of Equity Securities other than Class A Common Stock to fund such redemption, repurchase or acquisition, then the Company shall cancel an equal number of its corresponding Equity Securities for no consideration). Except as otherwise determined by the Managing Member in accordance with Section 4.02(d), (x) the Company may not redeem, repurchase or otherwise acquire LLC Units from Pubco or any of its Subsidiaries unless substantially simultaneously Pubco or such Subsidiary redeems, repurchases or otherwise acquires an equal number of Class A Common Stock for the same price per security from holders thereof (except that if the Company cancels LLC Units for no consideration as described in Section 4.02(b)(i), then the price per security need not be the same) and (y) the Company may not redeem, repurchase or otherwise acquire any other Equity Securities of the Company from Pubco or any of its Subsidiaries unless substantially simultaneously Pubco or such Subsidiary redeems, repurchases or otherwise acquires for the same price per security an equal number of Equity Securities of Pubco of a corresponding class or series with substantially the same rights to dividends and distributions (including dividends and distributions upon liquidation) and other economic rights as those of such Equity Securities of Pubco (except that if the Company cancels Equity Securities for no consideration as described in Section 4.02(b)(ii), then the price per security need not be the same). Notwithstanding the immediately preceding sentence, to the extent that any consideration payable to Pubco in connection with the redemption or repurchase of any shares or other Equity Securities of Pubco or any of its Subsidiaries consists (in whole or in part) of shares or such other Equity Securities (including, for the avoidance of doubt, in connection with the cashless exercise of an option or warrant), then redemption or repurchase of the corresponding LLC Units or other Equity Securities of the Company shall be effectuated in an equivalent manner (except if the Company cancels LLC Units or other Equity Securities for no consideration as described in this Section 4.02(b)).</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1505"/>
        <w:spacing w:after="0" w:line="271" w:lineRule="auto"/>
        <w:tabs>
          <w:tab w:leader="none" w:pos="1929" w:val="left"/>
        </w:tabs>
        <w:numPr>
          <w:ilvl w:val="1"/>
          <w:numId w:val="88"/>
        </w:numPr>
        <w:rPr>
          <w:rFonts w:ascii="Arial" w:cs="Arial" w:eastAsia="Arial" w:hAnsi="Arial"/>
          <w:sz w:val="21"/>
          <w:szCs w:val="21"/>
          <w:color w:val="auto"/>
        </w:rPr>
      </w:pPr>
      <w:r>
        <w:rPr>
          <w:rFonts w:ascii="Arial" w:cs="Arial" w:eastAsia="Arial" w:hAnsi="Arial"/>
          <w:sz w:val="21"/>
          <w:szCs w:val="21"/>
          <w:color w:val="auto"/>
        </w:rPr>
        <w:t>Except as provided in Section 3.01(e), the Company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LLC Units unless accompanied by a substantively identical subdivision or combination, as applicable, of the outstanding Pubco Common Stock, with corresponding changes made with respect to any other exchangeable or convertible securities. Pubco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Pubco Common Stock unless accompanied by a substantively identical subdivision or combination, as applicable, of the outstanding LLC Units, with corresponding changes made with respect to any other exchangeable or convertible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5" w:name="page116"/>
    <w:bookmarkEnd w:id="115"/>
    <w:p>
      <w:pPr>
        <w:ind w:left="1940" w:hanging="435"/>
        <w:spacing w:after="0"/>
        <w:tabs>
          <w:tab w:leader="none" w:pos="19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Article 4:</w:t>
      </w:r>
    </w:p>
    <w:p>
      <w:pPr>
        <w:spacing w:after="0" w:line="233" w:lineRule="exact"/>
        <w:rPr>
          <w:rFonts w:ascii="Arial" w:cs="Arial" w:eastAsia="Arial" w:hAnsi="Arial"/>
          <w:sz w:val="22"/>
          <w:szCs w:val="22"/>
          <w:color w:val="auto"/>
        </w:rPr>
      </w:pPr>
    </w:p>
    <w:p>
      <w:pPr>
        <w:jc w:val="both"/>
        <w:ind w:left="760" w:firstLine="1494"/>
        <w:spacing w:after="0" w:line="272" w:lineRule="auto"/>
        <w:tabs>
          <w:tab w:leader="none" w:pos="2566" w:val="left"/>
        </w:tabs>
        <w:numPr>
          <w:ilvl w:val="1"/>
          <w:numId w:val="89"/>
        </w:numPr>
        <w:rPr>
          <w:rFonts w:ascii="Arial" w:cs="Arial" w:eastAsia="Arial" w:hAnsi="Arial"/>
          <w:sz w:val="21"/>
          <w:szCs w:val="21"/>
          <w:color w:val="auto"/>
        </w:rPr>
      </w:pPr>
      <w:r>
        <w:rPr>
          <w:rFonts w:ascii="Arial" w:cs="Arial" w:eastAsia="Arial" w:hAnsi="Arial"/>
          <w:sz w:val="21"/>
          <w:szCs w:val="21"/>
          <w:color w:val="auto"/>
        </w:rPr>
        <w:t>if at any time the Managing Member shall determine that any debt instrument of Pubco, the Company or its Subsidiaries shall not permit Pubco or the Company to comply with the provisions of Section 4.02(a) or Section 4.02(b) in connection with the issuance, redemption or repurchase of any shares of Class A Common Stock or other Equity Securities of Pubco or any of its Subsidiaries or any Units or other Equity Securities of the Company, then the Managing Member may in good faith implement an economically equivalent alternative arrangement without complying with such provisions; provided that, in the case that any such alternative arrangement is implemented because of restrictions in any debt instrument, such arrangement shall also be subject to the prior written consent (not to be unreasonably withheld) of a majority in interest of the Non-Pubco Members, in each case for so long as the Substantial Ownership Requirement is met; and</w:t>
      </w:r>
    </w:p>
    <w:p>
      <w:pPr>
        <w:spacing w:after="0" w:line="182" w:lineRule="exact"/>
        <w:rPr>
          <w:rFonts w:ascii="Arial" w:cs="Arial" w:eastAsia="Arial" w:hAnsi="Arial"/>
          <w:sz w:val="21"/>
          <w:szCs w:val="21"/>
          <w:color w:val="auto"/>
        </w:rPr>
      </w:pPr>
    </w:p>
    <w:p>
      <w:pPr>
        <w:jc w:val="both"/>
        <w:ind w:left="760" w:firstLine="1494"/>
        <w:spacing w:after="0" w:line="304" w:lineRule="auto"/>
        <w:tabs>
          <w:tab w:leader="none" w:pos="2577" w:val="left"/>
        </w:tabs>
        <w:numPr>
          <w:ilvl w:val="1"/>
          <w:numId w:val="89"/>
        </w:numPr>
        <w:rPr>
          <w:rFonts w:ascii="Arial" w:cs="Arial" w:eastAsia="Arial" w:hAnsi="Arial"/>
          <w:sz w:val="19"/>
          <w:szCs w:val="19"/>
          <w:color w:val="auto"/>
        </w:rPr>
      </w:pPr>
      <w:r>
        <w:rPr>
          <w:rFonts w:ascii="Arial" w:cs="Arial" w:eastAsia="Arial" w:hAnsi="Arial"/>
          <w:sz w:val="19"/>
          <w:szCs w:val="19"/>
          <w:color w:val="auto"/>
        </w:rPr>
        <w:t>if (x) Pubco incurs any indebtedness and desires to transfer the proceeds of such indebtedness to the Company and (y) Pubco is unable to lend the proceeds of such indebtedness to the Company on an equivalent basis because of restrictions in any debt instrument of Pubco, the Company or its Subsidiaries, then notwithstanding Section 4.02(a) or Section 4.02(b), the Managing Member may in good faith implement an economically equivalent alternative arrangement in connection with the transfer of proceeds to the Company using non-participating preferred Equity Securities of the Company without complying with such provisions; provided that, in the case that any such alternative arrangement is implemented because of restrictions in any debt instrument, such arrangement shall also be subject to the prior written consent (not to be unreasonably withheld) of a majority in interest of the Non-Pubco Members, in each case for so long as the Substantial Ownership Requirement is met.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CAPITAL CONTRIBUTIONS; CAPITAL ACCOUNTS; DISTRIBUTIONS; ALLOCATIONS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Capital Contributions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66" w:lineRule="auto"/>
        <w:tabs>
          <w:tab w:leader="none" w:pos="1929" w:val="left"/>
        </w:tabs>
        <w:numPr>
          <w:ilvl w:val="0"/>
          <w:numId w:val="90"/>
        </w:numPr>
        <w:rPr>
          <w:rFonts w:ascii="Arial" w:cs="Arial" w:eastAsia="Arial" w:hAnsi="Arial"/>
          <w:sz w:val="22"/>
          <w:szCs w:val="22"/>
          <w:color w:val="auto"/>
        </w:rPr>
      </w:pPr>
      <w:r>
        <w:rPr>
          <w:rFonts w:ascii="Arial" w:cs="Arial" w:eastAsia="Arial" w:hAnsi="Arial"/>
          <w:sz w:val="22"/>
          <w:szCs w:val="22"/>
          <w:color w:val="auto"/>
        </w:rPr>
        <w:t>From and after the date hereof, no Member shall have any obligation to the Company, to any other Member or to any creditor of the Company to make any further Capital Contribution, except as expressly provided in Section 4.01(a), Section 4.01(c) or Section 10.02.</w:t>
      </w:r>
    </w:p>
    <w:p>
      <w:pPr>
        <w:spacing w:after="0" w:line="184" w:lineRule="exact"/>
        <w:rPr>
          <w:rFonts w:ascii="Arial" w:cs="Arial" w:eastAsia="Arial" w:hAnsi="Arial"/>
          <w:sz w:val="22"/>
          <w:szCs w:val="22"/>
          <w:color w:val="auto"/>
        </w:rPr>
      </w:pPr>
    </w:p>
    <w:p>
      <w:pPr>
        <w:ind w:right="40" w:firstLine="1505"/>
        <w:spacing w:after="0" w:line="276" w:lineRule="auto"/>
        <w:tabs>
          <w:tab w:leader="none" w:pos="1929"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Except as expressly provided herein, no Member, in its capacity as a Member, shall have the right to receive any cash or any other property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6" w:name="page117"/>
    <w:bookmarkEnd w:id="116"/>
    <w:p>
      <w:pPr>
        <w:ind w:left="860"/>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Capital Accounts.</w:t>
      </w:r>
    </w:p>
    <w:p>
      <w:pPr>
        <w:spacing w:after="0" w:line="233" w:lineRule="exact"/>
        <w:rPr>
          <w:sz w:val="20"/>
          <w:szCs w:val="20"/>
          <w:color w:val="auto"/>
        </w:rPr>
      </w:pPr>
    </w:p>
    <w:p>
      <w:pPr>
        <w:jc w:val="both"/>
        <w:ind w:firstLine="1505"/>
        <w:spacing w:after="0" w:line="266" w:lineRule="auto"/>
        <w:tabs>
          <w:tab w:leader="none" w:pos="1929" w:val="left"/>
        </w:tabs>
        <w:numPr>
          <w:ilvl w:val="0"/>
          <w:numId w:val="91"/>
        </w:numPr>
        <w:rPr>
          <w:rFonts w:ascii="Arial" w:cs="Arial" w:eastAsia="Arial" w:hAnsi="Arial"/>
          <w:sz w:val="22"/>
          <w:szCs w:val="22"/>
          <w:color w:val="auto"/>
        </w:rPr>
      </w:pPr>
      <w:r>
        <w:rPr>
          <w:rFonts w:ascii="Arial" w:cs="Arial" w:eastAsia="Arial" w:hAnsi="Arial"/>
          <w:sz w:val="22"/>
          <w:szCs w:val="22"/>
          <w:color w:val="auto"/>
        </w:rPr>
        <w:t>Maintenance of Capital Accounts. The Company shall maintain a Capital Account for each Member on the books of the Company in accordance with the provisions of Treasury Regulations Section 1.704-1(b)(2)(iv) and, to the extent consistent with such provisions, the following provisions:</w:t>
      </w:r>
    </w:p>
    <w:p>
      <w:pPr>
        <w:spacing w:after="0" w:line="184" w:lineRule="exact"/>
        <w:rPr>
          <w:rFonts w:ascii="Arial" w:cs="Arial" w:eastAsia="Arial" w:hAnsi="Arial"/>
          <w:sz w:val="22"/>
          <w:szCs w:val="22"/>
          <w:color w:val="auto"/>
        </w:rPr>
      </w:pPr>
    </w:p>
    <w:p>
      <w:pPr>
        <w:jc w:val="both"/>
        <w:ind w:left="760" w:firstLine="1494"/>
        <w:spacing w:after="0" w:line="262" w:lineRule="auto"/>
        <w:tabs>
          <w:tab w:leader="none" w:pos="2517" w:val="left"/>
        </w:tabs>
        <w:numPr>
          <w:ilvl w:val="1"/>
          <w:numId w:val="91"/>
        </w:numPr>
        <w:rPr>
          <w:rFonts w:ascii="Arial" w:cs="Arial" w:eastAsia="Arial" w:hAnsi="Arial"/>
          <w:sz w:val="22"/>
          <w:szCs w:val="22"/>
          <w:color w:val="auto"/>
        </w:rPr>
      </w:pPr>
      <w:r>
        <w:rPr>
          <w:rFonts w:ascii="Arial" w:cs="Arial" w:eastAsia="Arial" w:hAnsi="Arial"/>
          <w:sz w:val="22"/>
          <w:szCs w:val="22"/>
          <w:color w:val="auto"/>
        </w:rPr>
        <w:t>Each Member listed on the Member Schedule shall be credited with the Reorganization Date Capital Account Balance set forth on the Member Schedule. The Member Schedule shall be amended by the Managing Member from time to time to reflect adjustments to the Members’ Capital Accounts made in accordance with Sections 5.02(a)(ii), 5.02(a)(iii), 5.02(a)(iv), 5.02(c) or otherwise.</w:t>
      </w:r>
    </w:p>
    <w:p>
      <w:pPr>
        <w:spacing w:after="0" w:line="191" w:lineRule="exact"/>
        <w:rPr>
          <w:rFonts w:ascii="Arial" w:cs="Arial" w:eastAsia="Arial" w:hAnsi="Arial"/>
          <w:sz w:val="22"/>
          <w:szCs w:val="22"/>
          <w:color w:val="auto"/>
        </w:rPr>
      </w:pPr>
    </w:p>
    <w:p>
      <w:pPr>
        <w:jc w:val="both"/>
        <w:ind w:left="760" w:firstLine="1494"/>
        <w:spacing w:after="0" w:line="262" w:lineRule="auto"/>
        <w:tabs>
          <w:tab w:leader="none" w:pos="2653" w:val="left"/>
        </w:tabs>
        <w:numPr>
          <w:ilvl w:val="1"/>
          <w:numId w:val="91"/>
        </w:numPr>
        <w:rPr>
          <w:rFonts w:ascii="Arial" w:cs="Arial" w:eastAsia="Arial" w:hAnsi="Arial"/>
          <w:sz w:val="22"/>
          <w:szCs w:val="22"/>
          <w:color w:val="auto"/>
        </w:rPr>
      </w:pPr>
      <w:r>
        <w:rPr>
          <w:rFonts w:ascii="Arial" w:cs="Arial" w:eastAsia="Arial" w:hAnsi="Arial"/>
          <w:sz w:val="22"/>
          <w:szCs w:val="22"/>
          <w:color w:val="auto"/>
        </w:rPr>
        <w:t>To each Member’s Capital Account there shall be credited: (A) such Member’s Capital Contributions, (B) such Member’s distributive share of Net Income and any item in the nature of income or gain that is allocated pursuant to Section 5.04 and (C) the amount of any Company liabilities assumed by such Member or that are secured by any Property distributed to such Member.</w:t>
      </w:r>
    </w:p>
    <w:p>
      <w:pPr>
        <w:spacing w:after="0" w:line="191" w:lineRule="exact"/>
        <w:rPr>
          <w:rFonts w:ascii="Arial" w:cs="Arial" w:eastAsia="Arial" w:hAnsi="Arial"/>
          <w:sz w:val="22"/>
          <w:szCs w:val="22"/>
          <w:color w:val="auto"/>
        </w:rPr>
      </w:pPr>
    </w:p>
    <w:p>
      <w:pPr>
        <w:jc w:val="both"/>
        <w:ind w:left="760" w:firstLine="1494"/>
        <w:spacing w:after="0" w:line="276" w:lineRule="auto"/>
        <w:tabs>
          <w:tab w:leader="none" w:pos="2670" w:val="left"/>
        </w:tabs>
        <w:numPr>
          <w:ilvl w:val="1"/>
          <w:numId w:val="91"/>
        </w:numPr>
        <w:rPr>
          <w:rFonts w:ascii="Arial" w:cs="Arial" w:eastAsia="Arial" w:hAnsi="Arial"/>
          <w:sz w:val="21"/>
          <w:szCs w:val="21"/>
          <w:color w:val="auto"/>
        </w:rPr>
      </w:pPr>
      <w:r>
        <w:rPr>
          <w:rFonts w:ascii="Arial" w:cs="Arial" w:eastAsia="Arial" w:hAnsi="Arial"/>
          <w:sz w:val="21"/>
          <w:szCs w:val="21"/>
          <w:color w:val="auto"/>
        </w:rPr>
        <w:t>To each Member’s Capital Account there shall be debited: (A) the amount of money and the Carrying Value of any Property distributed to such Member pursuant to any provision of this Agreement, (B) such Member’s distributive share of Net Loss and any items in the nature of expenses or losses that are allocated to such Member pursuant to Section 5.04 and (C) the amount of any liabilities of such Member assumed by the Company or that are secured by any Property contributed by such Member to the Company.</w:t>
      </w:r>
    </w:p>
    <w:p>
      <w:pPr>
        <w:spacing w:after="0" w:line="177" w:lineRule="exact"/>
        <w:rPr>
          <w:rFonts w:ascii="Arial" w:cs="Arial" w:eastAsia="Arial" w:hAnsi="Arial"/>
          <w:sz w:val="21"/>
          <w:szCs w:val="21"/>
          <w:color w:val="auto"/>
        </w:rPr>
      </w:pPr>
    </w:p>
    <w:p>
      <w:pPr>
        <w:jc w:val="both"/>
        <w:ind w:left="760" w:firstLine="1494"/>
        <w:spacing w:after="0" w:line="266" w:lineRule="auto"/>
        <w:tabs>
          <w:tab w:leader="none" w:pos="2637" w:val="left"/>
        </w:tabs>
        <w:numPr>
          <w:ilvl w:val="1"/>
          <w:numId w:val="91"/>
        </w:numPr>
        <w:rPr>
          <w:rFonts w:ascii="Arial" w:cs="Arial" w:eastAsia="Arial" w:hAnsi="Arial"/>
          <w:sz w:val="22"/>
          <w:szCs w:val="22"/>
          <w:color w:val="auto"/>
        </w:rPr>
      </w:pPr>
      <w:r>
        <w:rPr>
          <w:rFonts w:ascii="Arial" w:cs="Arial" w:eastAsia="Arial" w:hAnsi="Arial"/>
          <w:sz w:val="22"/>
          <w:szCs w:val="22"/>
          <w:color w:val="auto"/>
        </w:rPr>
        <w:t>In determining the amount of any liability for purposes of subparagraphs (ii) and (iii) above there shall be taken into account Section 752(c) of the Code and any other applicable provisions of the Code and the Treasury Regulations.</w:t>
      </w:r>
    </w:p>
    <w:p>
      <w:pPr>
        <w:spacing w:after="0" w:line="185"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Managing Member shall reasonably determine that it is prudent to modify the manner in which the Capital Accounts or any debits or credits thereto are maintained (including debits or credits relating to liabilities that are secured by contributed or distributed Property or that are assumed by the Company or the Members), the Managing Member may make such modification so long as such modification will not have any effect on the amounts distributed to any Person pursuant to Article 12 upon the dissolution of the Company. The Managing Member also shall (i) make any adjustments that are necessary or appropriate to maintain equality between Capital Accounts of the Members and the amount of capital reflected on the Company’s balance sheet, as computed for book purposes, in accordance with Treasury Regulations Section 1.704-1(b)(2)(iv)(g), and (ii) make any appropriate modifications in the event unanticipated events might otherwise cause this Agreement not to comply with Treasury Regulations Section 1.704-1(b).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7" w:name="page118"/>
    <w:bookmarkEnd w:id="117"/>
    <w:p>
      <w:pPr>
        <w:jc w:val="both"/>
        <w:ind w:firstLine="1505"/>
        <w:spacing w:after="0" w:line="266" w:lineRule="auto"/>
        <w:tabs>
          <w:tab w:leader="none" w:pos="1929"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Succession to Capital Accounts</w:t>
      </w:r>
      <w:r>
        <w:rPr>
          <w:rFonts w:ascii="Arial" w:cs="Arial" w:eastAsia="Arial" w:hAnsi="Arial"/>
          <w:sz w:val="22"/>
          <w:szCs w:val="22"/>
          <w:color w:val="auto"/>
        </w:rPr>
        <w:t>. In the event any Person becomes a Substitute Member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provisions of this Agreement, such Substitute Member shall succeed to the Capital Account of the former Member (the “</w:t>
      </w:r>
      <w:r>
        <w:rPr>
          <w:rFonts w:ascii="Arial" w:cs="Arial" w:eastAsia="Arial" w:hAnsi="Arial"/>
          <w:sz w:val="22"/>
          <w:szCs w:val="22"/>
          <w:b w:val="1"/>
          <w:bCs w:val="1"/>
          <w:color w:val="auto"/>
        </w:rPr>
        <w:t>Transferor Member</w:t>
      </w:r>
      <w:r>
        <w:rPr>
          <w:rFonts w:ascii="Arial" w:cs="Arial" w:eastAsia="Arial" w:hAnsi="Arial"/>
          <w:sz w:val="22"/>
          <w:szCs w:val="22"/>
          <w:color w:val="auto"/>
        </w:rPr>
        <w:t>”) to the extent such Capital Account relates to the Transferred Units.</w:t>
      </w:r>
    </w:p>
    <w:p>
      <w:pPr>
        <w:spacing w:after="0" w:line="184" w:lineRule="exact"/>
        <w:rPr>
          <w:rFonts w:ascii="Arial" w:cs="Arial" w:eastAsia="Arial" w:hAnsi="Arial"/>
          <w:sz w:val="22"/>
          <w:szCs w:val="22"/>
          <w:color w:val="auto"/>
        </w:rPr>
      </w:pPr>
    </w:p>
    <w:p>
      <w:pPr>
        <w:jc w:val="both"/>
        <w:ind w:firstLine="1505"/>
        <w:spacing w:after="0" w:line="271" w:lineRule="auto"/>
        <w:tabs>
          <w:tab w:leader="none" w:pos="1943" w:val="left"/>
        </w:tabs>
        <w:numPr>
          <w:ilvl w:val="0"/>
          <w:numId w:val="92"/>
        </w:numPr>
        <w:rPr>
          <w:rFonts w:ascii="Arial" w:cs="Arial" w:eastAsia="Arial" w:hAnsi="Arial"/>
          <w:sz w:val="21"/>
          <w:szCs w:val="21"/>
          <w:color w:val="auto"/>
        </w:rPr>
      </w:pPr>
      <w:r>
        <w:rPr>
          <w:rFonts w:ascii="Arial" w:cs="Arial" w:eastAsia="Arial" w:hAnsi="Arial"/>
          <w:sz w:val="21"/>
          <w:szCs w:val="21"/>
          <w:i w:val="1"/>
          <w:iCs w:val="1"/>
          <w:color w:val="auto"/>
        </w:rPr>
        <w:t>Adjustments of Capital Accounts</w:t>
      </w:r>
      <w:r>
        <w:rPr>
          <w:rFonts w:ascii="Arial" w:cs="Arial" w:eastAsia="Arial" w:hAnsi="Arial"/>
          <w:sz w:val="21"/>
          <w:szCs w:val="21"/>
          <w:color w:val="auto"/>
        </w:rPr>
        <w:t>. The Company shall revalue the Capital Accounts of the Members 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accordance with Treasury Regulations Section 1.704-1(b)(2)(iv)(f) (a “ </w:t>
      </w:r>
      <w:r>
        <w:rPr>
          <w:rFonts w:ascii="Arial" w:cs="Arial" w:eastAsia="Arial" w:hAnsi="Arial"/>
          <w:sz w:val="21"/>
          <w:szCs w:val="21"/>
          <w:b w:val="1"/>
          <w:bCs w:val="1"/>
          <w:color w:val="auto"/>
        </w:rPr>
        <w:t>Revaluation</w:t>
      </w:r>
      <w:r>
        <w:rPr>
          <w:rFonts w:ascii="Arial" w:cs="Arial" w:eastAsia="Arial" w:hAnsi="Arial"/>
          <w:sz w:val="21"/>
          <w:szCs w:val="21"/>
          <w:color w:val="auto"/>
        </w:rPr>
        <w:t>”) at the following times: (i) immediately prior to the contribution of more than a de minimis amount of money or other property to the Company by a new or existing Member as consideration for one or more Units; (ii) the distribution by the Company to a Member of more than a de minimis amount of property in respect of one or more Units; (iii) the issuance by the Company of more than a de minimis amount of Units as consideration for the provision of services to or for the benefit of the Company (as described in Treasury Regulations Section 1.704-1(b)(2)(iv)(f)(5)(iii)); and (iv) the liquidation of the Company within the meaning of Treasury Regulations Section 1.704-1(b)(2)(ii)(g); provided, however, that adjustments pursuant to clauses (i), (ii) and (iii) above shall be made only if the Managing Member reasonably determines that such adjustments are necessary or appropriate to reflect the relative economic interest of the Members.</w:t>
      </w:r>
    </w:p>
    <w:p>
      <w:pPr>
        <w:spacing w:after="0" w:line="189" w:lineRule="exact"/>
        <w:rPr>
          <w:rFonts w:ascii="Arial" w:cs="Arial" w:eastAsia="Arial" w:hAnsi="Arial"/>
          <w:sz w:val="21"/>
          <w:szCs w:val="21"/>
          <w:color w:val="auto"/>
        </w:rPr>
      </w:pPr>
    </w:p>
    <w:p>
      <w:pPr>
        <w:jc w:val="both"/>
        <w:ind w:firstLine="1505"/>
        <w:spacing w:after="0" w:line="262" w:lineRule="auto"/>
        <w:tabs>
          <w:tab w:leader="none" w:pos="1929"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Member shall be entitled to withdraw capital or receive distributions except as specifically provided herein. A Member shall have no obligation to the Company, to any other Member or to any creditor of the Company to restore any negative balance in the Capital Account of such Member. Except as expressly provided elsewhere herein, no interest shall be paid on the balance in any Member’s Capital Account.</w:t>
      </w:r>
    </w:p>
    <w:p>
      <w:pPr>
        <w:spacing w:after="0" w:line="191" w:lineRule="exact"/>
        <w:rPr>
          <w:rFonts w:ascii="Arial" w:cs="Arial" w:eastAsia="Arial" w:hAnsi="Arial"/>
          <w:sz w:val="22"/>
          <w:szCs w:val="22"/>
          <w:color w:val="auto"/>
        </w:rPr>
      </w:pPr>
    </w:p>
    <w:p>
      <w:pPr>
        <w:jc w:val="both"/>
        <w:ind w:firstLine="1505"/>
        <w:spacing w:after="0" w:line="327" w:lineRule="auto"/>
        <w:tabs>
          <w:tab w:leader="none" w:pos="1929" w:val="left"/>
        </w:tabs>
        <w:numPr>
          <w:ilvl w:val="0"/>
          <w:numId w:val="92"/>
        </w:numPr>
        <w:rPr>
          <w:rFonts w:ascii="Arial" w:cs="Arial" w:eastAsia="Arial" w:hAnsi="Arial"/>
          <w:sz w:val="19"/>
          <w:szCs w:val="19"/>
          <w:color w:val="auto"/>
        </w:rPr>
      </w:pPr>
      <w:r>
        <w:rPr>
          <w:rFonts w:ascii="Arial" w:cs="Arial" w:eastAsia="Arial" w:hAnsi="Arial"/>
          <w:sz w:val="19"/>
          <w:szCs w:val="19"/>
          <w:color w:val="auto"/>
        </w:rPr>
        <w:t>Whenever it is necessary for purposes of this Agreement to determine a Member’s Capital Account on a per Unit basis, such amount shall be determined by dividing the Capital Account of such Member attributable to the applicable class of Units held of record by such Member by the number of Units of such class held of record by such Member.</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Amounts and Priority of Distributions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66" w:lineRule="auto"/>
        <w:tabs>
          <w:tab w:leader="none" w:pos="1929"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Distributions Generally</w:t>
      </w:r>
      <w:r>
        <w:rPr>
          <w:rFonts w:ascii="Arial" w:cs="Arial" w:eastAsia="Arial" w:hAnsi="Arial"/>
          <w:sz w:val="22"/>
          <w:szCs w:val="22"/>
          <w:color w:val="auto"/>
        </w:rPr>
        <w:t>. Except as otherwise provided in Section 5.03(e) Section 12.02, distributions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made to the Members as set forth in this Section 5.03, at such times and in such amounts as the Managing Member, in its sole discretion, shall determine.</w:t>
      </w:r>
    </w:p>
    <w:p>
      <w:pPr>
        <w:spacing w:after="0" w:line="18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Distributions to the Members</w:t>
      </w:r>
      <w:r>
        <w:rPr>
          <w:rFonts w:ascii="Arial" w:cs="Arial" w:eastAsia="Arial" w:hAnsi="Arial"/>
          <w:sz w:val="22"/>
          <w:szCs w:val="22"/>
          <w:color w:val="auto"/>
        </w:rPr>
        <w:t>. Subject to Sections 5.03(e), 5.03(f) and 5.03(g), distributions shall be made</w:t>
      </w:r>
      <w:r>
        <w:rPr>
          <w:rFonts w:ascii="Arial" w:cs="Arial" w:eastAsia="Arial" w:hAnsi="Arial"/>
          <w:sz w:val="22"/>
          <w:szCs w:val="22"/>
          <w:i w:val="1"/>
          <w:iCs w:val="1"/>
          <w:color w:val="auto"/>
        </w:rPr>
        <w:t xml:space="preserve"> </w:t>
      </w:r>
      <w:r>
        <w:rPr>
          <w:rFonts w:ascii="Arial" w:cs="Arial" w:eastAsia="Arial" w:hAnsi="Arial"/>
          <w:sz w:val="22"/>
          <w:szCs w:val="22"/>
          <w:color w:val="auto"/>
        </w:rPr>
        <w:t>to the Members in proportion to their respective Percentage Interests at such times and in such amounts as the Managing Member, in its sole discretion, shall determine.</w:t>
      </w:r>
    </w:p>
    <w:p>
      <w:pPr>
        <w:spacing w:after="0" w:line="184" w:lineRule="exact"/>
        <w:rPr>
          <w:rFonts w:ascii="Arial" w:cs="Arial" w:eastAsia="Arial" w:hAnsi="Arial"/>
          <w:sz w:val="22"/>
          <w:szCs w:val="22"/>
          <w:color w:val="auto"/>
        </w:rPr>
      </w:pPr>
    </w:p>
    <w:p>
      <w:pPr>
        <w:jc w:val="both"/>
        <w:ind w:firstLine="1505"/>
        <w:spacing w:after="0" w:line="276" w:lineRule="auto"/>
        <w:tabs>
          <w:tab w:leader="none" w:pos="1929" w:val="left"/>
        </w:tabs>
        <w:numPr>
          <w:ilvl w:val="0"/>
          <w:numId w:val="93"/>
        </w:numPr>
        <w:rPr>
          <w:rFonts w:ascii="Arial" w:cs="Arial" w:eastAsia="Arial" w:hAnsi="Arial"/>
          <w:sz w:val="21"/>
          <w:szCs w:val="21"/>
          <w:color w:val="auto"/>
        </w:rPr>
      </w:pPr>
      <w:r>
        <w:rPr>
          <w:rFonts w:ascii="Arial" w:cs="Arial" w:eastAsia="Arial" w:hAnsi="Arial"/>
          <w:sz w:val="21"/>
          <w:szCs w:val="21"/>
          <w:i w:val="1"/>
          <w:iCs w:val="1"/>
          <w:color w:val="auto"/>
        </w:rPr>
        <w:t>Pubco Distributions</w:t>
      </w:r>
      <w:r>
        <w:rPr>
          <w:rFonts w:ascii="Arial" w:cs="Arial" w:eastAsia="Arial" w:hAnsi="Arial"/>
          <w:sz w:val="21"/>
          <w:szCs w:val="21"/>
          <w:color w:val="auto"/>
        </w:rPr>
        <w:t>. Notwithstanding the provisions of Section 5.03(b), the Managing Member, in its sole</w:t>
      </w:r>
      <w:r>
        <w:rPr>
          <w:rFonts w:ascii="Arial" w:cs="Arial" w:eastAsia="Arial" w:hAnsi="Arial"/>
          <w:sz w:val="21"/>
          <w:szCs w:val="21"/>
          <w:i w:val="1"/>
          <w:iCs w:val="1"/>
          <w:color w:val="auto"/>
        </w:rPr>
        <w:t xml:space="preserve"> </w:t>
      </w:r>
      <w:r>
        <w:rPr>
          <w:rFonts w:ascii="Arial" w:cs="Arial" w:eastAsia="Arial" w:hAnsi="Arial"/>
          <w:sz w:val="21"/>
          <w:szCs w:val="21"/>
          <w:color w:val="auto"/>
        </w:rPr>
        <w:t>discretion, may authorize that cash be paid to Pubco or any of its Subsidiaries (which payment shall be made without pro rata distributions to the other Members) in exchange for the redemption, repurchase or other acquisition of Units held by Pubco or any of its Subsidiaries to the extent that such cash payment is used to redeem, repurchase or otherwise acquire an equal number of shares of Class A Common Stock in accordance with Section 4.02(b);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8" w:name="page119"/>
    <w:bookmarkEnd w:id="118"/>
    <w:p>
      <w:pPr>
        <w:jc w:val="both"/>
        <w:ind w:right="20"/>
        <w:spacing w:after="0" w:line="266" w:lineRule="auto"/>
        <w:rPr>
          <w:sz w:val="20"/>
          <w:szCs w:val="20"/>
          <w:color w:val="auto"/>
        </w:rPr>
      </w:pPr>
      <w:r>
        <w:rPr>
          <w:rFonts w:ascii="Arial" w:cs="Arial" w:eastAsia="Arial" w:hAnsi="Arial"/>
          <w:sz w:val="22"/>
          <w:szCs w:val="22"/>
          <w:color w:val="auto"/>
        </w:rPr>
        <w:t>provided, that no distribution (except a distribution relating to redemptions in respect of compensatory equity) shall be made pursuant to this Section 5.03(c) to the extent that, in the Managing Member’s reasonable determination, such distribution would reduce distributions under Section 5.03(e).</w:t>
      </w:r>
    </w:p>
    <w:p>
      <w:pPr>
        <w:spacing w:after="0" w:line="185" w:lineRule="exact"/>
        <w:rPr>
          <w:sz w:val="20"/>
          <w:szCs w:val="20"/>
          <w:color w:val="auto"/>
        </w:rPr>
      </w:pPr>
    </w:p>
    <w:p>
      <w:pPr>
        <w:jc w:val="both"/>
        <w:ind w:firstLine="1505"/>
        <w:spacing w:after="0" w:line="311" w:lineRule="auto"/>
        <w:tabs>
          <w:tab w:leader="none" w:pos="1943"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Distributions in Kind</w:t>
      </w:r>
      <w:r>
        <w:rPr>
          <w:rFonts w:ascii="Arial" w:cs="Arial" w:eastAsia="Arial" w:hAnsi="Arial"/>
          <w:sz w:val="19"/>
          <w:szCs w:val="19"/>
          <w:color w:val="auto"/>
        </w:rPr>
        <w:t>. Any distributions in kind shall be made at such times and in such amounts as the</w:t>
      </w:r>
      <w:r>
        <w:rPr>
          <w:rFonts w:ascii="Arial" w:cs="Arial" w:eastAsia="Arial" w:hAnsi="Arial"/>
          <w:sz w:val="19"/>
          <w:szCs w:val="19"/>
          <w:i w:val="1"/>
          <w:iCs w:val="1"/>
          <w:color w:val="auto"/>
        </w:rPr>
        <w:t xml:space="preserve"> </w:t>
      </w:r>
      <w:r>
        <w:rPr>
          <w:rFonts w:ascii="Arial" w:cs="Arial" w:eastAsia="Arial" w:hAnsi="Arial"/>
          <w:sz w:val="19"/>
          <w:szCs w:val="19"/>
          <w:color w:val="auto"/>
        </w:rPr>
        <w:t>Managing Member, in its sole discretion, shall determine based on the fair market value of such in kind distributions as determined by the Managing Member in the same proportions as if distributed in accordance with Section 5.03(b), with all Members participating in proportion to their respective Percentage Interests. If cash and property are to be distributed in kind simultaneously, the Company shall distribute such cash and property in kind in the same proportion to each Member.</w:t>
      </w:r>
    </w:p>
    <w:p>
      <w:pPr>
        <w:spacing w:after="0" w:line="150" w:lineRule="exact"/>
        <w:rPr>
          <w:rFonts w:ascii="Arial" w:cs="Arial" w:eastAsia="Arial" w:hAnsi="Arial"/>
          <w:sz w:val="19"/>
          <w:szCs w:val="19"/>
          <w:color w:val="auto"/>
        </w:rPr>
      </w:pPr>
    </w:p>
    <w:p>
      <w:pPr>
        <w:jc w:val="both"/>
        <w:ind w:firstLine="1505"/>
        <w:spacing w:after="0" w:line="299" w:lineRule="auto"/>
        <w:tabs>
          <w:tab w:leader="none" w:pos="1956"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Tax Distributions</w:t>
      </w:r>
      <w:r>
        <w:rPr>
          <w:rFonts w:ascii="Arial" w:cs="Arial" w:eastAsia="Arial" w:hAnsi="Arial"/>
          <w:sz w:val="19"/>
          <w:szCs w:val="19"/>
          <w:color w:val="auto"/>
        </w:rPr>
        <w:t>. The Managing Member shall (solely to the extent of any Available Cash) cause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no later than five days prior to the date on which U.S. federal corporate quarterly estimated tax payments are due for a taxpayer with a taxable year ending on December 31, to make a distribution (a “Tax Distribution”) to each Member in an amount equal to the excess of (A) the product of (i) the estimated net taxable income allocable to such Member, for such taxable year through the end of such period, and (ii) the Assumed Income Tax Rate, over (B) distributions previously made to such Member pursuant to this Section 5.03 or Section 12.02 with respect to the taxable year. A final accounting for Tax Distributions shall be made after the allocation of the Company’s actual net taxable income or loss has been determined for a taxable year (or applicable portion thereof) and any shortfall in the amount of Tax Distributions a Member received for such taxable year based on such final accounting shall, to the extent of Available Cash, be promptly distributed to such Member. In computing taxable income or loss for purposes of this Section 5.03(e), items of income, gain, loss and deduction shall be determined (i) with or without regard to any adjustments pursuant to Section 743 of the Code (in whole or in part), in the sole discretion of the Managing Member, and (ii) taking into account any allocations under Section 704(c) of the Code and the Treasury Regulations thereunder. A Tax Distribution to a Member in respect of any LLC Unit shall be charged against current or future distributions to which such Member would otherwise have been entitled under this Section 5.03 or Section 12.02 in respect of such Unit; provided, however, all LLC Units shall participate in distributions made pursuant to Section 5.03 on a pro rata basis. Notwithstanding the foregoing, (A) any distributions made pursuant to this Section 5.03(e) shall be made to the Members on a pro rata basis in accordance with the number of each Member’s LLC Units over the total number of outstanding LLC Units, (B) to the extent of Available Cash, the pro rata amount to be distributed to each Member shall be calculated based on the distribution to the Member that would have the highest Tax Distribution under this Section 5.03(e) on a per-unit basis, calculated without regard to this sentence and (C) if there is insufficient Available Cash to make all of the distributions described in clause (B), the amount that would have been distributed to each Member pursuant to clause (B) shall be reduced on a pro rata basis; and provided, further, that notwithstanding the foregoing the Company shall not be required to make any distribution pursuant to this </w:t>
      </w:r>
      <w:r>
        <w:rPr>
          <w:rFonts w:ascii="Arial" w:cs="Arial" w:eastAsia="Arial" w:hAnsi="Arial"/>
          <w:sz w:val="19"/>
          <w:szCs w:val="19"/>
          <w:u w:val="single" w:color="auto"/>
          <w:color w:val="auto"/>
        </w:rPr>
        <w:t>Section 5.03(e)</w:t>
      </w:r>
      <w:r>
        <w:rPr>
          <w:rFonts w:ascii="Arial" w:cs="Arial" w:eastAsia="Arial" w:hAnsi="Arial"/>
          <w:sz w:val="19"/>
          <w:szCs w:val="19"/>
          <w:color w:val="auto"/>
        </w:rPr>
        <w:t xml:space="preserve"> with respect to any Corresponding Company Units or other Units that have not vested if the Company has not allocated any income in the applicable taxable period to such Units. For the avoidance of doubt, whether a distribution is treated as a Tax Distribution or a distribution pursuant to </w:t>
      </w:r>
      <w:r>
        <w:rPr>
          <w:rFonts w:ascii="Arial" w:cs="Arial" w:eastAsia="Arial" w:hAnsi="Arial"/>
          <w:sz w:val="19"/>
          <w:szCs w:val="19"/>
          <w:u w:val="single" w:color="auto"/>
          <w:color w:val="auto"/>
        </w:rPr>
        <w:t>Section 5.03(b)</w:t>
      </w:r>
      <w:r>
        <w:rPr>
          <w:rFonts w:ascii="Arial" w:cs="Arial" w:eastAsia="Arial" w:hAnsi="Arial"/>
          <w:sz w:val="19"/>
          <w:szCs w:val="19"/>
          <w:color w:val="auto"/>
        </w:rPr>
        <w:t xml:space="preserve"> is not intended to impact allocations or ultimate economic entitlement under this Agreement, and this Agreement shall be interpreted consistent with such intent.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9" w:name="page120"/>
    <w:bookmarkEnd w:id="119"/>
    <w:p>
      <w:pPr>
        <w:jc w:val="both"/>
        <w:ind w:firstLine="1505"/>
        <w:spacing w:after="0" w:line="276" w:lineRule="auto"/>
        <w:tabs>
          <w:tab w:leader="none" w:pos="1956" w:val="left"/>
        </w:tabs>
        <w:numPr>
          <w:ilvl w:val="0"/>
          <w:numId w:val="95"/>
        </w:numPr>
        <w:rPr>
          <w:rFonts w:ascii="Arial" w:cs="Arial" w:eastAsia="Arial" w:hAnsi="Arial"/>
          <w:sz w:val="21"/>
          <w:szCs w:val="21"/>
          <w:color w:val="auto"/>
        </w:rPr>
      </w:pPr>
      <w:r>
        <w:rPr>
          <w:rFonts w:ascii="Arial" w:cs="Arial" w:eastAsia="Arial" w:hAnsi="Arial"/>
          <w:sz w:val="21"/>
          <w:szCs w:val="21"/>
          <w:i w:val="1"/>
          <w:iCs w:val="1"/>
          <w:color w:val="auto"/>
        </w:rPr>
        <w:t>Distributions Resulting in Violation of Law or Default</w:t>
      </w:r>
      <w:r>
        <w:rPr>
          <w:rFonts w:ascii="Arial" w:cs="Arial" w:eastAsia="Arial" w:hAnsi="Arial"/>
          <w:sz w:val="21"/>
          <w:szCs w:val="21"/>
          <w:color w:val="auto"/>
        </w:rPr>
        <w:t>. Notwithstanding any provision to the contrary</w:t>
      </w:r>
      <w:r>
        <w:rPr>
          <w:rFonts w:ascii="Arial" w:cs="Arial" w:eastAsia="Arial" w:hAnsi="Arial"/>
          <w:sz w:val="21"/>
          <w:szCs w:val="21"/>
          <w:i w:val="1"/>
          <w:iCs w:val="1"/>
          <w:color w:val="auto"/>
        </w:rPr>
        <w:t xml:space="preserve"> </w:t>
      </w:r>
      <w:r>
        <w:rPr>
          <w:rFonts w:ascii="Arial" w:cs="Arial" w:eastAsia="Arial" w:hAnsi="Arial"/>
          <w:sz w:val="21"/>
          <w:szCs w:val="21"/>
          <w:color w:val="auto"/>
        </w:rPr>
        <w:t>contained in this Agreement, the Company shall not make, or cause to be made, any distribution to any Member (and the Company shall not make any distribution to Pubco) on account of any Unit if such distribution would violate any applicable Law or the terms of any financing agreement of the Pubco, the Company or any of its Subsidiaries or result in a default (or an event that, with notice or the lapse of time or both, would constitute a default) thereunder.</w:t>
      </w:r>
    </w:p>
    <w:p>
      <w:pPr>
        <w:spacing w:after="0" w:line="177" w:lineRule="exact"/>
        <w:rPr>
          <w:rFonts w:ascii="Arial" w:cs="Arial" w:eastAsia="Arial" w:hAnsi="Arial"/>
          <w:sz w:val="21"/>
          <w:szCs w:val="21"/>
          <w:color w:val="auto"/>
        </w:rPr>
      </w:pPr>
    </w:p>
    <w:p>
      <w:pPr>
        <w:jc w:val="both"/>
        <w:ind w:firstLine="1505"/>
        <w:spacing w:after="0" w:line="266" w:lineRule="auto"/>
        <w:tabs>
          <w:tab w:leader="none" w:pos="1929" w:val="left"/>
        </w:tabs>
        <w:numPr>
          <w:ilvl w:val="0"/>
          <w:numId w:val="95"/>
        </w:numPr>
        <w:rPr>
          <w:rFonts w:ascii="Arial" w:cs="Arial" w:eastAsia="Arial" w:hAnsi="Arial"/>
          <w:sz w:val="22"/>
          <w:szCs w:val="22"/>
          <w:color w:val="auto"/>
        </w:rPr>
      </w:pPr>
      <w:r>
        <w:rPr>
          <w:rFonts w:ascii="Arial" w:cs="Arial" w:eastAsia="Arial" w:hAnsi="Arial"/>
          <w:sz w:val="22"/>
          <w:szCs w:val="22"/>
          <w:i w:val="1"/>
          <w:iCs w:val="1"/>
          <w:color w:val="auto"/>
        </w:rPr>
        <w:t>Assignment</w:t>
      </w:r>
      <w:r>
        <w:rPr>
          <w:rFonts w:ascii="Arial" w:cs="Arial" w:eastAsia="Arial" w:hAnsi="Arial"/>
          <w:sz w:val="22"/>
          <w:szCs w:val="22"/>
          <w:color w:val="auto"/>
        </w:rPr>
        <w:t>. Each Member and its Permitted Transferees shall have the right to assign to any Transferee of</w:t>
      </w:r>
      <w:r>
        <w:rPr>
          <w:rFonts w:ascii="Arial" w:cs="Arial" w:eastAsia="Arial" w:hAnsi="Arial"/>
          <w:sz w:val="22"/>
          <w:szCs w:val="22"/>
          <w:i w:val="1"/>
          <w:iCs w:val="1"/>
          <w:color w:val="auto"/>
        </w:rPr>
        <w:t xml:space="preserve"> </w:t>
      </w:r>
      <w:r>
        <w:rPr>
          <w:rFonts w:ascii="Arial" w:cs="Arial" w:eastAsia="Arial" w:hAnsi="Arial"/>
          <w:sz w:val="22"/>
          <w:szCs w:val="22"/>
          <w:color w:val="auto"/>
        </w:rPr>
        <w:t>LLC Units, pursuant to a Transfer made in compliance with this Agreement, the right to receive any portion of the amounts distributable or otherwise payable to such Member pursuant to Section 5.03(b).</w:t>
      </w:r>
    </w:p>
    <w:p>
      <w:pPr>
        <w:spacing w:after="0" w:line="184" w:lineRule="exact"/>
        <w:rPr>
          <w:rFonts w:ascii="Arial" w:cs="Arial" w:eastAsia="Arial" w:hAnsi="Arial"/>
          <w:sz w:val="22"/>
          <w:szCs w:val="22"/>
          <w:color w:val="auto"/>
        </w:rPr>
      </w:pPr>
    </w:p>
    <w:p>
      <w:pPr>
        <w:jc w:val="both"/>
        <w:ind w:firstLine="1505"/>
        <w:spacing w:after="0" w:line="308" w:lineRule="auto"/>
        <w:tabs>
          <w:tab w:leader="none" w:pos="1929"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Distributions on Account of Unvested LLC Units</w:t>
      </w:r>
      <w:r>
        <w:rPr>
          <w:rFonts w:ascii="Arial" w:cs="Arial" w:eastAsia="Arial" w:hAnsi="Arial"/>
          <w:sz w:val="19"/>
          <w:szCs w:val="19"/>
          <w:color w:val="auto"/>
        </w:rPr>
        <w:t>. Notwithstanding anything to the contrary in this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5.03, no distributions shall be made pursuant to Section 5.03(b) on account of a Corresponding Company Unit or other Unit that has not vested pursuant to the Management Unit Agreement relating to such Corresponding Company Unit or other Unit (other than to the extent such distributions are in respect of a Tax Distribution); provided that any distributions in respect of unvested LLC Units shall be payable at the same time as such unvested LLC Units become vested LLC Units, and if such unvested LLC Units are forfeited, the former holder of such LLC Units shall have no right to receive such distributions.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Allocations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71" w:lineRule="auto"/>
        <w:tabs>
          <w:tab w:leader="none" w:pos="1929" w:val="left"/>
        </w:tabs>
        <w:numPr>
          <w:ilvl w:val="0"/>
          <w:numId w:val="96"/>
        </w:numPr>
        <w:rPr>
          <w:rFonts w:ascii="Arial" w:cs="Arial" w:eastAsia="Arial" w:hAnsi="Arial"/>
          <w:sz w:val="21"/>
          <w:szCs w:val="21"/>
          <w:color w:val="auto"/>
        </w:rPr>
      </w:pPr>
      <w:r>
        <w:rPr>
          <w:rFonts w:ascii="Arial" w:cs="Arial" w:eastAsia="Arial" w:hAnsi="Arial"/>
          <w:sz w:val="21"/>
          <w:szCs w:val="21"/>
          <w:color w:val="auto"/>
        </w:rPr>
        <w:t>Net Income and Net Loss. Except as otherwise provided in this Agreement, and after giving effect to the special allocations set forth in Section 5.04(b), Section 5.04(c) and Section 5.04(d), Net Income and Net Loss (and, to the extent necessary, individual items of income, gain, loss, deduction or credit) of the Company shall be allocated among the Members in a manner such that the Capital Account of each Member, immediately after making such allocation, is, as nearly as possible, equal to (i) the distributions that would be made to such Member pursuant to Section 5.03(b)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in accordance with Section 5.03(b), to the Members immediately after making such allocation, minus (ii) such Member’s share of Company Minimum Gain and Member Nonrecourse Debt Minimum Gain, computed immediately prior to the hypothetical sale of assets.</w:t>
      </w:r>
    </w:p>
    <w:p>
      <w:pPr>
        <w:spacing w:after="0" w:line="189" w:lineRule="exact"/>
        <w:rPr>
          <w:rFonts w:ascii="Arial" w:cs="Arial" w:eastAsia="Arial" w:hAnsi="Arial"/>
          <w:sz w:val="21"/>
          <w:szCs w:val="21"/>
          <w:color w:val="auto"/>
        </w:rPr>
      </w:pPr>
    </w:p>
    <w:p>
      <w:pPr>
        <w:ind w:left="1940" w:hanging="435"/>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Special Allocations</w:t>
      </w:r>
      <w:r>
        <w:rPr>
          <w:rFonts w:ascii="Arial" w:cs="Arial" w:eastAsia="Arial" w:hAnsi="Arial"/>
          <w:sz w:val="22"/>
          <w:szCs w:val="22"/>
          <w:color w:val="auto"/>
        </w:rPr>
        <w:t>. The following special allocations shall be made in the following order:</w:t>
      </w:r>
    </w:p>
    <w:p>
      <w:pPr>
        <w:spacing w:after="0" w:line="233" w:lineRule="exact"/>
        <w:rPr>
          <w:sz w:val="20"/>
          <w:szCs w:val="20"/>
          <w:color w:val="auto"/>
        </w:rPr>
      </w:pPr>
    </w:p>
    <w:p>
      <w:pPr>
        <w:jc w:val="both"/>
        <w:ind w:left="760" w:firstLine="1494"/>
        <w:spacing w:after="0" w:line="260" w:lineRule="auto"/>
        <w:tabs>
          <w:tab w:leader="none" w:pos="2515"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Minimum Gain Chargeback</w:t>
      </w:r>
      <w:r>
        <w:rPr>
          <w:rFonts w:ascii="Arial" w:cs="Arial" w:eastAsia="Arial" w:hAnsi="Arial"/>
          <w:sz w:val="22"/>
          <w:szCs w:val="22"/>
          <w:color w:val="auto"/>
        </w:rPr>
        <w:t>. Except as otherwise provided in Treasury Regulations Section 1.704-2(f), notwithstanding any other provision of this Article 5, if there is a net decrease in Company Minimum Gain during any Fiscal Year, each Member shall be specially allocated items of Company income and gain for such Fiscal Year (and, if necessary, subsequent Fiscal Years) in an amount equal to such Member’s share of the net decrease in Company Minimum Gain, determined in accordance with Treasury Regulations Section 1.704-2(g). Allocations pursuant to the immediately preceding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0" w:name="page121"/>
    <w:bookmarkEnd w:id="120"/>
    <w:p>
      <w:pPr>
        <w:jc w:val="both"/>
        <w:ind w:left="720"/>
        <w:spacing w:after="0" w:line="317" w:lineRule="auto"/>
        <w:rPr>
          <w:sz w:val="20"/>
          <w:szCs w:val="20"/>
          <w:color w:val="auto"/>
        </w:rPr>
      </w:pPr>
      <w:r>
        <w:rPr>
          <w:rFonts w:ascii="Arial" w:cs="Arial" w:eastAsia="Arial" w:hAnsi="Arial"/>
          <w:sz w:val="19"/>
          <w:szCs w:val="19"/>
          <w:color w:val="auto"/>
        </w:rPr>
        <w:t>sentence shall be made in proportion to the respective amounts required to be allocated to each Member pursuant thereto. The items to be so allocated shall be determined in accordance with Treasury Regulations Section 1.704-2(f)(6) and 1.704-2(j)(2). This Section 5.04(b)(i) is intended to comply with the minimum gain chargeback requirement in Treasury Regulations Section 1.704-2(f) and shall be interpreted consistently therewith.</w:t>
      </w:r>
    </w:p>
    <w:p>
      <w:pPr>
        <w:spacing w:after="0" w:line="142" w:lineRule="exact"/>
        <w:rPr>
          <w:sz w:val="20"/>
          <w:szCs w:val="20"/>
          <w:color w:val="auto"/>
        </w:rPr>
      </w:pPr>
    </w:p>
    <w:p>
      <w:pPr>
        <w:jc w:val="both"/>
        <w:ind w:left="720" w:firstLine="1494"/>
        <w:spacing w:after="0" w:line="302" w:lineRule="auto"/>
        <w:tabs>
          <w:tab w:leader="none" w:pos="2576"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Member Nonrecourse Minimum Gain Chargeback</w:t>
      </w:r>
      <w:r>
        <w:rPr>
          <w:rFonts w:ascii="Arial" w:cs="Arial" w:eastAsia="Arial" w:hAnsi="Arial"/>
          <w:sz w:val="19"/>
          <w:szCs w:val="19"/>
          <w:color w:val="auto"/>
        </w:rPr>
        <w:t>. Except as otherwise provided in Treasury</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Regulations Section 1.704-2(i)(4), notwithstanding any other provision of this Article 5, if there is a net decrease in Member Nonrecourse Debt Minimum Gain attributable to a Member Nonrecourse Debt during any Fiscal Year, each Member who has a share of the Member Nonrecourse Debt Minimum Gain attributable to such Member Nonrecourse Debt, determined in accordance with Treasury Regulations Section 1.704-2(i)(5), shall be specially allocated items of Company income and gain for such Fiscal Year (and, if necessary, subsequent Fiscal Years) in an amount equal to such Member’s share of the net decrease in Member Nonrecourse Debt Minimum Gain attributable to such Member Nonrecourse Debt, determined in accordance with Treasury Regulations Section 1.704-2(i)(4). Allocations pursuant to the previous sentence shall be made in proportion to the respective amounts required to be allocated to each Member pursuant thereto. The items to be so allocated shall be determined in accordance with Treasury Regulations Sections 1.704-2(i)(4) and 1.704-2(j)(2). This Section 5.04(b)(ii) is intended to comply with the minimum gain chargeback requirement in Treasury Regulations Section 1.704-2(i)(4) and shall be interpreted consistently therewith.</w:t>
      </w:r>
    </w:p>
    <w:p>
      <w:pPr>
        <w:spacing w:after="0" w:line="156" w:lineRule="exact"/>
        <w:rPr>
          <w:rFonts w:ascii="Arial" w:cs="Arial" w:eastAsia="Arial" w:hAnsi="Arial"/>
          <w:sz w:val="19"/>
          <w:szCs w:val="19"/>
          <w:color w:val="auto"/>
        </w:rPr>
      </w:pPr>
    </w:p>
    <w:p>
      <w:pPr>
        <w:jc w:val="both"/>
        <w:ind w:left="720" w:firstLine="1494"/>
        <w:spacing w:after="0" w:line="259" w:lineRule="auto"/>
        <w:tabs>
          <w:tab w:leader="none" w:pos="2649"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Qualified Income Offset</w:t>
      </w:r>
      <w:r>
        <w:rPr>
          <w:rFonts w:ascii="Arial" w:cs="Arial" w:eastAsia="Arial" w:hAnsi="Arial"/>
          <w:sz w:val="22"/>
          <w:szCs w:val="22"/>
          <w:color w:val="auto"/>
        </w:rPr>
        <w:t>. In the event any Member unexpectedly receives any adjustments,</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allocations, or distributions described in Treasury Regulations Sections 1.704-1(b)(2)(ii)(d)(4), 1.704-1(b)(2)(ii)(d)(5) or Section 1.704-1(b)(2)(ii)(d)(6), items of Company income and gain shall be specially allocated to such Member in an amount and manner sufficient to eliminate, to the extent required by the Treasury Regulations, the Adjusted Capital Account Deficit of the Member as promptly as possible; provided that an allocation pursuant to this Section 5.04(b)(iii) shall be made only if and to the extent that the Member would have an Adjusted Capital Account Deficit after all other allocations provided for in this Article 5 have been tentatively made as if this Section 5.04(b)(iii) were not in this Agreement.</w:t>
      </w:r>
    </w:p>
    <w:p>
      <w:pPr>
        <w:spacing w:after="0" w:line="192" w:lineRule="exact"/>
        <w:rPr>
          <w:rFonts w:ascii="Arial" w:cs="Arial" w:eastAsia="Arial" w:hAnsi="Arial"/>
          <w:sz w:val="22"/>
          <w:szCs w:val="22"/>
          <w:color w:val="auto"/>
        </w:rPr>
      </w:pPr>
    </w:p>
    <w:p>
      <w:pPr>
        <w:jc w:val="both"/>
        <w:ind w:left="720" w:firstLine="1494"/>
        <w:spacing w:after="0" w:line="266" w:lineRule="auto"/>
        <w:tabs>
          <w:tab w:leader="none" w:pos="2583"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Nonrecourse Deductions</w:t>
      </w:r>
      <w:r>
        <w:rPr>
          <w:rFonts w:ascii="Arial" w:cs="Arial" w:eastAsia="Arial" w:hAnsi="Arial"/>
          <w:sz w:val="22"/>
          <w:szCs w:val="22"/>
          <w:color w:val="auto"/>
        </w:rPr>
        <w:t>. Nonrecourse Deductions for any Fiscal Year shall be specially allocated</w:t>
      </w:r>
      <w:r>
        <w:rPr>
          <w:rFonts w:ascii="Arial" w:cs="Arial" w:eastAsia="Arial" w:hAnsi="Arial"/>
          <w:sz w:val="22"/>
          <w:szCs w:val="22"/>
          <w:i w:val="1"/>
          <w:iCs w:val="1"/>
          <w:color w:val="auto"/>
        </w:rPr>
        <w:t xml:space="preserve"> </w:t>
      </w:r>
      <w:r>
        <w:rPr>
          <w:rFonts w:ascii="Arial" w:cs="Arial" w:eastAsia="Arial" w:hAnsi="Arial"/>
          <w:sz w:val="22"/>
          <w:szCs w:val="22"/>
          <w:color w:val="auto"/>
        </w:rPr>
        <w:t>to the Members in a manner determined by the Managing Member consistent with Treasury Regulations Sections 1.704-2(b) and 1.704-2(c).</w:t>
      </w:r>
    </w:p>
    <w:p>
      <w:pPr>
        <w:spacing w:after="0" w:line="184" w:lineRule="exact"/>
        <w:rPr>
          <w:rFonts w:ascii="Arial" w:cs="Arial" w:eastAsia="Arial" w:hAnsi="Arial"/>
          <w:sz w:val="22"/>
          <w:szCs w:val="22"/>
          <w:color w:val="auto"/>
        </w:rPr>
      </w:pPr>
    </w:p>
    <w:p>
      <w:pPr>
        <w:jc w:val="both"/>
        <w:ind w:left="720" w:firstLine="1494"/>
        <w:spacing w:after="0" w:line="262" w:lineRule="auto"/>
        <w:tabs>
          <w:tab w:leader="none" w:pos="2523"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Member Nonrecourse Deductions</w:t>
      </w:r>
      <w:r>
        <w:rPr>
          <w:rFonts w:ascii="Arial" w:cs="Arial" w:eastAsia="Arial" w:hAnsi="Arial"/>
          <w:sz w:val="22"/>
          <w:szCs w:val="22"/>
          <w:color w:val="auto"/>
        </w:rPr>
        <w:t>. Any Member Nonrecourse Deductions for any Fiscal Year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specially allocated to the Member who bears the economic risk of loss with respect to the Member Nonrecourse Debt to which such Member Nonrecourse Deductions are attributable in accordance with Treasury Regulations Sections 1.704-2(i)(1) and 1.704-2(j)(1).</w:t>
      </w:r>
    </w:p>
    <w:p>
      <w:pPr>
        <w:spacing w:after="0" w:line="191" w:lineRule="exact"/>
        <w:rPr>
          <w:rFonts w:ascii="Arial" w:cs="Arial" w:eastAsia="Arial" w:hAnsi="Arial"/>
          <w:sz w:val="22"/>
          <w:szCs w:val="22"/>
          <w:color w:val="auto"/>
        </w:rPr>
      </w:pPr>
    </w:p>
    <w:p>
      <w:pPr>
        <w:jc w:val="both"/>
        <w:ind w:left="720" w:firstLine="1494"/>
        <w:spacing w:after="0" w:line="266" w:lineRule="auto"/>
        <w:tabs>
          <w:tab w:leader="none" w:pos="2624"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Section 754 Adjustments</w:t>
      </w:r>
      <w:r>
        <w:rPr>
          <w:rFonts w:ascii="Arial" w:cs="Arial" w:eastAsia="Arial" w:hAnsi="Arial"/>
          <w:sz w:val="22"/>
          <w:szCs w:val="22"/>
          <w:color w:val="auto"/>
        </w:rPr>
        <w:t>. (A) To the extent an adjustment to the adjusted tax basis of any</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asset pursuant to Sections 734(b) or 743(b) of the Code is required pursuant to Treasury Regulations Section 1.704-1(b)(2)(iv)(m)(2) or Treasury</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402" w:right="339" w:bottom="1440" w:gutter="0" w:footer="0" w:header="0"/>
        </w:sectPr>
      </w:pPr>
    </w:p>
    <w:bookmarkStart w:id="121" w:name="page122"/>
    <w:bookmarkEnd w:id="121"/>
    <w:p>
      <w:pPr>
        <w:jc w:val="both"/>
        <w:ind w:left="760"/>
        <w:spacing w:after="0" w:line="301" w:lineRule="auto"/>
        <w:rPr>
          <w:sz w:val="20"/>
          <w:szCs w:val="20"/>
          <w:color w:val="auto"/>
        </w:rPr>
      </w:pPr>
      <w:r>
        <w:rPr>
          <w:rFonts w:ascii="Arial" w:cs="Arial" w:eastAsia="Arial" w:hAnsi="Arial"/>
          <w:sz w:val="19"/>
          <w:szCs w:val="19"/>
          <w:color w:val="auto"/>
        </w:rPr>
        <w:t>Regulations Section 1.704-1(b)(2)(iv)(m)(4) to be taken into account in determining Capital Accounts as a result of a distribution other than in liquidation of a Member’s interest in the Company or as a result of a Transfer of a Member’s interest in the Company, as the case may be, the amount of such adjustment shall be treated as an item of gain (if the adjustment increases the basis of such asset) or loss (if the adjustment decreases the basis of such asset) from the disposition of the asset and shall be taken into account for purposes of computing Net Income and Net Loss. (B) To the extent an adjustment to the adjusted tax basis of any Company asset pursuant to Sections 734(b) or 743(b) of the Code is required, pursuant to Treasury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such Members in accordance with their interests in the Company in the event Treasury Regulations Section 1.704-1(b)(2)(iv)(m)(2) applies, or to the Member to whom such distribution was made in the event Treasury Regulations Section 1.704-1(b)(2)(iv)(m)(4) applies.</w:t>
      </w:r>
    </w:p>
    <w:p>
      <w:pPr>
        <w:spacing w:after="0" w:line="164" w:lineRule="exact"/>
        <w:rPr>
          <w:sz w:val="20"/>
          <w:szCs w:val="20"/>
          <w:color w:val="auto"/>
        </w:rPr>
      </w:pPr>
    </w:p>
    <w:p>
      <w:pPr>
        <w:jc w:val="both"/>
        <w:ind w:firstLine="1505"/>
        <w:spacing w:after="0" w:line="304" w:lineRule="auto"/>
        <w:tabs>
          <w:tab w:leader="none" w:pos="197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Curative Allocations</w:t>
      </w:r>
      <w:r>
        <w:rPr>
          <w:rFonts w:ascii="Arial" w:cs="Arial" w:eastAsia="Arial" w:hAnsi="Arial"/>
          <w:sz w:val="19"/>
          <w:szCs w:val="19"/>
          <w:color w:val="auto"/>
        </w:rPr>
        <w:t>. The allocations set forth in Section 5.04(b)(i) through Section 5.04(b)(vi) and</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5.04(d) (the “</w:t>
      </w:r>
      <w:r>
        <w:rPr>
          <w:rFonts w:ascii="Arial" w:cs="Arial" w:eastAsia="Arial" w:hAnsi="Arial"/>
          <w:sz w:val="19"/>
          <w:szCs w:val="19"/>
          <w:b w:val="1"/>
          <w:bCs w:val="1"/>
          <w:color w:val="auto"/>
        </w:rPr>
        <w:t>Regulatory Allocations</w:t>
      </w:r>
      <w:r>
        <w:rPr>
          <w:rFonts w:ascii="Arial" w:cs="Arial" w:eastAsia="Arial" w:hAnsi="Arial"/>
          <w:sz w:val="19"/>
          <w:szCs w:val="19"/>
          <w:color w:val="auto"/>
        </w:rPr>
        <w:t>”)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or deduction pursuant to this Section 5.04(c). Therefore, notwithstanding any other provision of this Article 5 (other than the Regulatory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Section 5.04.</w:t>
      </w:r>
    </w:p>
    <w:p>
      <w:pPr>
        <w:spacing w:after="0" w:line="155" w:lineRule="exact"/>
        <w:rPr>
          <w:rFonts w:ascii="Arial" w:cs="Arial" w:eastAsia="Arial" w:hAnsi="Arial"/>
          <w:sz w:val="19"/>
          <w:szCs w:val="19"/>
          <w:color w:val="auto"/>
        </w:rPr>
      </w:pPr>
    </w:p>
    <w:p>
      <w:pPr>
        <w:jc w:val="both"/>
        <w:ind w:firstLine="1505"/>
        <w:spacing w:after="0" w:line="271" w:lineRule="auto"/>
        <w:tabs>
          <w:tab w:leader="none" w:pos="1943" w:val="left"/>
        </w:tabs>
        <w:numPr>
          <w:ilvl w:val="0"/>
          <w:numId w:val="99"/>
        </w:numPr>
        <w:rPr>
          <w:rFonts w:ascii="Arial" w:cs="Arial" w:eastAsia="Arial" w:hAnsi="Arial"/>
          <w:sz w:val="21"/>
          <w:szCs w:val="21"/>
          <w:color w:val="auto"/>
        </w:rPr>
      </w:pPr>
      <w:r>
        <w:rPr>
          <w:rFonts w:ascii="Arial" w:cs="Arial" w:eastAsia="Arial" w:hAnsi="Arial"/>
          <w:sz w:val="21"/>
          <w:szCs w:val="21"/>
          <w:i w:val="1"/>
          <w:iCs w:val="1"/>
          <w:color w:val="auto"/>
        </w:rPr>
        <w:t>Loss Limitation</w:t>
      </w:r>
      <w:r>
        <w:rPr>
          <w:rFonts w:ascii="Arial" w:cs="Arial" w:eastAsia="Arial" w:hAnsi="Arial"/>
          <w:sz w:val="21"/>
          <w:szCs w:val="21"/>
          <w:color w:val="auto"/>
        </w:rPr>
        <w:t>. Net Loss (or individual items of loss or deduction) allocated pursuant to Section 5.04</w:t>
      </w:r>
      <w:r>
        <w:rPr>
          <w:rFonts w:ascii="Arial" w:cs="Arial" w:eastAsia="Arial" w:hAnsi="Arial"/>
          <w:sz w:val="21"/>
          <w:szCs w:val="21"/>
          <w:i w:val="1"/>
          <w:iCs w:val="1"/>
          <w:color w:val="auto"/>
        </w:rPr>
        <w:t xml:space="preserve"> </w:t>
      </w:r>
      <w:r>
        <w:rPr>
          <w:rFonts w:ascii="Arial" w:cs="Arial" w:eastAsia="Arial" w:hAnsi="Arial"/>
          <w:sz w:val="21"/>
          <w:szCs w:val="21"/>
          <w:color w:val="auto"/>
        </w:rPr>
        <w:t>hereof shall not exceed the maximum amount of Net Loss (or individual items of loss or deduction) that can be allocated without causing any Member to have an Adjusted Capital Account Deficit at the end of any Fiscal Year. In the event some but not all of the Members would have Adjusted Capital Account Deficits as a consequence of an allocation of Net Loss (or individual items of loss or deduction) pursuant to Section 5.04 hereof, the limitation set forth in this Section 5.04(d) shall be applied on a Member by Member basis and Net Loss (or individual items of loss or deduction) not allocable to any Member as a result of such limitation shall be allocated to the other Members in accordance with the positive balances in such Member’s Capital Accounts so as to allocate the maximum permissible Net Loss to each Member under Treasury Regulations Section 1.704-1(b)(2)(ii)(d). Any reallocation of Net Loss pursuant to this (d) shall be subject to chargeback pursuant to the curative allocation provision of Section 5.04(c).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2" w:name="page123"/>
    <w:bookmarkEnd w:id="122"/>
    <w:p>
      <w:pPr>
        <w:ind w:left="860"/>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Other Allocation Rules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61" w:lineRule="auto"/>
        <w:tabs>
          <w:tab w:leader="none" w:pos="1929"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Interim Allocations Due to Changes in Interests</w:t>
      </w:r>
      <w:r>
        <w:rPr>
          <w:rFonts w:ascii="Arial" w:cs="Arial" w:eastAsia="Arial" w:hAnsi="Arial"/>
          <w:sz w:val="22"/>
          <w:szCs w:val="22"/>
          <w:color w:val="auto"/>
        </w:rPr>
        <w:t>. For any fiscal year during which a Member’s interest in</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is assigned by such Member (or by an assignee or successor in interest to a Member), the portion of the Net Income and Net Loss of the Company that is allocable in respect of such Member’s interest shall be apportioned between the assignor and the assignee of such Member’s interest using, to the extent practicable, the closing of the books method under Section 706 of the Code and the Treasury Regulations thereunder.</w:t>
      </w:r>
    </w:p>
    <w:p>
      <w:pPr>
        <w:spacing w:after="0" w:line="190" w:lineRule="exact"/>
        <w:rPr>
          <w:rFonts w:ascii="Arial" w:cs="Arial" w:eastAsia="Arial" w:hAnsi="Arial"/>
          <w:sz w:val="22"/>
          <w:szCs w:val="22"/>
          <w:color w:val="auto"/>
        </w:rPr>
      </w:pPr>
    </w:p>
    <w:p>
      <w:pPr>
        <w:jc w:val="both"/>
        <w:ind w:firstLine="1505"/>
        <w:spacing w:after="0" w:line="301" w:lineRule="auto"/>
        <w:tabs>
          <w:tab w:leader="none" w:pos="1943"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Tax Allocations</w:t>
      </w:r>
      <w:r>
        <w:rPr>
          <w:rFonts w:ascii="Arial" w:cs="Arial" w:eastAsia="Arial" w:hAnsi="Arial"/>
          <w:sz w:val="19"/>
          <w:szCs w:val="19"/>
          <w:color w:val="auto"/>
        </w:rPr>
        <w:t>: Code Section 704(c). In accordance with Section 704(c) of the Code and the Treasury</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Regulations thereunder, income, gain, loss, and deduction with respect to any Property contributed to the capital of the Company and with respect to reverse Code Section 704(c) allocations described in Treasury Regulations 1.704-3(a)(6) shall, solely for tax purposes, be allocated among the Members so as to take account of any variation between the adjusted basis of such Property to the Company for federal income tax purposes and its initial Carrying Value or its Carrying Value determined pursuant to Treasury Regulation 1.704-1(b)(2)(iv)(f) (computed in accordance with the definition of Carrying Value) using the traditional allocation method under Treasury Regulation 1.704-3(b) or such other allocation method with respect to existing allocation methods or reverse allocation methods under Section 704(c) of the Code that are already applicable with respect to the Company. Any elections or other decisions relating to such allocations shall be made by the Managing Member in any manner that reasonably reflects the purpose and intention of this Agreement. Allocations pursuant to this Section 5.05(b), Section 704(c) of the Code (and the principles thereof), and Treasury Regulation 1.704-1(b)(4)(i) are solely for purposes of federal, state, and local taxes and shall not affect, or in any way be taken into account in computing, any Member’s Capital Account or share of Net Income, Net Loss, other items, or distributions pursuant to any provision of this Agreement (other than with respect to Tax Distributions).</w:t>
      </w:r>
    </w:p>
    <w:p>
      <w:pPr>
        <w:spacing w:after="0" w:line="164" w:lineRule="exact"/>
        <w:rPr>
          <w:sz w:val="20"/>
          <w:szCs w:val="20"/>
          <w:color w:val="auto"/>
        </w:rPr>
      </w:pPr>
    </w:p>
    <w:p>
      <w:pPr>
        <w:jc w:val="both"/>
        <w:ind w:firstLine="843"/>
        <w:spacing w:after="0" w:line="301"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Tax Withholding</w:t>
      </w:r>
      <w:r>
        <w:rPr>
          <w:rFonts w:ascii="Arial" w:cs="Arial" w:eastAsia="Arial" w:hAnsi="Arial"/>
          <w:sz w:val="19"/>
          <w:szCs w:val="19"/>
          <w:color w:val="auto"/>
        </w:rPr>
        <w:t>. Each Member hereby authorizes the Company to withhold and to pay over any taxes required under applicable law to be withheld by the Company with respect to any amount payable, distributable or allocable by the Company to such Member; if and to the extent that the Company shall be required to withhold any such taxes, such Member shall be deemed for all purposes of this Agreement to have received a payment from the Company as of the time such withholding is required to be paid, which payment shall be deemed to be a distribution to such Member, provided that if the Managing Member reasonably determines that such Member would not be expected to receive any future distributions in the amount of such payment, the Member shall pay to the Company the amount by which such payment exceeds such expected future distributions. The withholdings referred to in this Section 5.06 shall be made at the maximum applicable statutory rate under applicable tax law unless the Company receives documentation, reasonably satisfactory to the Managing Member, to the effect that a lower rate is applicable, or that no withholding is applicable. To the fullest extent permitted by law, each Member hereby agrees to indemnify and hold harmless the Company and the other Members from and against any liability for taxes, penalties, additions to tax or interest with respect to income attributable to or distributions or other payments to such Member. The obligations of a Member set forth in this Section 5.06 shall survive the withdrawal of a Member from the Company or any Transfer of a Member’s Units.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ARTICLE 6</w:t>
      </w:r>
    </w:p>
    <w:p>
      <w:pPr>
        <w:spacing w:after="0" w:line="28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CERTAIN TAX MATTERS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Tax Matters Representative.</w:t>
      </w:r>
    </w:p>
    <w:p>
      <w:pPr>
        <w:spacing w:after="0" w:line="233" w:lineRule="exact"/>
        <w:rPr>
          <w:sz w:val="20"/>
          <w:szCs w:val="20"/>
          <w:color w:val="auto"/>
        </w:rPr>
      </w:pPr>
    </w:p>
    <w:p>
      <w:pPr>
        <w:jc w:val="both"/>
        <w:ind w:firstLine="1505"/>
        <w:spacing w:after="0" w:line="300" w:lineRule="auto"/>
        <w:tabs>
          <w:tab w:leader="none" w:pos="192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Managing Member shall cause the Company to take all necessary actions required by Law to designate Pubco as the “tax matters partner” within the meaning given to such term in Section 6231 of the Code (as in effect prior to the repeal of such section pursuant to the Bipartisan Budget Act of 2015) with respect to any taxable year of the Company beginning on or before December 31, 2017. The Managing Member shall further cause the Company to take all necessary actions required by Law to designate Pubco as the “partnership representative” within the meaning of Section 6223(a) of the Code with respect to any taxable year of the Company beginning after December 31, 2017, and if the “partnership representative” is an entity, the “partnership representative” is hereby authorized to appoint a “designated individual” within the meaning of Treasury Regulation Section 301.6223-1(b) (in such capacities, collectively, the “</w:t>
      </w:r>
      <w:r>
        <w:rPr>
          <w:rFonts w:ascii="Arial" w:cs="Arial" w:eastAsia="Arial" w:hAnsi="Arial"/>
          <w:sz w:val="19"/>
          <w:szCs w:val="19"/>
          <w:b w:val="1"/>
          <w:bCs w:val="1"/>
          <w:color w:val="auto"/>
        </w:rPr>
        <w:t>Tax Matters Representative</w:t>
      </w:r>
      <w:r>
        <w:rPr>
          <w:rFonts w:ascii="Arial" w:cs="Arial" w:eastAsia="Arial" w:hAnsi="Arial"/>
          <w:sz w:val="19"/>
          <w:szCs w:val="19"/>
          <w:color w:val="auto"/>
        </w:rPr>
        <w:t>”). The Tax Matters Representative shall have all of the rights, duties, powers and obligations provided for in the Code with respect to the Company. The Company shall not be obligated to pay any fees or other compensation to the Tax Matters Representative in its capacity as such, but the Company shall reimburse the Tax Matters Representative for all reasonable out-of-pocket costs and expenses (including attorneys’ and other professional fees) incurred by it in its capacity as Tax Matters Representative. Each Member agrees to cooperate with the Company and the Tax Matters Representative and to do or refrain from doing any or all things reasonably requested by the Company or the Tax Matters Representative in connection with any examination of the Company’s affairs by any federal, state, or local tax authorities, including resulting administrative and judicial proceedings. The Company shall defend, indemnify, and hold harmless the Tax Matters Representative against any and all liabilities sustained or incurred as a result of any act or decision concerning Company tax matters and within the scope of such Member’s responsibilities as Tax Matters Representative, so long as such act or decision was done or made in good faith and does not constitute gross negligence or willful misconduct.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505"/>
        <w:spacing w:after="0" w:line="273" w:lineRule="auto"/>
        <w:tabs>
          <w:tab w:leader="none" w:pos="192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the Company pays an imputed underpayment pursuant to Section 6225 of the Code or any similar provision of state, local or non-U.S. law, to the extent possible, the portion thereof attributable to a Member shall be treated as a withholding tax with respect to such Partner under Section 5.06. To the extent that such portion of an imputed underpayment cannot be withheld from a current distribution, the applicable Member (or former Member) shall be liable to the Company for the amount that cannot be so offset. The Members acknowledge that the Company may make the election described in Section 6226 of the Code and any analogous election under state, local or non-U.S. law to the extent such election is available under applicable law, instead of paying an imputed underpayment.</w:t>
      </w:r>
    </w:p>
    <w:p>
      <w:pPr>
        <w:spacing w:after="0" w:line="183"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Section 754 Elections</w:t>
      </w:r>
      <w:r>
        <w:rPr>
          <w:rFonts w:ascii="Arial" w:cs="Arial" w:eastAsia="Arial" w:hAnsi="Arial"/>
          <w:sz w:val="22"/>
          <w:szCs w:val="22"/>
          <w:color w:val="auto"/>
        </w:rPr>
        <w:t>. The Company shall make, and shall cause any Subsidiary of the Company that is treated as a partnership for U.S. federal income tax purposes to make, a timely election under Section 754 of the Code (and a corresponding election under state and local law) effective starting with the taxable year including the IPO, and the Managing Member shall not take any action to revoke such elections.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ARTICLE 7</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OF THE COMPANY</w:t>
      </w:r>
    </w:p>
    <w:p>
      <w:pPr>
        <w:spacing w:after="0" w:line="239" w:lineRule="exact"/>
        <w:rPr>
          <w:sz w:val="20"/>
          <w:szCs w:val="20"/>
          <w:color w:val="auto"/>
        </w:rPr>
      </w:pPr>
    </w:p>
    <w:p>
      <w:pPr>
        <w:jc w:val="both"/>
        <w:ind w:firstLine="843"/>
        <w:spacing w:after="0" w:line="301"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Management by the Managing Member</w:t>
      </w:r>
      <w:r>
        <w:rPr>
          <w:rFonts w:ascii="Arial" w:cs="Arial" w:eastAsia="Arial" w:hAnsi="Arial"/>
          <w:sz w:val="19"/>
          <w:szCs w:val="19"/>
          <w:color w:val="auto"/>
        </w:rPr>
        <w:t>. Except as otherwise specifically set forth in this Agreement, the Managing Member shall be deemed to be a “manager” for purposes of applying the Delaware Act. Except as expressly provided in this Agreement or the Delaware Act, the day-to-day business and affairs of the Company and its Subsidiaries shall be managed, operated and Controlled by the Managing Member in accordance with the terms of this Agreement and no other Members shall have management authority or rights over the Company or its Subsidiaries. The Managing Member is, to the extent of its rights and powers set forth in this Agreement, an agent of the Company for the purpose of the Company’s and its Subsidiaries’ business, and the actions of the Managing Member taken in accordance with such rights and powers, shall bind the Company (and no other Members shall have such right). Except as expressly provided in this Agreement, the Managing Member shall have all necessary powers to carry out the purposes, business, and objectives of the Company and its Subsidiaries. The Managing Member shall have the power and authority to delegate to one or more other Persons the Managing Member’s rights and powers to manage and Control the business and affairs of the Company, including to delegate to agents and employees of a Member or the Company (including any officers or Subsidiary thereof), and to delegate by a management agreement or another agreement with, or otherwise to, other Persons. The Managing Member may authorize any Person (including any Member or officer of the Company) to enter into and perform any document on behalf of the Company or any Subsidiary.</w:t>
      </w:r>
    </w:p>
    <w:p>
      <w:pPr>
        <w:spacing w:after="0" w:line="160" w:lineRule="exact"/>
        <w:rPr>
          <w:sz w:val="20"/>
          <w:szCs w:val="20"/>
          <w:color w:val="auto"/>
        </w:rPr>
      </w:pPr>
    </w:p>
    <w:p>
      <w:pPr>
        <w:jc w:val="both"/>
        <w:ind w:firstLine="843"/>
        <w:spacing w:after="0" w:line="305"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Withdrawal of the Managing Member</w:t>
      </w:r>
      <w:r>
        <w:rPr>
          <w:rFonts w:ascii="Arial" w:cs="Arial" w:eastAsia="Arial" w:hAnsi="Arial"/>
          <w:sz w:val="19"/>
          <w:szCs w:val="19"/>
          <w:color w:val="auto"/>
        </w:rPr>
        <w:t>. Pubco may withdraw as the Managing Member and appoint as its successor, at any time upon written notice to the Company, (i) any wholly-owned Subsidiary of Pubco, (ii) any Person of which Pubco is a wholly-owned Subsidiary, (iii) any Person into which Pubco is merged or consolidated or (iv) any transferee of all or substantially all of the assets of Pubco, which withdrawal and replacement shall be effective upon the delivery of such notice. No appointment of a Person other than Pubco (or its successor, as applicable) as Managing Member shall be effective unless Pubco (or its successor, as applicable) and the new Managing Member (as applicable) provide all other Members with contractual rights, directly enforceable by such other Members against the new Managing Member, to cause the new Managing Member to comply with all the Managing Member’s obligations under this Agreement and the Reorganization Documents.</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Decisions by the Members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6" w:lineRule="auto"/>
        <w:tabs>
          <w:tab w:leader="none" w:pos="192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Other than the Managing Member, the Members shall take no part in the management of the Company’s business and shall transact no business for the Company and shall have no power to act for or to bind the Company; provided, however, that the Company may engage any Member or principal, partner, member, shareholder or interest holder thereof as an employee, independent contractor or consultant to the Company, in which event the duties and liabilities of such individual or firm with respect to the Company as an employee, independent contractor or consultant shall be governed by the terms of such engagement with the Company. The Managing Member shall not (i) engage in any activity unrelated to the business or management of the Company and its Subsidiaries or (ii) own any material assets other than Units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5" w:name="page126"/>
    <w:bookmarkEnd w:id="125"/>
    <w:p>
      <w:pPr>
        <w:spacing w:after="0" w:line="276" w:lineRule="auto"/>
        <w:rPr>
          <w:sz w:val="20"/>
          <w:szCs w:val="20"/>
          <w:color w:val="auto"/>
        </w:rPr>
      </w:pPr>
      <w:r>
        <w:rPr>
          <w:rFonts w:ascii="Arial" w:cs="Arial" w:eastAsia="Arial" w:hAnsi="Arial"/>
          <w:sz w:val="22"/>
          <w:szCs w:val="22"/>
          <w:color w:val="auto"/>
        </w:rPr>
        <w:t>and/or any cash or other property or assets distributed by, or otherwise received from, the Company, without the prior written consent of the majority-in-interest of the Non-Pubco Members.</w:t>
      </w:r>
    </w:p>
    <w:p>
      <w:pPr>
        <w:spacing w:after="0" w:line="174" w:lineRule="exact"/>
        <w:rPr>
          <w:sz w:val="20"/>
          <w:szCs w:val="20"/>
          <w:color w:val="auto"/>
        </w:rPr>
      </w:pPr>
    </w:p>
    <w:p>
      <w:pPr>
        <w:jc w:val="both"/>
        <w:ind w:firstLine="1505"/>
        <w:spacing w:after="0" w:line="300" w:lineRule="auto"/>
        <w:tabs>
          <w:tab w:leader="none" w:pos="192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Except as expressly provided herein, the Members shall not have the power or authority to vote, approve or consent to any matter or action taken by the Company. Except as otherwise provided herein, any proposed matter or action subject to the vote, approval or consent of the Members shall require the approval of a majority in interest of the Members or such class of Members, as the case may be, by (x) resolution at a duly convened meeting of the Members, or (y) written consent of the Members. Except as expressly provided herein, all Members shall vote together as a single class on any matter subject to the vote, approval or consent of the Members. In the case of any such approval, a majority in interest of the Members may call a meeting of the Members at such time and place or by means of telephone or other communications facility that permits all persons participating in such meeting to hear and speak to each other for the purpose of a vote thereon. Notice of any such meeting shall be required, which notice shall include a brief description of the action or actions to be considered by the Members. Unless waived by any such Member in writing, notice of any such meeting shall be given to each Member at least two Business Days (2) days prior thereto. Attendance or participation of a Member at a meeting shall constitute a waiver of notice of such meeting, except when such Member attends or participates in the meeting for the express purpose of objecting at the beginning thereof to the transaction of any business because the meeting is not properly called or convened. Any action required or permitted to be taken at any meeting of the Members may be taken without a meeting, if a consent in writing, setting forth the actions so taken, shall be signed by Members sufficient to approve such action pursuant to this Section 7.03(b). A copy of any such consent in writing will be provided to the Members promptly thereafter.</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Duties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97" w:lineRule="auto"/>
        <w:tabs>
          <w:tab w:leader="none" w:pos="1929"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parties acknowledge that the Managing Member will take action through its board of directors and officers, and that the members of the Managing Member’s board of directors and its officers will owe fiduciary duties to the stockholders of the Managing Member. The Managing Member will use all commercially reasonable and appropriate efforts and means, as determined in good faith by the Managing Member, to minimize any conflict of interest between the Members, on the one hand, and the stockholders of the Managing Member, on the other hand, and to effectuate any transaction that involves or affects any of the Company, the Managing Member, the Members and/or the stockholders of the Managing Member in a manner that does not (i) advantage or disadvantage the Members or their interests relative to the stockholders of the Managing Member,</w:t>
      </w:r>
    </w:p>
    <w:p>
      <w:pPr>
        <w:spacing w:after="0" w:line="1" w:lineRule="exact"/>
        <w:rPr>
          <w:rFonts w:ascii="Arial" w:cs="Arial" w:eastAsia="Arial" w:hAnsi="Arial"/>
          <w:sz w:val="19"/>
          <w:szCs w:val="19"/>
          <w:color w:val="auto"/>
        </w:rPr>
      </w:pPr>
    </w:p>
    <w:p>
      <w:pPr>
        <w:jc w:val="both"/>
        <w:ind w:firstLine="8"/>
        <w:spacing w:after="0" w:line="260" w:lineRule="auto"/>
        <w:tabs>
          <w:tab w:leader="none" w:pos="32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advantage or disadvantage the stockholders of the Managing Member relative to the Members or (iii) treats the Members and the stockholders of the Managing Member differently; provided that in the event of a conflict between the interests of the stockholders of the Managing Member and the interests of the Members other than the Managing Member, such other Members agree that the Managing Member shall discharge its fiduciary duties to such other Members by acting in the best interests of the Managing Member’s stockholders.</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Officers</w:t>
      </w:r>
      <w:r>
        <w:rPr>
          <w:rFonts w:ascii="Arial" w:cs="Arial" w:eastAsia="Arial" w:hAnsi="Arial"/>
          <w:sz w:val="22"/>
          <w:szCs w:val="22"/>
          <w:color w:val="auto"/>
        </w:rPr>
        <w:t>.</w:t>
      </w:r>
    </w:p>
    <w:p>
      <w:pPr>
        <w:spacing w:after="0" w:line="227" w:lineRule="exact"/>
        <w:rPr>
          <w:sz w:val="20"/>
          <w:szCs w:val="20"/>
          <w:color w:val="auto"/>
        </w:rPr>
      </w:pPr>
    </w:p>
    <w:p>
      <w:pPr>
        <w:ind w:firstLine="1505"/>
        <w:spacing w:after="0" w:line="282" w:lineRule="auto"/>
        <w:tabs>
          <w:tab w:leader="none" w:pos="1943"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Appointment of Officers</w:t>
      </w:r>
      <w:r>
        <w:rPr>
          <w:rFonts w:ascii="Arial" w:cs="Arial" w:eastAsia="Arial" w:hAnsi="Arial"/>
          <w:sz w:val="22"/>
          <w:szCs w:val="22"/>
          <w:color w:val="auto"/>
        </w:rPr>
        <w:t>. The Managing Member may appoint individuals as officers (“</w:t>
      </w:r>
      <w:r>
        <w:rPr>
          <w:rFonts w:ascii="Arial" w:cs="Arial" w:eastAsia="Arial" w:hAnsi="Arial"/>
          <w:sz w:val="22"/>
          <w:szCs w:val="22"/>
          <w:b w:val="1"/>
          <w:bCs w:val="1"/>
          <w:color w:val="auto"/>
        </w:rPr>
        <w:t>Officers</w:t>
      </w:r>
      <w:r>
        <w:rPr>
          <w:rFonts w:ascii="Arial" w:cs="Arial" w:eastAsia="Arial" w:hAnsi="Arial"/>
          <w:sz w:val="22"/>
          <w:szCs w:val="22"/>
          <w:color w:val="auto"/>
        </w:rPr>
        <w: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which may include such officers as the Managing Member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6" w:name="page127"/>
    <w:bookmarkEnd w:id="126"/>
    <w:p>
      <w:pPr>
        <w:jc w:val="both"/>
        <w:spacing w:after="0" w:line="266" w:lineRule="auto"/>
        <w:rPr>
          <w:sz w:val="20"/>
          <w:szCs w:val="20"/>
          <w:color w:val="auto"/>
        </w:rPr>
      </w:pPr>
      <w:r>
        <w:rPr>
          <w:rFonts w:ascii="Arial" w:cs="Arial" w:eastAsia="Arial" w:hAnsi="Arial"/>
          <w:sz w:val="22"/>
          <w:szCs w:val="22"/>
          <w:color w:val="auto"/>
        </w:rPr>
        <w:t>determines are necessary and appropriate. No Officer need be a Member. An individual may be appointed to more than one office. If an Officer is also an officer of the Managing Member, then Section 7.04 shall apply to such Officer in the same manner as it applies to the Managing Member.</w:t>
      </w:r>
    </w:p>
    <w:p>
      <w:pPr>
        <w:spacing w:after="0" w:line="185" w:lineRule="exact"/>
        <w:rPr>
          <w:sz w:val="20"/>
          <w:szCs w:val="20"/>
          <w:color w:val="auto"/>
        </w:rPr>
      </w:pPr>
    </w:p>
    <w:p>
      <w:pPr>
        <w:ind w:firstLine="1505"/>
        <w:spacing w:after="0" w:line="276" w:lineRule="auto"/>
        <w:tabs>
          <w:tab w:leader="none" w:pos="1929"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Authority of Officers</w:t>
      </w:r>
      <w:r>
        <w:rPr>
          <w:rFonts w:ascii="Arial" w:cs="Arial" w:eastAsia="Arial" w:hAnsi="Arial"/>
          <w:sz w:val="22"/>
          <w:szCs w:val="22"/>
          <w:color w:val="auto"/>
        </w:rPr>
        <w:t>. The Officers shall have the duties, rights, powers and authority as may be prescribed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Managing Member from time to time.</w:t>
      </w:r>
    </w:p>
    <w:p>
      <w:pPr>
        <w:spacing w:after="0" w:line="174" w:lineRule="exact"/>
        <w:rPr>
          <w:rFonts w:ascii="Arial" w:cs="Arial" w:eastAsia="Arial" w:hAnsi="Arial"/>
          <w:sz w:val="22"/>
          <w:szCs w:val="22"/>
          <w:color w:val="auto"/>
        </w:rPr>
      </w:pPr>
    </w:p>
    <w:p>
      <w:pPr>
        <w:jc w:val="both"/>
        <w:ind w:firstLine="1505"/>
        <w:spacing w:after="0" w:line="259" w:lineRule="auto"/>
        <w:tabs>
          <w:tab w:leader="none" w:pos="1970"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Removal, Resignation and Filling of Vacancy of Officers</w:t>
      </w:r>
      <w:r>
        <w:rPr>
          <w:rFonts w:ascii="Arial" w:cs="Arial" w:eastAsia="Arial" w:hAnsi="Arial"/>
          <w:sz w:val="22"/>
          <w:szCs w:val="22"/>
          <w:color w:val="auto"/>
        </w:rPr>
        <w:t>. The Managing Member may remove any</w:t>
      </w:r>
      <w:r>
        <w:rPr>
          <w:rFonts w:ascii="Arial" w:cs="Arial" w:eastAsia="Arial" w:hAnsi="Arial"/>
          <w:sz w:val="22"/>
          <w:szCs w:val="22"/>
          <w:i w:val="1"/>
          <w:iCs w:val="1"/>
          <w:color w:val="auto"/>
        </w:rPr>
        <w:t xml:space="preserve"> </w:t>
      </w:r>
      <w:r>
        <w:rPr>
          <w:rFonts w:ascii="Arial" w:cs="Arial" w:eastAsia="Arial" w:hAnsi="Arial"/>
          <w:sz w:val="22"/>
          <w:szCs w:val="22"/>
          <w:color w:val="auto"/>
        </w:rPr>
        <w:t>Officer, for any reason or for no reason, at any time. Any Officer may resign at any time by giving written notice to the Company, and such resignation shall take effect at the date of the receipt of that notice or any later time specified in that notice; provided that,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by the Managing Member.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7"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TRANSFERS OF INTERESTS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Restrictions on Transfers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271" w:lineRule="auto"/>
        <w:tabs>
          <w:tab w:leader="none" w:pos="192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Except as expressly permitted by Section 8.02, and subject to Section 8.01(b), Section 8.01(c), Section 8.01(d) and Section 8.01(e), any underwriter lock-up agreement applicable to such Member and/or any other agreement between such Member and the Company, Pubco or any of their Controlled Affiliates, without the prior written approval of the Managing Member, no Member shall directly or indirectly Transfer all or any part of its Units or any right or economic interest pertaining thereto, including the right to vote or consent on any matter or to receive or have any economic interest in distributions or advances from the Company pursuant thereto, to any Person. Any such Transfer which is not in compliance with the provisions of this Agreement shall be deemed a Transfer by such Member of Units in violation of this Agreement (and a breach of this Agreement by such Member) and shall be null and void ab initio. Notwithstanding anything to the contrary in this Article 8, (i) Section 10.03 of this Agreement shall govern the exchange of LLC Units for shares of Class A Common Stock, and an exchange pursuant to, and in accordance with, Section 10.03 of this Agreement shall not be considered a “</w:t>
      </w:r>
      <w:r>
        <w:rPr>
          <w:rFonts w:ascii="Arial" w:cs="Arial" w:eastAsia="Arial" w:hAnsi="Arial"/>
          <w:sz w:val="21"/>
          <w:szCs w:val="21"/>
          <w:b w:val="1"/>
          <w:bCs w:val="1"/>
          <w:color w:val="auto"/>
        </w:rPr>
        <w:t>Transfer</w:t>
      </w:r>
      <w:r>
        <w:rPr>
          <w:rFonts w:ascii="Arial" w:cs="Arial" w:eastAsia="Arial" w:hAnsi="Arial"/>
          <w:sz w:val="21"/>
          <w:szCs w:val="21"/>
          <w:color w:val="auto"/>
        </w:rPr>
        <w:t>” for purposes of this Agreement, and (ii) any other Transfer of shares of Class A Common Stock shall not be considered a “</w:t>
      </w:r>
      <w:r>
        <w:rPr>
          <w:rFonts w:ascii="Arial" w:cs="Arial" w:eastAsia="Arial" w:hAnsi="Arial"/>
          <w:sz w:val="21"/>
          <w:szCs w:val="21"/>
          <w:b w:val="1"/>
          <w:bCs w:val="1"/>
          <w:color w:val="auto"/>
        </w:rPr>
        <w:t>Transfer</w:t>
      </w:r>
      <w:r>
        <w:rPr>
          <w:rFonts w:ascii="Arial" w:cs="Arial" w:eastAsia="Arial" w:hAnsi="Arial"/>
          <w:sz w:val="21"/>
          <w:szCs w:val="21"/>
          <w:color w:val="auto"/>
        </w:rPr>
        <w:t>” for purposes of this Agreement.</w:t>
      </w:r>
    </w:p>
    <w:p>
      <w:pPr>
        <w:spacing w:after="0" w:line="183" w:lineRule="exact"/>
        <w:rPr>
          <w:rFonts w:ascii="Arial" w:cs="Arial" w:eastAsia="Arial" w:hAnsi="Arial"/>
          <w:sz w:val="21"/>
          <w:szCs w:val="21"/>
          <w:color w:val="auto"/>
        </w:rPr>
      </w:pPr>
    </w:p>
    <w:p>
      <w:pPr>
        <w:ind w:right="20" w:firstLine="1505"/>
        <w:spacing w:after="0" w:line="276" w:lineRule="auto"/>
        <w:tabs>
          <w:tab w:leader="none" w:pos="192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Except as otherwise expressly provided herein, it shall be a condition precedent to any Transfer otherwise permitted or approved pursuant to this Article 8 that:</w:t>
      </w:r>
    </w:p>
    <w:p>
      <w:pPr>
        <w:spacing w:after="0" w:line="174" w:lineRule="exact"/>
        <w:rPr>
          <w:rFonts w:ascii="Arial" w:cs="Arial" w:eastAsia="Arial" w:hAnsi="Arial"/>
          <w:sz w:val="22"/>
          <w:szCs w:val="22"/>
          <w:color w:val="auto"/>
        </w:rPr>
      </w:pPr>
    </w:p>
    <w:p>
      <w:pPr>
        <w:ind w:left="2520" w:hanging="266"/>
        <w:spacing w:after="0"/>
        <w:tabs>
          <w:tab w:leader="none" w:pos="252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Transferor shall have provided to the Company prior notice of such Transfer; and</w:t>
      </w:r>
    </w:p>
    <w:p>
      <w:pPr>
        <w:spacing w:after="0" w:line="233" w:lineRule="exact"/>
        <w:rPr>
          <w:rFonts w:ascii="Arial" w:cs="Arial" w:eastAsia="Arial" w:hAnsi="Arial"/>
          <w:sz w:val="22"/>
          <w:szCs w:val="22"/>
          <w:color w:val="auto"/>
        </w:rPr>
      </w:pPr>
    </w:p>
    <w:p>
      <w:pPr>
        <w:ind w:left="760" w:firstLine="1494"/>
        <w:spacing w:after="0" w:line="276" w:lineRule="auto"/>
        <w:tabs>
          <w:tab w:leader="none" w:pos="258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Transfer shall comply with all Applicable Laws and the Managing Member shall be reasonably satisfied that such Transfer will not result in a violation of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7" w:name="page128"/>
    <w:bookmarkEnd w:id="127"/>
    <w:p>
      <w:pPr>
        <w:jc w:val="both"/>
        <w:ind w:firstLine="1505"/>
        <w:spacing w:after="0" w:line="259" w:lineRule="auto"/>
        <w:tabs>
          <w:tab w:leader="none" w:pos="19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no Member shall directly or indirectly Transfer all or any part of its Units or any right or economic interest pertaining thereto if such Transfer, in the reasonable discretion of the Managing Member, would (i) materially increase the risk that the Company would be classified as a “publicly traded partnership” as that term is defined in Section 7704 of the Code and Regulations promulgated thereunder or (ii) reasonably be expected to create a material risk that the Company would have more than one hundred (100) partners, within the meaning of Treasury Regulations Section 1.7704-1(h)(1) (determined pursuant to the rules of Treasury Regulations Section 1.7704-1(h)(3)).</w:t>
      </w:r>
    </w:p>
    <w:p>
      <w:pPr>
        <w:spacing w:after="0" w:line="195" w:lineRule="exact"/>
        <w:rPr>
          <w:rFonts w:ascii="Arial" w:cs="Arial" w:eastAsia="Arial" w:hAnsi="Arial"/>
          <w:sz w:val="22"/>
          <w:szCs w:val="22"/>
          <w:color w:val="auto"/>
        </w:rPr>
      </w:pPr>
    </w:p>
    <w:p>
      <w:pPr>
        <w:ind w:right="60" w:firstLine="1505"/>
        <w:spacing w:after="0" w:line="276" w:lineRule="auto"/>
        <w:tabs>
          <w:tab w:leader="none" w:pos="19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Transfer of Units pursuant to this Agreement, including this Article 8, shall be subject to the provisions of Section 3.01 and Section 3.02Section 3.03.</w:t>
      </w:r>
    </w:p>
    <w:p>
      <w:pPr>
        <w:spacing w:after="0" w:line="174" w:lineRule="exact"/>
        <w:rPr>
          <w:rFonts w:ascii="Arial" w:cs="Arial" w:eastAsia="Arial" w:hAnsi="Arial"/>
          <w:sz w:val="22"/>
          <w:szCs w:val="22"/>
          <w:color w:val="auto"/>
        </w:rPr>
      </w:pPr>
    </w:p>
    <w:p>
      <w:pPr>
        <w:ind w:right="20" w:firstLine="1505"/>
        <w:spacing w:after="0" w:line="276" w:lineRule="auto"/>
        <w:tabs>
          <w:tab w:leader="none" w:pos="19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there is a Transfer of Units to Permitted Transferees pursuant to this Agreement, the Units held by each such Permitted Transferee shall be included in calculating the Substantial Ownership Requirement.</w:t>
      </w:r>
    </w:p>
    <w:p>
      <w:pPr>
        <w:spacing w:after="0" w:line="174" w:lineRule="exact"/>
        <w:rPr>
          <w:rFonts w:ascii="Arial" w:cs="Arial" w:eastAsia="Arial" w:hAnsi="Arial"/>
          <w:sz w:val="22"/>
          <w:szCs w:val="22"/>
          <w:color w:val="auto"/>
        </w:rPr>
      </w:pPr>
    </w:p>
    <w:p>
      <w:pPr>
        <w:jc w:val="both"/>
        <w:ind w:firstLine="1505"/>
        <w:spacing w:after="0" w:line="260" w:lineRule="auto"/>
        <w:tabs>
          <w:tab w:leader="none" w:pos="19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in no event shall any Member that is not a “United States person” within the meaning of Section 7701(a)(30) of the Code Transfer any Units, unless such Member and the transferee have delivered to the Company, in respect of the relevant Transfer, written evidence that all required withholding under Section 1446(f) of the Code will have been done and duly remitted to the applicable taxing authority or duly executed certifications (prepared in accordance with the applicable Treasury Regulations or other authorities) of an exemption from such withholding.</w:t>
      </w:r>
    </w:p>
    <w:p>
      <w:pPr>
        <w:spacing w:after="0" w:line="192" w:lineRule="exact"/>
        <w:rPr>
          <w:sz w:val="20"/>
          <w:szCs w:val="20"/>
          <w:color w:val="auto"/>
        </w:rPr>
      </w:pPr>
    </w:p>
    <w:p>
      <w:pPr>
        <w:ind w:right="20" w:firstLine="843"/>
        <w:spacing w:after="0" w:line="276"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Certain Permitted Transfers</w:t>
      </w:r>
      <w:r>
        <w:rPr>
          <w:rFonts w:ascii="Arial" w:cs="Arial" w:eastAsia="Arial" w:hAnsi="Arial"/>
          <w:sz w:val="22"/>
          <w:szCs w:val="22"/>
          <w:color w:val="auto"/>
        </w:rPr>
        <w:t>. Notwithstanding anything to the contrary herein but subject to Section 8.01(b) and Section 8.01(c), the following Transfers shall be permitted:</w:t>
      </w:r>
    </w:p>
    <w:p>
      <w:pPr>
        <w:spacing w:after="0" w:line="174" w:lineRule="exact"/>
        <w:rPr>
          <w:sz w:val="20"/>
          <w:szCs w:val="20"/>
          <w:color w:val="auto"/>
        </w:rPr>
      </w:pPr>
    </w:p>
    <w:p>
      <w:pPr>
        <w:ind w:left="1940" w:hanging="435"/>
        <w:spacing w:after="0"/>
        <w:tabs>
          <w:tab w:leader="none" w:pos="19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 Transfer in connection with the Reorganization;</w:t>
      </w:r>
    </w:p>
    <w:p>
      <w:pPr>
        <w:spacing w:after="0" w:line="233" w:lineRule="exact"/>
        <w:rPr>
          <w:rFonts w:ascii="Arial" w:cs="Arial" w:eastAsia="Arial" w:hAnsi="Arial"/>
          <w:sz w:val="22"/>
          <w:szCs w:val="22"/>
          <w:color w:val="auto"/>
        </w:rPr>
      </w:pPr>
    </w:p>
    <w:p>
      <w:pPr>
        <w:ind w:right="20" w:firstLine="1505"/>
        <w:spacing w:after="0" w:line="276" w:lineRule="auto"/>
        <w:tabs>
          <w:tab w:leader="none" w:pos="192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 Transfer by any Member of its Units pursuant to a Disposition Event (as such term is defined in the certificate of incorporation of Pubco);</w:t>
      </w:r>
    </w:p>
    <w:p>
      <w:pPr>
        <w:spacing w:after="0" w:line="174" w:lineRule="exact"/>
        <w:rPr>
          <w:rFonts w:ascii="Arial" w:cs="Arial" w:eastAsia="Arial" w:hAnsi="Arial"/>
          <w:sz w:val="22"/>
          <w:szCs w:val="22"/>
          <w:color w:val="auto"/>
        </w:rPr>
      </w:pPr>
    </w:p>
    <w:p>
      <w:pPr>
        <w:jc w:val="both"/>
        <w:ind w:firstLine="1505"/>
        <w:spacing w:after="0" w:line="261" w:lineRule="auto"/>
        <w:tabs>
          <w:tab w:leader="none" w:pos="192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At any time, any Transfer by any Member of Units to any Transferee approved in writing by the Managing Member (not to be unreasonably withheld), it being understood that it shall be reasonable for the Managing Member to withhold such consent if the Managing Member reasonably determines that such Transfer would materially increase the risk that the Company would be classified as a “publicly traded partnership” as that term is defined in Section 7704 of the Code and Regulations promulgated thereunder; and</w:t>
      </w:r>
    </w:p>
    <w:p>
      <w:pPr>
        <w:spacing w:after="0" w:line="190" w:lineRule="exact"/>
        <w:rPr>
          <w:rFonts w:ascii="Arial" w:cs="Arial" w:eastAsia="Arial" w:hAnsi="Arial"/>
          <w:sz w:val="22"/>
          <w:szCs w:val="22"/>
          <w:color w:val="auto"/>
        </w:rPr>
      </w:pPr>
    </w:p>
    <w:p>
      <w:pPr>
        <w:ind w:left="1940" w:hanging="435"/>
        <w:spacing w:after="0"/>
        <w:tabs>
          <w:tab w:leader="none" w:pos="19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Transfer of all or any portion of a Non-Pubco Member’s Units to a Permitted Transferee of such</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Member.</w:t>
      </w:r>
    </w:p>
    <w:p>
      <w:pPr>
        <w:spacing w:after="0" w:line="229"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Distributions</w:t>
      </w:r>
      <w:r>
        <w:rPr>
          <w:rFonts w:ascii="Arial" w:cs="Arial" w:eastAsia="Arial" w:hAnsi="Arial"/>
          <w:sz w:val="22"/>
          <w:szCs w:val="22"/>
          <w:color w:val="auto"/>
        </w:rPr>
        <w:t>. Notwithstanding anything in this Article 8 or elsewhere in this Agreement to the contrary, if a Member Transfers all or any portion of its Units after the designation of a record date and declaration of a distribution pursuant to Article 5 and before the payment date of such distribution, the transferring Member (and not the Person acquiring all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any portion of its LLC Units) shall be entitled to receive such distribution in respect of such transferred LLC Units.</w:t>
      </w:r>
    </w:p>
    <w:p>
      <w:pPr>
        <w:spacing w:after="0" w:line="233" w:lineRule="exact"/>
        <w:rPr>
          <w:sz w:val="20"/>
          <w:szCs w:val="20"/>
          <w:color w:val="auto"/>
        </w:rPr>
      </w:pPr>
    </w:p>
    <w:p>
      <w:pPr>
        <w:jc w:val="both"/>
        <w:ind w:firstLine="843"/>
        <w:spacing w:after="0" w:line="276"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i w:val="1"/>
          <w:iCs w:val="1"/>
          <w:color w:val="auto"/>
        </w:rPr>
        <w:t>Registration of Transfers</w:t>
      </w:r>
      <w:r>
        <w:rPr>
          <w:rFonts w:ascii="Arial" w:cs="Arial" w:eastAsia="Arial" w:hAnsi="Arial"/>
          <w:sz w:val="22"/>
          <w:szCs w:val="22"/>
          <w:color w:val="auto"/>
        </w:rPr>
        <w:t>. When any Units are Transferred in accordance with the terms of this Agreement, the Company shall cause such Transfer to be registered on the books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OTHER AGREEMENTS</w:t>
      </w:r>
    </w:p>
    <w:p>
      <w:pPr>
        <w:spacing w:after="0" w:line="239" w:lineRule="exact"/>
        <w:rPr>
          <w:sz w:val="20"/>
          <w:szCs w:val="20"/>
          <w:color w:val="auto"/>
        </w:rPr>
      </w:pPr>
    </w:p>
    <w:p>
      <w:pPr>
        <w:jc w:val="both"/>
        <w:ind w:firstLine="843"/>
        <w:spacing w:after="0" w:line="300"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i w:val="1"/>
          <w:iCs w:val="1"/>
          <w:color w:val="auto"/>
        </w:rPr>
        <w:t>Company Call Right</w:t>
      </w:r>
      <w:r>
        <w:rPr>
          <w:rFonts w:ascii="Arial" w:cs="Arial" w:eastAsia="Arial" w:hAnsi="Arial"/>
          <w:sz w:val="19"/>
          <w:szCs w:val="19"/>
          <w:color w:val="auto"/>
        </w:rPr>
        <w:t>. In connection with any Involuntary Transfer by any Non-Pubco Member (other than Management Holdings) or an Involuntary Corresponding Transfer, the Company or the Managing Member may, in the Managing Member’s sole discretion, elect to purchase from such Member and/or such Transferee(s) in an Involuntary Transfer (if applicable) or Management Holdings in an Involuntary Corresponding Transfer (each, a “</w:t>
      </w:r>
      <w:r>
        <w:rPr>
          <w:rFonts w:ascii="Arial" w:cs="Arial" w:eastAsia="Arial" w:hAnsi="Arial"/>
          <w:sz w:val="19"/>
          <w:szCs w:val="19"/>
          <w:b w:val="1"/>
          <w:bCs w:val="1"/>
          <w:color w:val="auto"/>
        </w:rPr>
        <w:t>Call Member</w:t>
      </w:r>
      <w:r>
        <w:rPr>
          <w:rFonts w:ascii="Arial" w:cs="Arial" w:eastAsia="Arial" w:hAnsi="Arial"/>
          <w:sz w:val="19"/>
          <w:szCs w:val="19"/>
          <w:color w:val="auto"/>
        </w:rPr>
        <w:t>”) any or all of the Units so Transferred or so held by such Member (or such Member’s Permitted Transferees) or the Corresponding Company Unit from Management Holdings, as applicable (“</w:t>
      </w:r>
      <w:r>
        <w:rPr>
          <w:rFonts w:ascii="Arial" w:cs="Arial" w:eastAsia="Arial" w:hAnsi="Arial"/>
          <w:sz w:val="19"/>
          <w:szCs w:val="19"/>
          <w:b w:val="1"/>
          <w:bCs w:val="1"/>
          <w:color w:val="auto"/>
        </w:rPr>
        <w:t>Call Units</w:t>
      </w:r>
      <w:r>
        <w:rPr>
          <w:rFonts w:ascii="Arial" w:cs="Arial" w:eastAsia="Arial" w:hAnsi="Arial"/>
          <w:sz w:val="19"/>
          <w:szCs w:val="19"/>
          <w:color w:val="auto"/>
        </w:rPr>
        <w:t>”), at any time by delivery of a written notice (a “</w:t>
      </w:r>
      <w:r>
        <w:rPr>
          <w:rFonts w:ascii="Arial" w:cs="Arial" w:eastAsia="Arial" w:hAnsi="Arial"/>
          <w:sz w:val="19"/>
          <w:szCs w:val="19"/>
          <w:b w:val="1"/>
          <w:bCs w:val="1"/>
          <w:color w:val="auto"/>
        </w:rPr>
        <w:t>Call Notice</w:t>
      </w:r>
      <w:r>
        <w:rPr>
          <w:rFonts w:ascii="Arial" w:cs="Arial" w:eastAsia="Arial" w:hAnsi="Arial"/>
          <w:sz w:val="19"/>
          <w:szCs w:val="19"/>
          <w:color w:val="auto"/>
        </w:rPr>
        <w:t>”) to such Call Member. The Call Notice shall set forth the Unit Redemption Price and the proposed closing date of such purchase of such Call Units; provided that such closing date shall occur within ninety (90) days following the date of such Call Notice. At the closing of any such sale, in exchange for the payment by the Company or the Managing Member to such Call Members of the Unit Redemption Price in cash, (i) each Call Member shall deliver its Call Units, duly endorsed, or accompanied by written instruments of transfer in form satisfactory to the Company or the Managing Member, as applicable, duly executed by such Call Member and accompanied by all requisite transfer taxes, if any, (ii) such Call Units shall be free and clear of any Liens and (iii) each Call Member shall so represent and warrant and further represent and warrant that it is the sole beneficial and record owner of such Call Units. Following such closing, any such Call Member shall no longer be entitled to any rights in respect of its Call Units, including any distributions of the Company or Pubco thereupon (other than the payment of the Unit Redemption Price at such closing), and, to the extent any such Call Member does not hold any Units thereafter, shall thereupon cease to be a Member of the Company and, to the extent any such Call Member does not hold any shares of Pubco Common Stock thereafter, shall thereupon cease to be a stockholder of Pubco.</w:t>
      </w:r>
    </w:p>
    <w:p>
      <w:pPr>
        <w:spacing w:after="0" w:line="200" w:lineRule="exact"/>
        <w:rPr>
          <w:sz w:val="20"/>
          <w:szCs w:val="20"/>
          <w:color w:val="auto"/>
        </w:rPr>
      </w:pP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Preemptive Rights.</w:t>
      </w:r>
    </w:p>
    <w:p>
      <w:pPr>
        <w:spacing w:after="0" w:line="233" w:lineRule="exact"/>
        <w:rPr>
          <w:sz w:val="20"/>
          <w:szCs w:val="20"/>
          <w:color w:val="auto"/>
        </w:rPr>
      </w:pPr>
    </w:p>
    <w:p>
      <w:pPr>
        <w:jc w:val="both"/>
        <w:ind w:firstLine="1505"/>
        <w:spacing w:after="0" w:line="274" w:lineRule="auto"/>
        <w:tabs>
          <w:tab w:leader="none" w:pos="192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No Person shall have any preemptive, preferential or other similar right with respect to (i) additional Capital Contributions; (ii) issuances or sales by the Company of any class or series of Units, whether unissued or hereafter created; (iii) issuances of any obligations, evidences of indebtedness or other securities of the Company convertible into or exchangeable for, or carrying or accompanied by any rights to receive, purchase or subscribe to, any Units; (iv) issuances of any right of subscription to or right to receive, or any warrant or option for the purchase of, any Units; or (v) issuances or sales of any other securities that may be issued or sold by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ARTICLE 10</w:t>
      </w:r>
    </w:p>
    <w:p>
      <w:pPr>
        <w:spacing w:after="0" w:line="287"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REDEMPTION AND EXCHANGE RIGHTS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Redemption Right of a Member.</w:t>
      </w:r>
    </w:p>
    <w:p>
      <w:pPr>
        <w:spacing w:after="0" w:line="233" w:lineRule="exact"/>
        <w:rPr>
          <w:sz w:val="20"/>
          <w:szCs w:val="20"/>
          <w:color w:val="auto"/>
        </w:rPr>
      </w:pPr>
    </w:p>
    <w:p>
      <w:pPr>
        <w:jc w:val="both"/>
        <w:ind w:firstLine="1505"/>
        <w:spacing w:after="0" w:line="299" w:lineRule="auto"/>
        <w:tabs>
          <w:tab w:leader="none" w:pos="192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Without the need for approval by the Managing Member or consent by any other Members, each Non-Pubco Member shall be entitled to cause the Company to redeem (a “</w:t>
      </w:r>
      <w:r>
        <w:rPr>
          <w:rFonts w:ascii="Arial" w:cs="Arial" w:eastAsia="Arial" w:hAnsi="Arial"/>
          <w:sz w:val="19"/>
          <w:szCs w:val="19"/>
          <w:b w:val="1"/>
          <w:bCs w:val="1"/>
          <w:color w:val="auto"/>
        </w:rPr>
        <w:t>Redemption</w:t>
      </w:r>
      <w:r>
        <w:rPr>
          <w:rFonts w:ascii="Arial" w:cs="Arial" w:eastAsia="Arial" w:hAnsi="Arial"/>
          <w:sz w:val="19"/>
          <w:szCs w:val="19"/>
          <w:color w:val="auto"/>
        </w:rPr>
        <w:t>”) all or any portion of its LLC Units that are not subject to vesting (the “</w:t>
      </w:r>
      <w:r>
        <w:rPr>
          <w:rFonts w:ascii="Arial" w:cs="Arial" w:eastAsia="Arial" w:hAnsi="Arial"/>
          <w:sz w:val="19"/>
          <w:szCs w:val="19"/>
          <w:b w:val="1"/>
          <w:bCs w:val="1"/>
          <w:color w:val="auto"/>
        </w:rPr>
        <w:t>Redemption Right</w:t>
      </w:r>
      <w:r>
        <w:rPr>
          <w:rFonts w:ascii="Arial" w:cs="Arial" w:eastAsia="Arial" w:hAnsi="Arial"/>
          <w:sz w:val="19"/>
          <w:szCs w:val="19"/>
          <w:color w:val="auto"/>
        </w:rPr>
        <w:t>”) at any time; provided that the Managing Member may force a Member to exercise its Redemption Right at any time following the expiration of a contractual lock-up period if such member holds fewer than 4,000 LLC Units. A Member desiring to exercise its Redemption Right (the “</w:t>
      </w:r>
      <w:r>
        <w:rPr>
          <w:rFonts w:ascii="Arial" w:cs="Arial" w:eastAsia="Arial" w:hAnsi="Arial"/>
          <w:sz w:val="19"/>
          <w:szCs w:val="19"/>
          <w:b w:val="1"/>
          <w:bCs w:val="1"/>
          <w:color w:val="auto"/>
        </w:rPr>
        <w:t>Redeeming Member</w:t>
      </w:r>
      <w:r>
        <w:rPr>
          <w:rFonts w:ascii="Arial" w:cs="Arial" w:eastAsia="Arial" w:hAnsi="Arial"/>
          <w:sz w:val="19"/>
          <w:szCs w:val="19"/>
          <w:color w:val="auto"/>
        </w:rPr>
        <w:t>”) shall exercise such right by giving written notice (the “</w:t>
      </w:r>
      <w:r>
        <w:rPr>
          <w:rFonts w:ascii="Arial" w:cs="Arial" w:eastAsia="Arial" w:hAnsi="Arial"/>
          <w:sz w:val="19"/>
          <w:szCs w:val="19"/>
          <w:b w:val="1"/>
          <w:bCs w:val="1"/>
          <w:color w:val="auto"/>
        </w:rPr>
        <w:t>Redemption Notice</w:t>
      </w:r>
      <w:r>
        <w:rPr>
          <w:rFonts w:ascii="Arial" w:cs="Arial" w:eastAsia="Arial" w:hAnsi="Arial"/>
          <w:sz w:val="19"/>
          <w:szCs w:val="19"/>
          <w:color w:val="auto"/>
        </w:rPr>
        <w:t xml:space="preserve">”) to the Company and Pubco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provided, that any Member Exchange Notice (as defined in the Management Holdings LLC Agreement) which occurs pursuant to Section 9.01 of the Management Holdings LLC Agreement shall constitute a Redemption Notice hereunder. The Redemption Notice shall specify the number of LLC Units (the “</w:t>
      </w:r>
      <w:r>
        <w:rPr>
          <w:rFonts w:ascii="Arial" w:cs="Arial" w:eastAsia="Arial" w:hAnsi="Arial"/>
          <w:sz w:val="19"/>
          <w:szCs w:val="19"/>
          <w:b w:val="1"/>
          <w:bCs w:val="1"/>
          <w:color w:val="auto"/>
        </w:rPr>
        <w:t>Redeemed Units</w:t>
      </w:r>
      <w:r>
        <w:rPr>
          <w:rFonts w:ascii="Arial" w:cs="Arial" w:eastAsia="Arial" w:hAnsi="Arial"/>
          <w:sz w:val="19"/>
          <w:szCs w:val="19"/>
          <w:color w:val="auto"/>
        </w:rPr>
        <w:t>”) that the Redeeming Member intends to have the Company redeem (</w:t>
      </w:r>
      <w:r>
        <w:rPr>
          <w:rFonts w:ascii="Arial" w:cs="Arial" w:eastAsia="Arial" w:hAnsi="Arial"/>
          <w:sz w:val="19"/>
          <w:szCs w:val="19"/>
          <w:i w:val="1"/>
          <w:iCs w:val="1"/>
          <w:color w:val="auto"/>
        </w:rPr>
        <w:t>provided</w:t>
      </w:r>
      <w:r>
        <w:rPr>
          <w:rFonts w:ascii="Arial" w:cs="Arial" w:eastAsia="Arial" w:hAnsi="Arial"/>
          <w:sz w:val="19"/>
          <w:szCs w:val="19"/>
          <w:color w:val="auto"/>
        </w:rPr>
        <w:t>, that absent a waiver by the Managing Member or anything to the contrary in Section 9.01 of the Management Holdings LLC Agreement, any such Redemption is for a minimum of the lesser of 4,000 LLC Units or all of the LLC Units held by such Redeeming Member) and a date, not less than five (5) Business Days nor more than ten (10) Business Days after delivery of such Redemption Notice (unless and to the extent that the Managing Member in its sole discretion agrees in writing to waive such time periods), on which exercise of the Redemption Right shall be completed (the “</w:t>
      </w:r>
      <w:r>
        <w:rPr>
          <w:rFonts w:ascii="Arial" w:cs="Arial" w:eastAsia="Arial" w:hAnsi="Arial"/>
          <w:sz w:val="19"/>
          <w:szCs w:val="19"/>
          <w:b w:val="1"/>
          <w:bCs w:val="1"/>
          <w:color w:val="auto"/>
        </w:rPr>
        <w:t>Redemption Date</w:t>
      </w:r>
      <w:r>
        <w:rPr>
          <w:rFonts w:ascii="Arial" w:cs="Arial" w:eastAsia="Arial" w:hAnsi="Arial"/>
          <w:sz w:val="19"/>
          <w:szCs w:val="19"/>
          <w:color w:val="auto"/>
        </w:rPr>
        <w:t>”); provided that the Company, Pubco and the Redeeming Member may change the number of Redeemed Units and/or the Redemption Date specified in such Redemption Notice to another number and/or date by mutual agreement signed in writing by each of them; provided further that a Redemption Notice may be conditioned by the Redeeming Member on the closing of an underwritten or non-underwritten distribution or sale of the shares of Class A Common Stock that may be issued in connection with such proposed Redemption. Unless the Redeeming Member has revoked or delayed a Redemption as provided in Section 10.01(c), on the Redemption Date (to be effective immediately prior to the close of business on the Redemption Date) (i) the Redeeming Member shall transfer and surrender the Redeemed Units to the Company, free and clear of all Liens, and (ii) the Company shall (x) cancel the Redeemed Units, (y) transfer to the Redeeming Member the consideration to which the Redeeming Member is entitled under Section 10.01(b), and (z) if the Units are certificated, issue to the Redeeming Member a certificate for a number of Units equal to the difference (if any) between the number of Units evidenced by the certificate surrendered by the Redeeming Member pursuant to clause (i) of this Section 10.01(a) and the Redeemed Units.</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firstLine="1505"/>
        <w:spacing w:after="0" w:line="276" w:lineRule="auto"/>
        <w:tabs>
          <w:tab w:leader="none" w:pos="192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exercising its Redemption Right, a Redeeming Member shall be entitled to receive the number of shares of Class A Common Stock equal to the number of Redeemed Units (the “</w:t>
      </w:r>
      <w:r>
        <w:rPr>
          <w:rFonts w:ascii="Arial" w:cs="Arial" w:eastAsia="Arial" w:hAnsi="Arial"/>
          <w:sz w:val="22"/>
          <w:szCs w:val="22"/>
          <w:b w:val="1"/>
          <w:bCs w:val="1"/>
          <w:color w:val="auto"/>
        </w:rPr>
        <w:t>Share Settlement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Redeeming Member shall be entitled to revoke its Redemption Notice or delay the consummation of a Redemption if any of the following conditions exists: (i) any registration statement pursuant to which the resale of the Class A Common Stock to be registered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30" w:name="page131"/>
    <w:bookmarkEnd w:id="130"/>
    <w:p>
      <w:pPr>
        <w:jc w:val="both"/>
        <w:spacing w:after="0" w:line="299" w:lineRule="auto"/>
        <w:rPr>
          <w:sz w:val="20"/>
          <w:szCs w:val="20"/>
          <w:color w:val="auto"/>
        </w:rPr>
      </w:pPr>
      <w:r>
        <w:rPr>
          <w:rFonts w:ascii="Arial" w:cs="Arial" w:eastAsia="Arial" w:hAnsi="Arial"/>
          <w:sz w:val="19"/>
          <w:szCs w:val="19"/>
          <w:color w:val="auto"/>
        </w:rPr>
        <w:t>for such Redeeming Member at or immediately following the consummation of the Redemption shall have ceased to be effective pursuant to any action or inaction by the SEC or no such resale registration statement has yet become effective; (ii) Pubco shall have failed to cause any related prospectus to be supplemented by any required prospectus supplement necessary to effect such Redemption; (iii) Pubco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(iv) Pubco shall have disclosed to such Redeeming Member any material non-public information concerning Pubco, the receipt of which results in such Redeeming Member being prohibited or restricted from selling Class A Common Stock at or immediately following the Redemption without disclosure of such information (and Pubco does not permit disclosure); (v) any stop order relating to the registration statement pursuant to which the Class A Common Stock was to be registered by such Redeeming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Authority that restrains or prohibits the Redemption; (viii) if the Redeeming Member is a party to the Registration Rights Agreement, Pubco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(ix) the Redemption Date would occur three (3) Business Days or less prior to, or during, any “black-out” or similar period under Pubco’s policies covering trading in the Pubco’s securities to which the applicable Redeeming Member is subject, which period restricts the ability of such Redeeming Member to immediately resell shares of Class A Common Stock to be delivered to such Redeeming Member in connection with a Share Settlement; provided further, that in no event shall the Redeeming Member seeking to revoke its Redemption Notice or delay the consummation of such Redemption and relying on any of the matters contemplated in clauses (i) through (ix) above have Controlled or intentionally materially influenced any facts, circumstances, or Persons in connection therewith (except in the good faith performance of his or her duties as an officer or director of Pubco) in order to provide such Redeeming Member with a basis for such delay or revocation. If a Redeeming Member delays the consummation of a Redemption pursuant to this Section 10.01(c), the Redemption Date shall occur on the fifth Business Day following the date on which the conditions giving rise to such delay cease to exist (or such earlier day as Pubco, the Company and such Redeeming Member may agree in writing).</w:t>
      </w:r>
    </w:p>
    <w:p>
      <w:pPr>
        <w:spacing w:after="0" w:line="200" w:lineRule="exact"/>
        <w:rPr>
          <w:sz w:val="20"/>
          <w:szCs w:val="20"/>
          <w:color w:val="auto"/>
        </w:rPr>
      </w:pPr>
    </w:p>
    <w:p>
      <w:pPr>
        <w:spacing w:after="0" w:line="229" w:lineRule="exact"/>
        <w:rPr>
          <w:sz w:val="20"/>
          <w:szCs w:val="20"/>
          <w:color w:val="auto"/>
        </w:rPr>
      </w:pPr>
    </w:p>
    <w:p>
      <w:pPr>
        <w:jc w:val="both"/>
        <w:ind w:firstLine="1505"/>
        <w:spacing w:after="0" w:line="306" w:lineRule="auto"/>
        <w:tabs>
          <w:tab w:leader="none" w:pos="192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number of shares of Class A Common Stock that a Redeeming Member is entitled to receive under Section 10.01(b) shall not be adjusted on account of any distributions previously made with respect to the Redeemed Units or dividends previously paid with respect to Class A Common Stock; provided, however,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(but in each case only if Pubco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31" w:name="page132"/>
    <w:bookmarkEnd w:id="131"/>
    <w:p>
      <w:pPr>
        <w:spacing w:after="0" w:line="276" w:lineRule="auto"/>
        <w:rPr>
          <w:sz w:val="20"/>
          <w:szCs w:val="20"/>
          <w:color w:val="auto"/>
        </w:rPr>
      </w:pPr>
      <w:r>
        <w:rPr>
          <w:rFonts w:ascii="Arial" w:cs="Arial" w:eastAsia="Arial" w:hAnsi="Arial"/>
          <w:sz w:val="22"/>
          <w:szCs w:val="22"/>
          <w:color w:val="auto"/>
        </w:rPr>
        <w:t>has declared a corresponding dividend of all amounts receivable by Pubco in such distribution with a record date for such dividend that is no later than the record date for such distribution).</w:t>
      </w:r>
    </w:p>
    <w:p>
      <w:pPr>
        <w:spacing w:after="0" w:line="174" w:lineRule="exact"/>
        <w:rPr>
          <w:sz w:val="20"/>
          <w:szCs w:val="20"/>
          <w:color w:val="auto"/>
        </w:rPr>
      </w:pPr>
    </w:p>
    <w:p>
      <w:pPr>
        <w:jc w:val="both"/>
        <w:ind w:firstLine="1505"/>
        <w:spacing w:after="0" w:line="261" w:lineRule="auto"/>
        <w:tabs>
          <w:tab w:leader="none" w:pos="192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 the event of a reclassification or other similar transaction as a result of which the shares of Class A Common Stock are converted into another security, then in exercising its Redemption Right a Redeeming Member shall be entitled to receive the amount of such security that the Redeeming Member would have received if such Redemption Right had been exercised and the Redemption Date had occurred immediately prior to the record date of such reclassification or other similar transaction.</w:t>
      </w:r>
    </w:p>
    <w:p>
      <w:pPr>
        <w:spacing w:after="0" w:line="190" w:lineRule="exact"/>
        <w:rPr>
          <w:sz w:val="20"/>
          <w:szCs w:val="20"/>
          <w:color w:val="auto"/>
        </w:rPr>
      </w:pPr>
    </w:p>
    <w:p>
      <w:pPr>
        <w:jc w:val="both"/>
        <w:ind w:firstLine="843"/>
        <w:spacing w:after="0" w:line="260"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Election and Contribution of Pubco</w:t>
      </w:r>
      <w:r>
        <w:rPr>
          <w:rFonts w:ascii="Arial" w:cs="Arial" w:eastAsia="Arial" w:hAnsi="Arial"/>
          <w:sz w:val="22"/>
          <w:szCs w:val="22"/>
          <w:color w:val="auto"/>
        </w:rPr>
        <w:t>. In connection with the exercise of a Redeeming Member’s Redemption Rights under Section 10.01(a), Pubco shall contribute to the Company the consideration the Redeeming Member is entitled to receive under Section 10.01(b). On the Redemption Date (to be effective immediately prior to the close of business on the Redemption Date) (i) Pubco shall make its Capital Contribution to the Company required under this Section 10.02, and (ii) the Company shall issue to Pubco a number of Units equal to the number of Redeemed Units surrendered by the Redeeming Member.</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Exchange Right of Pubco.</w:t>
      </w:r>
    </w:p>
    <w:p>
      <w:pPr>
        <w:spacing w:after="0" w:line="233" w:lineRule="exact"/>
        <w:rPr>
          <w:sz w:val="20"/>
          <w:szCs w:val="20"/>
          <w:color w:val="auto"/>
        </w:rPr>
      </w:pPr>
    </w:p>
    <w:p>
      <w:pPr>
        <w:jc w:val="both"/>
        <w:ind w:firstLine="1505"/>
        <w:spacing w:after="0" w:line="261" w:lineRule="auto"/>
        <w:tabs>
          <w:tab w:leader="none" w:pos="192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Article 10, Pubco may, in its sole and absolute discretion, elect to effect on the Redemption Date the exchange of Redeemed Units for the Share Settlement through a direct exchange of such Redeemed Units and such consideration between the Redeeming Member and Pubco (a “</w:t>
      </w:r>
      <w:r>
        <w:rPr>
          <w:rFonts w:ascii="Arial" w:cs="Arial" w:eastAsia="Arial" w:hAnsi="Arial"/>
          <w:sz w:val="22"/>
          <w:szCs w:val="22"/>
          <w:b w:val="1"/>
          <w:bCs w:val="1"/>
          <w:color w:val="auto"/>
        </w:rPr>
        <w:t>Direct Exchange</w:t>
      </w:r>
      <w:r>
        <w:rPr>
          <w:rFonts w:ascii="Arial" w:cs="Arial" w:eastAsia="Arial" w:hAnsi="Arial"/>
          <w:sz w:val="22"/>
          <w:szCs w:val="22"/>
          <w:color w:val="auto"/>
        </w:rPr>
        <w:t>”). Upon such Direct Exchange pursuant to this Section 10.03, Pubco shall acquire the Redeemed Units and shall be treated for all purposes of this Agreement as the owner of such Units.</w:t>
      </w:r>
    </w:p>
    <w:p>
      <w:pPr>
        <w:spacing w:after="0" w:line="184" w:lineRule="exact"/>
        <w:rPr>
          <w:rFonts w:ascii="Arial" w:cs="Arial" w:eastAsia="Arial" w:hAnsi="Arial"/>
          <w:sz w:val="22"/>
          <w:szCs w:val="22"/>
          <w:color w:val="auto"/>
        </w:rPr>
      </w:pPr>
    </w:p>
    <w:p>
      <w:pPr>
        <w:jc w:val="both"/>
        <w:ind w:firstLine="1505"/>
        <w:spacing w:after="0" w:line="273" w:lineRule="auto"/>
        <w:tabs>
          <w:tab w:leader="none" w:pos="192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Pubco may, at any time prior to a Redemption Date, deliver written notice (an “ </w:t>
      </w:r>
      <w:r>
        <w:rPr>
          <w:rFonts w:ascii="Arial" w:cs="Arial" w:eastAsia="Arial" w:hAnsi="Arial"/>
          <w:sz w:val="21"/>
          <w:szCs w:val="21"/>
          <w:b w:val="1"/>
          <w:bCs w:val="1"/>
          <w:color w:val="auto"/>
        </w:rPr>
        <w:t>Exchange Election</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to the Company and the Redeeming Member setting forth its election to exercise its right to consummate a Direct</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provided that such election does not prejudice the ability of the parties to consummate a Redemption or Direct Exchange on the Redemption Date. An Exchange Election Notice may be revoked by Pubco at any time; provided that any such revocation does not prejudice the ability of the parties to consummate a Redemption or Direct Exchange on the Redemption Date. The right to consummate a Direct Exchange in all events shall be exercisable for all the Redeemed Units that would have otherwise been subject to a Redemption. Except as otherwise provided by this Section 10.03, a Direct Exchange shall be consummated pursuant to the same timeframe and in the same manner as the relevant Redemption would have been consummated if Pubco had not delivered an Exchange Election Notice.</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Tender Offers and Other Events with Respect to Pubco.</w:t>
      </w:r>
    </w:p>
    <w:p>
      <w:pPr>
        <w:spacing w:after="0" w:line="233" w:lineRule="exact"/>
        <w:rPr>
          <w:sz w:val="20"/>
          <w:szCs w:val="20"/>
          <w:color w:val="auto"/>
        </w:rPr>
      </w:pPr>
    </w:p>
    <w:p>
      <w:pPr>
        <w:jc w:val="both"/>
        <w:ind w:firstLine="1505"/>
        <w:spacing w:after="0" w:line="276" w:lineRule="auto"/>
        <w:tabs>
          <w:tab w:leader="none" w:pos="192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the event that a tender offer, share exchange offer, issuer bid, take-over bid, recapitalization or similar transaction with respect to Class A Common Stock (a “</w:t>
      </w:r>
      <w:r>
        <w:rPr>
          <w:rFonts w:ascii="Arial" w:cs="Arial" w:eastAsia="Arial" w:hAnsi="Arial"/>
          <w:sz w:val="21"/>
          <w:szCs w:val="21"/>
          <w:b w:val="1"/>
          <w:bCs w:val="1"/>
          <w:color w:val="auto"/>
        </w:rPr>
        <w:t>Pubco Offer</w:t>
      </w:r>
      <w:r>
        <w:rPr>
          <w:rFonts w:ascii="Arial" w:cs="Arial" w:eastAsia="Arial" w:hAnsi="Arial"/>
          <w:sz w:val="21"/>
          <w:szCs w:val="21"/>
          <w:color w:val="auto"/>
        </w:rPr>
        <w:t>”) is proposed by Pubco or is proposed to Pubco or its stockholders and approved by the board of directors of Pubco or is otherwise effected or to be effected with the consent or approval of the board of directors of Pubco, the holders of LLC Units (other than the Pubco Members and the holders of LLC Units that have not vested) shall be permitted to participate in such Pubco Offer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32" w:name="page133"/>
    <w:bookmarkEnd w:id="132"/>
    <w:p>
      <w:pPr>
        <w:jc w:val="both"/>
        <w:spacing w:after="0" w:line="302" w:lineRule="auto"/>
        <w:rPr>
          <w:sz w:val="20"/>
          <w:szCs w:val="20"/>
          <w:color w:val="auto"/>
        </w:rPr>
      </w:pPr>
      <w:r>
        <w:rPr>
          <w:rFonts w:ascii="Arial" w:cs="Arial" w:eastAsia="Arial" w:hAnsi="Arial"/>
          <w:sz w:val="19"/>
          <w:szCs w:val="19"/>
          <w:color w:val="auto"/>
        </w:rPr>
        <w:t>by delivery of a notice of exchange (which notice of exchange shall be effective immediately prior to the consummation of such Pubco Offer (and, for the avoidance of doubt, shall be contingent upon such Pubco Offer and not be effective if such Pubco Offer is not consummated)). In the case of a Pubco Offer proposed by Pubco, Pubco will use its reasonable efforts expeditiously and in good faith to take all such actions and do all such things as are necessary or desirable to enable and permit the holders of LLC Units (other than the Pubco Members) to participate in such Pubco Offer to the same extent or on an economically equivalent basis as the holders of shares of Class A Common Stock without discrimination; provided, that without limiting the generality of this sentence, Pubco will use its reasonable efforts expeditiously and in good faith to ensure that such holders may participate in each such Pubco Offer without being required to exchange LLC Units to the extent such participation is practicable. For the avoidance of doubt (but subject to Section 10.04(c)), in no event shall the holders of LLC Units be entitled to receive in such Pubco Offer aggregate consideration (other than pursuant to the Tax Receivable Agreement) for each LLC Unit that is greater than the consideration payable in respect of each share of Class A Common Stock in connection with a Pubco Offer.</w:t>
      </w:r>
    </w:p>
    <w:p>
      <w:pPr>
        <w:spacing w:after="0" w:line="162" w:lineRule="exact"/>
        <w:rPr>
          <w:sz w:val="20"/>
          <w:szCs w:val="20"/>
          <w:color w:val="auto"/>
        </w:rPr>
      </w:pPr>
    </w:p>
    <w:p>
      <w:pPr>
        <w:jc w:val="both"/>
        <w:ind w:firstLine="1505"/>
        <w:spacing w:after="0" w:line="258" w:lineRule="auto"/>
        <w:tabs>
          <w:tab w:leader="none" w:pos="192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if a Disposition Event (as such term is defined in the Pubco certificate of incorporation) is approved by the board of directors of Pubco and consummated in accordance with Applicable Law, at the request of the Company (or following such Disposition Event, its successor) or Pubco (or following such Disposition Event, its successor), each of the holders of LLC Units (other than any Management Members in respect of Corresponding Company Units or other Units that have not vested, which shall be forfeited or repurchased, including pursuant to Section 3.02) shall be required to exchange with Pubco, at any time and from time to time after, or simultaneously with, the consummation of such Disposition Event, all of such holder’s LLC Units for aggregate consideration for each LLC Unit that is equivalent to the consideration payable in respect of each share of Class A Common Stock in connection with the Disposition Event.</w:t>
      </w:r>
    </w:p>
    <w:p>
      <w:pPr>
        <w:spacing w:after="0" w:line="198" w:lineRule="exact"/>
        <w:rPr>
          <w:rFonts w:ascii="Arial" w:cs="Arial" w:eastAsia="Arial" w:hAnsi="Arial"/>
          <w:sz w:val="22"/>
          <w:szCs w:val="22"/>
          <w:color w:val="auto"/>
        </w:rPr>
      </w:pPr>
    </w:p>
    <w:p>
      <w:pPr>
        <w:jc w:val="both"/>
        <w:ind w:right="20" w:firstLine="1505"/>
        <w:spacing w:after="0" w:line="262" w:lineRule="auto"/>
        <w:tabs>
          <w:tab w:leader="none" w:pos="192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in a Disposition Event, payments under or in respect of the Tax Receivable Agreement shall not be considered part of the consideration payable in respect of any LLC Unit or share of Class A Common Stock in connection with such Disposition Event for the purposes of Section 10.04(a) and Section 10.04(b).</w:t>
      </w:r>
    </w:p>
    <w:p>
      <w:pPr>
        <w:spacing w:after="0" w:line="191" w:lineRule="exact"/>
        <w:rPr>
          <w:sz w:val="20"/>
          <w:szCs w:val="20"/>
          <w:color w:val="auto"/>
        </w:rPr>
      </w:pPr>
    </w:p>
    <w:p>
      <w:pPr>
        <w:jc w:val="both"/>
        <w:ind w:firstLine="843"/>
        <w:spacing w:after="0" w:line="303"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i w:val="1"/>
          <w:iCs w:val="1"/>
          <w:color w:val="auto"/>
        </w:rPr>
        <w:t>Reservation of Shares of Class A Common Stock; Certificate of Pubco</w:t>
      </w:r>
      <w:r>
        <w:rPr>
          <w:rFonts w:ascii="Arial" w:cs="Arial" w:eastAsia="Arial" w:hAnsi="Arial"/>
          <w:sz w:val="19"/>
          <w:szCs w:val="19"/>
          <w:color w:val="auto"/>
        </w:rPr>
        <w:t>. At all times Pubco shall reserve and keep available out of its authorized but unissued Class A Common Stock, solely for the purpose of issuance upon a Redemption or Direct Exchange, such number of shares of Class A Common Stock as shall be issuable upon any such Redemption or Direct Exchange pursuant to Share Settlements; provided that nothing contained herein shall be construed to preclude Pubco from satisfying its obligations in respect of any such Redemption or Direct Exchange by delivery of purchased Class A Common Stock (which may or may not be held in the treasury of Pubco). Pubco shall deliver Class A Common Stock that has been registered under the Securities Act with respect to any Redemption or Direct Exchange to the extent a registration statement is effective and available for such shares. Pubco covenants that all Class A Common Stock issued upon a Redemption or Direct Exchange will, upon issuance, be validly issued, fully paid and non-assessable. The provisions of this Article 10 shall be interpreted and applied in a manner consistent with the corresponding provisions of the certificate of incorporation of Pubco.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3" w:name="page134"/>
    <w:bookmarkEnd w:id="133"/>
    <w:p>
      <w:pPr>
        <w:jc w:val="both"/>
        <w:ind w:firstLine="843"/>
        <w:spacing w:after="0" w:line="317"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i w:val="1"/>
          <w:iCs w:val="1"/>
          <w:color w:val="auto"/>
        </w:rPr>
        <w:t>Effect of Exercise of Redemption or Exchange Right</w:t>
      </w:r>
      <w:r>
        <w:rPr>
          <w:rFonts w:ascii="Arial" w:cs="Arial" w:eastAsia="Arial" w:hAnsi="Arial"/>
          <w:sz w:val="19"/>
          <w:szCs w:val="19"/>
          <w:color w:val="auto"/>
        </w:rPr>
        <w:t>. This Agreement shall continue notwithstanding the consummation of a Redemption or Direct Exchange and all governance or other rights set forth herein shall be exercised by the remaining Members and the Redeeming Member (to the extent of such Redeeming Member’s remaining interest in the Company). No Redemption or Direct Exchange shall relieve such Redeeming Member of any prior breach of this Agreement.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i w:val="1"/>
          <w:iCs w:val="1"/>
          <w:color w:val="auto"/>
        </w:rPr>
        <w:t>Tax Treatment</w:t>
      </w:r>
      <w:r>
        <w:rPr>
          <w:rFonts w:ascii="Arial" w:cs="Arial" w:eastAsia="Arial" w:hAnsi="Arial"/>
          <w:sz w:val="22"/>
          <w:szCs w:val="22"/>
          <w:color w:val="auto"/>
        </w:rPr>
        <w:t>.</w:t>
      </w:r>
    </w:p>
    <w:p>
      <w:pPr>
        <w:spacing w:after="0" w:line="233" w:lineRule="exact"/>
        <w:rPr>
          <w:sz w:val="20"/>
          <w:szCs w:val="20"/>
          <w:color w:val="auto"/>
        </w:rPr>
      </w:pPr>
    </w:p>
    <w:p>
      <w:pPr>
        <w:ind w:firstLine="1505"/>
        <w:spacing w:after="0" w:line="276" w:lineRule="auto"/>
        <w:tabs>
          <w:tab w:leader="none" w:pos="192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Unless otherwise required by applicable Law, the parties hereto acknowledge and agree that any Redemption or Direct Exchange consummated hereunder shall be treated as a taxable sale of Redeemed Units by the Redeeming Member to Pubco for U.S. federal, and applicable state and local income tax purposes, and no party shall take a contrary position on any income tax return, amendment thereof or communication with a taxing authority unless an alternate position is permitted under the Code and Treasury Regulations and Pubco consents in writing.</w:t>
      </w:r>
    </w:p>
    <w:p>
      <w:pPr>
        <w:spacing w:after="0" w:line="177" w:lineRule="exact"/>
        <w:rPr>
          <w:rFonts w:ascii="Arial" w:cs="Arial" w:eastAsia="Arial" w:hAnsi="Arial"/>
          <w:sz w:val="21"/>
          <w:szCs w:val="21"/>
          <w:color w:val="auto"/>
        </w:rPr>
      </w:pPr>
    </w:p>
    <w:p>
      <w:pPr>
        <w:jc w:val="both"/>
        <w:ind w:firstLine="1505"/>
        <w:spacing w:after="0" w:line="302" w:lineRule="auto"/>
        <w:tabs>
          <w:tab w:leader="none" w:pos="192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the Company, PubCo and their agents and affiliates shall have the right to deduct and withhold taxes (including Class A Common Stock with a fair market value determined in the sole discretion of the PubCo equal to the amount of such taxes) from any payments to be made pursuant to any Redemption or Direct Exchange consummated hereunder if, in their opinion, such withholding is required by law, and shall be provided with any necessary tax forms, including Form W-9 or the appropriate series of Form W-8, as applicable, and any similar information; provided, that PubCo may, in its sole discretion, allow or require a Redeeming Member to pay such taxes owed in respect of the Redemption or Direct Exchange in cash in lieu of withholding or deducting such taxes.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any Redemption or Direct Exchange consummated hereunder is not reduced by such deductions or withholdings, such recipient shall indemnify the applicable withholding agent for any amounts imposed by any taxing authority together with any costs and expenses related thereto.</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i w:val="1"/>
          <w:iCs w:val="1"/>
          <w:color w:val="auto"/>
        </w:rPr>
        <w:t>Additional Exchange Restrictions</w:t>
      </w:r>
      <w:r>
        <w:rPr>
          <w:rFonts w:ascii="Arial" w:cs="Arial" w:eastAsia="Arial" w:hAnsi="Arial"/>
          <w:sz w:val="22"/>
          <w:szCs w:val="22"/>
          <w:color w:val="auto"/>
        </w:rPr>
        <w:t>. Notwithstanding anything to the contrary herein:</w:t>
      </w:r>
    </w:p>
    <w:p>
      <w:pPr>
        <w:spacing w:after="0" w:line="233" w:lineRule="exact"/>
        <w:rPr>
          <w:sz w:val="20"/>
          <w:szCs w:val="20"/>
          <w:color w:val="auto"/>
        </w:rPr>
      </w:pPr>
    </w:p>
    <w:p>
      <w:pPr>
        <w:jc w:val="both"/>
        <w:ind w:firstLine="1505"/>
        <w:spacing w:after="0" w:line="262" w:lineRule="auto"/>
        <w:tabs>
          <w:tab w:leader="none" w:pos="192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Redemption or Direct Exchange shall be permitted (and, if attempted, shall be void ab initio) if, in the good faith determination of the Managing Member or the Company, such a Redemption or Direct Exchange would pose a material risk that the Company would be a “publicly traded partnership” as that term is defined in Section 7704 of the Code and Regulations promulgated thereunder.</w:t>
      </w:r>
    </w:p>
    <w:p>
      <w:pPr>
        <w:spacing w:after="0" w:line="191" w:lineRule="exact"/>
        <w:rPr>
          <w:rFonts w:ascii="Arial" w:cs="Arial" w:eastAsia="Arial" w:hAnsi="Arial"/>
          <w:sz w:val="22"/>
          <w:szCs w:val="22"/>
          <w:color w:val="auto"/>
        </w:rPr>
      </w:pPr>
    </w:p>
    <w:p>
      <w:pPr>
        <w:jc w:val="both"/>
        <w:ind w:firstLine="1505"/>
        <w:spacing w:after="0" w:line="327" w:lineRule="auto"/>
        <w:tabs>
          <w:tab w:leader="none" w:pos="192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Company reasonably believes that, as of the date hereof, it satisfies the “safe harbor” requirements under Treasury Regulation Section 1.7704-1(h) (the “</w:t>
      </w:r>
      <w:r>
        <w:rPr>
          <w:rFonts w:ascii="Arial" w:cs="Arial" w:eastAsia="Arial" w:hAnsi="Arial"/>
          <w:sz w:val="19"/>
          <w:szCs w:val="19"/>
          <w:b w:val="1"/>
          <w:bCs w:val="1"/>
          <w:color w:val="auto"/>
        </w:rPr>
        <w:t>100 Partner Safe Harbor</w:t>
      </w:r>
      <w:r>
        <w:rPr>
          <w:rFonts w:ascii="Arial" w:cs="Arial" w:eastAsia="Arial" w:hAnsi="Arial"/>
          <w:sz w:val="19"/>
          <w:szCs w:val="19"/>
          <w:color w:val="auto"/>
        </w:rPr>
        <w:t>”) and the Company will not take any action or consent to any action that would reasonably be expected to result in the Company not satisfying the 100 Partner Safe Harbor for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4" w:name="page135"/>
    <w:bookmarkEnd w:id="134"/>
    <w:p>
      <w:pPr>
        <w:jc w:val="both"/>
        <w:spacing w:after="0" w:line="302" w:lineRule="auto"/>
        <w:rPr>
          <w:sz w:val="20"/>
          <w:szCs w:val="20"/>
          <w:color w:val="auto"/>
        </w:rPr>
      </w:pPr>
      <w:r>
        <w:rPr>
          <w:rFonts w:ascii="Arial" w:cs="Arial" w:eastAsia="Arial" w:hAnsi="Arial"/>
          <w:sz w:val="19"/>
          <w:szCs w:val="19"/>
          <w:color w:val="auto"/>
        </w:rPr>
        <w:t>any taxable year. If the Managing Member determines at any time, in its sole discretion after consultation with the Company’s tax advisors, either (i) that the Company does not then satisfy the 100 Partner Safe Harbor, or (ii) there is a reasonable possibility that the Company will not satisfy the 100 Partner Safe Harbor at any time during the current or next taxable year, the Managing Member and the Company may impose such restrictions on, and impose such requirements on and procedures with respect to, Redemptions and Direct Exchanges from time to time as the Managing Member and/or the Company may determine, in their sole discretion, to be necessary or advisable so that the Company is not treated as a “publicly traded partnership” under Section 7704 of the Code and such restrictions, requirements and procedures shall remain in effect unless and until the Managing Member determines otherwise; provided, that, for the avoidance of doubt, a transfer described under Treasury Regulation Section 1.7704-1(e)(2) shall not be restricted. Without limiting the discretion of the Managing Member and/or the Company under this Section 10.08(b) to impose any restrictions, requirements or procedures on Redemptions and Direct Exchanges, such restrictions, requirements and procedures may include one or more of the following:</w:t>
      </w:r>
    </w:p>
    <w:p>
      <w:pPr>
        <w:spacing w:after="0" w:line="162" w:lineRule="exact"/>
        <w:rPr>
          <w:sz w:val="20"/>
          <w:szCs w:val="20"/>
          <w:color w:val="auto"/>
        </w:rPr>
      </w:pPr>
    </w:p>
    <w:p>
      <w:pPr>
        <w:jc w:val="both"/>
        <w:ind w:left="760" w:firstLine="1494"/>
        <w:spacing w:after="0" w:line="266" w:lineRule="auto"/>
        <w:tabs>
          <w:tab w:leader="none" w:pos="252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providing that Members are permitted to effect Redemptions and Direct Exchanges during a taxable year of the Company only on one or more of up to four specified dates determined by the Managing Member (each a “</w:t>
      </w:r>
      <w:r>
        <w:rPr>
          <w:rFonts w:ascii="Arial" w:cs="Arial" w:eastAsia="Arial" w:hAnsi="Arial"/>
          <w:sz w:val="22"/>
          <w:szCs w:val="22"/>
          <w:b w:val="1"/>
          <w:bCs w:val="1"/>
          <w:color w:val="auto"/>
        </w:rPr>
        <w:t>Specified Exchange Date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760" w:firstLine="1494"/>
        <w:spacing w:after="0" w:line="266" w:lineRule="auto"/>
        <w:tabs>
          <w:tab w:leader="none" w:pos="25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requiring a Member seeking to effect a Redemption to give the Company irrevocable written notice of an election to effect a Redemption on a date that is at least sixty (60) calendar days prior to the Specified Exchange Date on which such Redemption is to occur; and</w:t>
      </w:r>
    </w:p>
    <w:p>
      <w:pPr>
        <w:spacing w:after="0" w:line="184" w:lineRule="exact"/>
        <w:rPr>
          <w:rFonts w:ascii="Arial" w:cs="Arial" w:eastAsia="Arial" w:hAnsi="Arial"/>
          <w:sz w:val="22"/>
          <w:szCs w:val="22"/>
          <w:color w:val="auto"/>
        </w:rPr>
      </w:pPr>
    </w:p>
    <w:p>
      <w:pPr>
        <w:jc w:val="both"/>
        <w:ind w:left="760" w:firstLine="1494"/>
        <w:spacing w:after="0" w:line="262" w:lineRule="auto"/>
        <w:tabs>
          <w:tab w:leader="none" w:pos="265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providing that the number of Units that may be redeemed or exchanged or otherwise transferred during the taxable year of the Company (other than in private transfers described in Treasury Regulations Section 1.7704-1(e)) cannot exceed 10 percent of the total interest in the Company’s capital or profits (as determined pursuant to Treasury Regulation Section 1.7704-1(k)).</w:t>
      </w:r>
    </w:p>
    <w:p>
      <w:pPr>
        <w:spacing w:after="0" w:line="191" w:lineRule="exact"/>
        <w:rPr>
          <w:sz w:val="20"/>
          <w:szCs w:val="20"/>
          <w:color w:val="auto"/>
        </w:rPr>
      </w:pPr>
    </w:p>
    <w:p>
      <w:pPr>
        <w:jc w:val="both"/>
        <w:ind w:firstLine="1505"/>
        <w:spacing w:after="0" w:line="303" w:lineRule="auto"/>
        <w:tabs>
          <w:tab w:leader="none" w:pos="192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Pubco shall bear all of its own expenses in connection with the consummation of any Redemption, whether or not any such Redemption is ultimately consummated, including any transfer taxes, stamp taxes or duties, or other similar taxes in connection with, or arising by reason of, any Redemption (but not, in any case, any income taxes or other similar taxes); provided, however, that if any of the Share Settlement is to be delivered in a name other than that of the Redeeming Member that requested the Redemption, then such Redeeming Member and/or the Person in whose name such shares are to be delivered shall pay to Pubco the amount of any transfer taxes, stamp taxes or duties, or other similar taxes in connection with, or arising by reason of, such Redemption or shall establish to the reasonable satisfaction of Pubco that such tax has been paid or is not payable. Except as otherwise may separately be agreed by the Company, the Redeeming Member shall bear all of its own expenses in connection with the consummation of any Redemption (including, for the avoidance of doubt, expenses incurred by such Redeeming Member in connection with any Redemption that are invoiced to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5" w:name="page136"/>
    <w:bookmarkEnd w:id="135"/>
    <w:p>
      <w:pPr>
        <w:ind w:right="20" w:firstLine="1505"/>
        <w:spacing w:after="0" w:line="276" w:lineRule="auto"/>
        <w:tabs>
          <w:tab w:leader="none" w:pos="192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connection with any Redemption or Direct Exchange, an equal number of shares of Class B Common Stock shall be surrendered and cancelled in accordance with the certificate of incorporation of PubCo.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 ON LIABILITY, EXCULPATION AND INDEMNIFICATION</w:t>
      </w:r>
    </w:p>
    <w:p>
      <w:pPr>
        <w:spacing w:after="0" w:line="239"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Limitation on Liability</w:t>
      </w:r>
      <w:r>
        <w:rPr>
          <w:rFonts w:ascii="Arial" w:cs="Arial" w:eastAsia="Arial" w:hAnsi="Arial"/>
          <w:sz w:val="22"/>
          <w:szCs w:val="22"/>
          <w:color w:val="auto"/>
        </w:rPr>
        <w:t>. The debts, obligations and liabilities of the Company, whether arising in contract, tort or otherwise, shall be solely the debts, obligations and liabilities of the Company, and no Covered Person shall be obligated personally for any such debt, obligation or liability of the Company; provided that the foregoing shall not alter a Member’s obligation to return funds wrongfully distributed to it.</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Exculpation and Indemnification; Elimination of Fiduciary Duties</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5" w:lineRule="auto"/>
        <w:tabs>
          <w:tab w:leader="none" w:pos="192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Subject to the duties of the Managing Member and Officers set forth in Section 7.01, neither the Managing Member nor any other Covered Person shall be liable, including under any legal or equitable theory of fiduciary duty or other theory of liability, to the Company or to any other Covered Person for any losses, claims, damages or liabilities incurred by reason of any act or omission performed or omitted by such Covered Person in good faith on behalf of the Company. There shall be, and each Covered Person shall be entitled to, a presumption that such Covered Person acted in good faith. None of the Members shall have any fiduciary duties to any other Member, the Company or any other Person, and any duties or implied duties (including fiduciary duties) of any Member to any other Member or the Company that would otherwise apply at law (common or statutory) or in equity are hereby eliminated to the fullest extent permitted under any Applicable Law.</w:t>
      </w:r>
    </w:p>
    <w:p>
      <w:pPr>
        <w:spacing w:after="0" w:line="154" w:lineRule="exact"/>
        <w:rPr>
          <w:rFonts w:ascii="Arial" w:cs="Arial" w:eastAsia="Arial" w:hAnsi="Arial"/>
          <w:sz w:val="19"/>
          <w:szCs w:val="19"/>
          <w:color w:val="auto"/>
        </w:rPr>
      </w:pPr>
    </w:p>
    <w:p>
      <w:pPr>
        <w:jc w:val="both"/>
        <w:ind w:firstLine="1505"/>
        <w:spacing w:after="0" w:line="266" w:lineRule="auto"/>
        <w:tabs>
          <w:tab w:leader="none" w:pos="192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Person’s professional or expert competence.</w:t>
      </w:r>
    </w:p>
    <w:p>
      <w:pPr>
        <w:spacing w:after="0" w:line="184" w:lineRule="exact"/>
        <w:rPr>
          <w:rFonts w:ascii="Arial" w:cs="Arial" w:eastAsia="Arial" w:hAnsi="Arial"/>
          <w:sz w:val="22"/>
          <w:szCs w:val="22"/>
          <w:color w:val="auto"/>
        </w:rPr>
      </w:pPr>
    </w:p>
    <w:p>
      <w:pPr>
        <w:jc w:val="both"/>
        <w:ind w:firstLine="1505"/>
        <w:spacing w:after="0" w:line="302" w:lineRule="auto"/>
        <w:tabs>
          <w:tab w:leader="none" w:pos="192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Company shall indemnify, defend and hold harmless each Covered Person against any losses, claims, damages, liabilities, expenses (including all reasonable out-of-pocket fees and expenses of counsel and other advisors), judgments, fines, settlements and other amounts arising from any and all claims, demands, actions, suits or proceedings, in which such Covered Person may be involved or become subject to, in connection with any matter arising out of or in connection with the Company’s business or affairs, or this Agreement or any related document, unless such loss, claim, damage, liability, expense, judgment, fine, settlement or other amount (i) is a result of a Covered Person not acting in good faith on behalf of the Company or arose as a result of the willful commission by such Covered Person of any act that is dishonest and materially injurious to the Company, (ii) results from its contractual obligations under any Reorganization Document to be performed in a capacity other than as a Covered Person or from the breach by such Covered Person of Section 9.01 or (iii) results from the breach by any Member (in such capacity) of its contractual obligations under this Agreement. If any Covered Person becomes involved in any capacity in any action, suit, proceeding or investigation in connection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21"/>
          <w:szCs w:val="21"/>
          <w:color w:val="auto"/>
        </w:rPr>
        <w:t>with any matter arising out of or in connection with the Company’s business or affairs, or this Agreement or any related document (other than any Reorganization Document), other than (x) by reason of any act or omission performed or omitted by such Covered Person that was not in good faith on behalf of the Company or constituted a willful commission by such Covered Person of an act that is dishonest and materially injurious to the Company or (y) as a result of any breach by such Covered Person of Section 9.01, the Company shall reimburse such Covered Person for its reasonable legal and other reasonable out-of-pocket expenses (including the cost of any investigation and preparation) as they are incurred in connection therewith; provided that such Covered Person shall promptly repay to the Company the amount of any such reimbursed expenses paid to it if it shall be finally judicially determined that such Covered Person was not entitled to indemnification by, or contribution from, the Company in connection with such action, suit, proceeding or investigation. If for any reason (other than the bad faith of a Covered Person or the willful commission by such Covered Person of an act that is dishonest and materially injurious to the Company) the foregoing indemnification is unavailable to such Covered Person, or insufficient to hold it harmless, then the Company shall contribute to the amount paid or payable by such Covered Person as a result of such loss, claim, damage, liability, expense, judgment, fine, settlement or other amount in such proportion as is appropriate to reflect any relevant equitable considerations. There shall be, and each Covered Person shall be entitled to, a rebuttable presumption that such Covered Person acted in good faith.</w:t>
      </w:r>
    </w:p>
    <w:p>
      <w:pPr>
        <w:spacing w:after="0" w:line="191" w:lineRule="exact"/>
        <w:rPr>
          <w:sz w:val="20"/>
          <w:szCs w:val="20"/>
          <w:color w:val="auto"/>
        </w:rPr>
      </w:pPr>
    </w:p>
    <w:p>
      <w:pPr>
        <w:ind w:right="20" w:firstLine="1505"/>
        <w:spacing w:after="0" w:line="276" w:lineRule="auto"/>
        <w:tabs>
          <w:tab w:leader="none" w:pos="19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obligations of the Company under Section 11.02(c) shall be satisfied solely out of and to the extent of the Company’s assets, and no Covered Person shall have any personal liability on account thereof.</w:t>
      </w:r>
    </w:p>
    <w:p>
      <w:pPr>
        <w:spacing w:after="0" w:line="174" w:lineRule="exact"/>
        <w:rPr>
          <w:rFonts w:ascii="Arial" w:cs="Arial" w:eastAsia="Arial" w:hAnsi="Arial"/>
          <w:sz w:val="22"/>
          <w:szCs w:val="22"/>
          <w:color w:val="auto"/>
        </w:rPr>
      </w:pPr>
    </w:p>
    <w:p>
      <w:pPr>
        <w:jc w:val="both"/>
        <w:ind w:firstLine="1505"/>
        <w:spacing w:after="0" w:line="300" w:lineRule="auto"/>
        <w:tabs>
          <w:tab w:leader="none" w:pos="192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Given that certain Jointly Indemnifiable Claims may arise by reason of the service of a Covered Person to the Company and/or as a director, trustee, officer, partner, member, manager, employee, consultant, fiduciary or agent of other corporations, limited liability companies, partnerships, joint ventures, trusts, employee benefit plans or other enterprises controlled by the Company (collectively, the “</w:t>
      </w:r>
      <w:r>
        <w:rPr>
          <w:rFonts w:ascii="Arial" w:cs="Arial" w:eastAsia="Arial" w:hAnsi="Arial"/>
          <w:sz w:val="19"/>
          <w:szCs w:val="19"/>
          <w:b w:val="1"/>
          <w:bCs w:val="1"/>
          <w:color w:val="auto"/>
        </w:rPr>
        <w:t>Controlled Entities</w:t>
      </w:r>
      <w:r>
        <w:rPr>
          <w:rFonts w:ascii="Arial" w:cs="Arial" w:eastAsia="Arial" w:hAnsi="Arial"/>
          <w:sz w:val="19"/>
          <w:szCs w:val="19"/>
          <w:color w:val="auto"/>
        </w:rPr>
        <w:t>”), or by reason of any action alleged to have been taken or omitted in any such capacity, the Company acknowledges and agrees that the Company shall be fully and primarily responsible for the payment to the Covered Person in respect of indemnification or advancement of all out-of-pocket costs of any type or nature whatsoever (including, without limitation, all attorneys’ fees and related disbursements) in each case, actually and reasonably incurred by or on behalf of a Covered Person in connection with either the investigation, defense or appeal of a claim, demand, action, suit or proceeding or establishing or enforcing a right to indemnification under this Agreement or otherwise incurred in connection with a claim that is indemnifiable hereunder (collectively, “</w:t>
      </w:r>
      <w:r>
        <w:rPr>
          <w:rFonts w:ascii="Arial" w:cs="Arial" w:eastAsia="Arial" w:hAnsi="Arial"/>
          <w:sz w:val="19"/>
          <w:szCs w:val="19"/>
          <w:b w:val="1"/>
          <w:bCs w:val="1"/>
          <w:color w:val="auto"/>
        </w:rPr>
        <w:t>Expenses</w:t>
      </w:r>
      <w:r>
        <w:rPr>
          <w:rFonts w:ascii="Arial" w:cs="Arial" w:eastAsia="Arial" w:hAnsi="Arial"/>
          <w:sz w:val="19"/>
          <w:szCs w:val="19"/>
          <w:color w:val="auto"/>
        </w:rPr>
        <w:t>”) in connection with any such Jointly Indemnifiable Claim, pursuant to and in accordance with (as applicable) the terms of (i) the Delaware Act, (ii) this Agreement, (iii) any other agreement between the Company or any Controlled Entity and the Covered Person pursuant to which the Covered Person is indemnified, (iv) the laws of the jurisdiction of incorporation or organization of any Controlled Entity and/or (v) the certificate of incorporation, certificate of organization, bylaws, partnership agreement, operating agreement, certificate of formation, certificate of limited partnership, certificate of qualification or other organizational or governing documents of any Controlled Entity ((i) through (v) collectively, the “</w:t>
      </w:r>
      <w:r>
        <w:rPr>
          <w:rFonts w:ascii="Arial" w:cs="Arial" w:eastAsia="Arial" w:hAnsi="Arial"/>
          <w:sz w:val="19"/>
          <w:szCs w:val="19"/>
          <w:b w:val="1"/>
          <w:bCs w:val="1"/>
          <w:color w:val="auto"/>
        </w:rPr>
        <w:t>Indemnification Sources</w:t>
      </w:r>
      <w:r>
        <w:rPr>
          <w:rFonts w:ascii="Arial" w:cs="Arial" w:eastAsia="Arial" w:hAnsi="Arial"/>
          <w:sz w:val="19"/>
          <w:szCs w:val="19"/>
          <w:color w:val="auto"/>
        </w:rPr>
        <w:t>”), irrespective of any right of recovery the Covered Person may have from the Indemnitee-Related Entities. Under no circumstance shall the Company or any Controlled Entity be entitled to any right of subrogation or contribution by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7" w:name="page138"/>
    <w:bookmarkEnd w:id="137"/>
    <w:p>
      <w:pPr>
        <w:jc w:val="both"/>
        <w:spacing w:after="0" w:line="300" w:lineRule="auto"/>
        <w:rPr>
          <w:sz w:val="20"/>
          <w:szCs w:val="20"/>
          <w:color w:val="auto"/>
        </w:rPr>
      </w:pPr>
      <w:r>
        <w:rPr>
          <w:rFonts w:ascii="Arial" w:cs="Arial" w:eastAsia="Arial" w:hAnsi="Arial"/>
          <w:sz w:val="19"/>
          <w:szCs w:val="19"/>
          <w:color w:val="auto"/>
        </w:rPr>
        <w:t>the Indemnitee-Related Entities and no right of advancement or recovery the Covered Person may have from the Indemnitee-Related Entities shall reduce or otherwise alter the rights of the Covered Person or the obligations of the Company or any Controlled Entity under the Indemnification Sources. In the event that any of the Indemnitee-Related Entities shall make any payment to the Covered Person in respect of indemnification or advancement of Expenses with respect to any Jointly Indemnifiable Claim, (i) the Company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Company and/or any Controlled Entity pursuant to clause (i), the Indemnitee-Related Entity making such payment shall be subrogated to the extent of the outstanding balance of such payment to all of the rights of recovery of the Covered Person against the Company and/or any Controlled Entity, as applicable, and (iii) the Covered Person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the Covered Person agree that each of the Indemnitee-Related Entities shall be third-party beneficiaries with respect to this Section 11.02(e), entitled to enforce this Section 11.02(e) as though each such Indemnitee-Related Entity were a party to this Agreement. The Company shall cause each of the Controlled Entities to perform the terms and obligations of this Section 11.02(e) as though each such Controlled Entity was the “Company “ under this Agreement. For purposes of this Section 11.02(e), the following terms shall have the following meanings:</w:t>
      </w:r>
    </w:p>
    <w:p>
      <w:pPr>
        <w:spacing w:after="0" w:line="200" w:lineRule="exact"/>
        <w:rPr>
          <w:sz w:val="20"/>
          <w:szCs w:val="20"/>
          <w:color w:val="auto"/>
        </w:rPr>
      </w:pPr>
    </w:p>
    <w:p>
      <w:pPr>
        <w:spacing w:after="0" w:line="230" w:lineRule="exact"/>
        <w:rPr>
          <w:sz w:val="20"/>
          <w:szCs w:val="20"/>
          <w:color w:val="auto"/>
        </w:rPr>
      </w:pPr>
    </w:p>
    <w:p>
      <w:pPr>
        <w:jc w:val="both"/>
        <w:ind w:left="760" w:firstLine="1494"/>
        <w:spacing w:after="0" w:line="313" w:lineRule="auto"/>
        <w:tabs>
          <w:tab w:leader="none" w:pos="258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Indemnitee-Related Entities</w:t>
      </w:r>
      <w:r>
        <w:rPr>
          <w:rFonts w:ascii="Arial" w:cs="Arial" w:eastAsia="Arial" w:hAnsi="Arial"/>
          <w:sz w:val="19"/>
          <w:szCs w:val="19"/>
          <w:color w:val="auto"/>
        </w:rPr>
        <w:t>” means any corporation, limited liability company, partnership, joint venture, trust, employee benefit plan or other enterprise (other than the Company, any Controlled Entity or the insurer under and pursuant to an insurance policy of the Company or any Controlled Entity) from whom a Covered Person may be entitled to indemnification or advancement of Expenses with respect to which, in whole or in part, the Company or any Controlled Entity may also have an indemnification or advancement obligation.</w:t>
      </w:r>
    </w:p>
    <w:p>
      <w:pPr>
        <w:spacing w:after="0" w:line="141" w:lineRule="exact"/>
        <w:rPr>
          <w:rFonts w:ascii="Arial" w:cs="Arial" w:eastAsia="Arial" w:hAnsi="Arial"/>
          <w:sz w:val="19"/>
          <w:szCs w:val="19"/>
          <w:color w:val="auto"/>
        </w:rPr>
      </w:pPr>
    </w:p>
    <w:p>
      <w:pPr>
        <w:jc w:val="both"/>
        <w:ind w:left="760" w:firstLine="1494"/>
        <w:spacing w:after="0" w:line="259" w:lineRule="auto"/>
        <w:tabs>
          <w:tab w:leader="none" w:pos="259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Jointly Indemnifiable Claims</w:t>
      </w:r>
      <w:r>
        <w:rPr>
          <w:rFonts w:ascii="Arial" w:cs="Arial" w:eastAsia="Arial" w:hAnsi="Arial"/>
          <w:sz w:val="22"/>
          <w:szCs w:val="22"/>
          <w:color w:val="auto"/>
        </w:rPr>
        <w:t>” shall be broadly construed and shall include, without limitation, any claim, demand, action, suit or proceeding for which the Covered Person shall be entitled to indemnification or advancement of Expenses from both (i) the Company and/or any Controlled Entity pursuant to the Indemnification Sources, on the one hand, and (ii) any Indemnitee-Related Entity pursuant to any other agreement between any Indemnitee-Related Entity and the Covered Person pursuant to which the Covered Person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95" w:lineRule="exact"/>
        <w:rPr>
          <w:rFonts w:ascii="Arial" w:cs="Arial" w:eastAsia="Arial" w:hAnsi="Arial"/>
          <w:sz w:val="22"/>
          <w:szCs w:val="22"/>
          <w:color w:val="auto"/>
        </w:rPr>
      </w:pPr>
    </w:p>
    <w:p>
      <w:pPr>
        <w:jc w:val="both"/>
        <w:ind w:firstLine="1505"/>
        <w:spacing w:after="0" w:line="279" w:lineRule="auto"/>
        <w:tabs>
          <w:tab w:leader="none" w:pos="192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rights conferred on any Covered Person by this Section 11.02 shall not be exclusive of any other rights that such Covered Person may have or hereafter acquire under any statute, provision of this Agreement, agreement, vote of members, by determination of the Managing Member or otherwise. Further, the Company shall have the power and authority to provide indemnification, advancement of expenses and other similar rights to other Persons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color w:val="auto"/>
        </w:rPr>
        <w:t>(including by agreements with members of the board of directors of Pubco) as is approved by the Managing Member.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DISSOLUTION AND TERMINATION</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Dissolution</w:t>
      </w:r>
      <w:r>
        <w:rPr>
          <w:rFonts w:ascii="Arial" w:cs="Arial" w:eastAsia="Arial" w:hAnsi="Arial"/>
          <w:sz w:val="22"/>
          <w:szCs w:val="22"/>
          <w:color w:val="auto"/>
        </w:rPr>
        <w:t>.</w:t>
      </w:r>
    </w:p>
    <w:p>
      <w:pPr>
        <w:spacing w:after="0" w:line="233" w:lineRule="exact"/>
        <w:rPr>
          <w:sz w:val="20"/>
          <w:szCs w:val="20"/>
          <w:color w:val="auto"/>
        </w:rPr>
      </w:pPr>
    </w:p>
    <w:p>
      <w:pPr>
        <w:ind w:right="40" w:firstLine="1505"/>
        <w:spacing w:after="0" w:line="276" w:lineRule="auto"/>
        <w:tabs>
          <w:tab w:leader="none" w:pos="192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Company shall not be dissolved by the admission of Additional Members or Substitute Members pursuant to Section 3.03.</w:t>
      </w:r>
    </w:p>
    <w:p>
      <w:pPr>
        <w:spacing w:after="0" w:line="174" w:lineRule="exact"/>
        <w:rPr>
          <w:rFonts w:ascii="Arial" w:cs="Arial" w:eastAsia="Arial" w:hAnsi="Arial"/>
          <w:sz w:val="22"/>
          <w:szCs w:val="22"/>
          <w:color w:val="auto"/>
        </w:rPr>
      </w:pPr>
    </w:p>
    <w:p>
      <w:pPr>
        <w:jc w:val="both"/>
        <w:ind w:firstLine="1505"/>
        <w:spacing w:after="0" w:line="274" w:lineRule="auto"/>
        <w:tabs>
          <w:tab w:leader="none" w:pos="1929"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No Member shall (i) resign from the Company prior to the dissolution and winding up of the Company except in connection with a Transfer of Units pursuant to the terms of this Agreement or (ii) take any action to dissolve, terminate or liquidate the Company or to require apportionment, appraisal or partition of the Company or any of its assets, or to file a bill for an accounting, except as specifically provided in this Agreement, and each Member, to the fullest extent permitted by Applicable Law, hereby waives any rights to take any such actions under Applicable Law, including any right to petition a court for judicial dissolution under Section 18-802 of the Delaware Act.</w:t>
      </w:r>
    </w:p>
    <w:p>
      <w:pPr>
        <w:spacing w:after="0" w:line="181" w:lineRule="exact"/>
        <w:rPr>
          <w:rFonts w:ascii="Arial" w:cs="Arial" w:eastAsia="Arial" w:hAnsi="Arial"/>
          <w:sz w:val="21"/>
          <w:szCs w:val="21"/>
          <w:color w:val="auto"/>
        </w:rPr>
      </w:pPr>
    </w:p>
    <w:p>
      <w:pPr>
        <w:ind w:right="20" w:firstLine="1505"/>
        <w:spacing w:after="0" w:line="276" w:lineRule="auto"/>
        <w:tabs>
          <w:tab w:leader="none" w:pos="192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The Company shall be dissolved and its business wound up only upon the earliest to occur of any one of the following events (each a “ </w:t>
      </w:r>
      <w:r>
        <w:rPr>
          <w:rFonts w:ascii="Arial" w:cs="Arial" w:eastAsia="Arial" w:hAnsi="Arial"/>
          <w:sz w:val="22"/>
          <w:szCs w:val="22"/>
          <w:b w:val="1"/>
          <w:bCs w:val="1"/>
          <w:color w:val="auto"/>
        </w:rPr>
        <w:t>Dissolution Event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60" w:right="20" w:firstLine="1494"/>
        <w:spacing w:after="0" w:line="276" w:lineRule="auto"/>
        <w:tabs>
          <w:tab w:leader="none" w:pos="2521"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expiration of forty-five (45) days after the sale or other disposition of all or substantially all the assets of the Company;</w:t>
      </w:r>
    </w:p>
    <w:p>
      <w:pPr>
        <w:spacing w:after="0" w:line="174" w:lineRule="exact"/>
        <w:rPr>
          <w:rFonts w:ascii="Arial" w:cs="Arial" w:eastAsia="Arial" w:hAnsi="Arial"/>
          <w:sz w:val="22"/>
          <w:szCs w:val="22"/>
          <w:color w:val="auto"/>
        </w:rPr>
      </w:pPr>
    </w:p>
    <w:p>
      <w:pPr>
        <w:ind w:left="2580" w:hanging="326"/>
        <w:spacing w:after="0"/>
        <w:tabs>
          <w:tab w:leader="none" w:pos="258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upon the approval of the Managing Member;</w:t>
      </w:r>
    </w:p>
    <w:p>
      <w:pPr>
        <w:spacing w:after="0" w:line="233" w:lineRule="exact"/>
        <w:rPr>
          <w:rFonts w:ascii="Arial" w:cs="Arial" w:eastAsia="Arial" w:hAnsi="Arial"/>
          <w:sz w:val="22"/>
          <w:szCs w:val="22"/>
          <w:color w:val="auto"/>
        </w:rPr>
      </w:pPr>
    </w:p>
    <w:p>
      <w:pPr>
        <w:ind w:left="2640" w:hanging="386"/>
        <w:spacing w:after="0"/>
        <w:tabs>
          <w:tab w:leader="none" w:pos="264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entry of a decree of dissolution of the Company under Section 18-802 of the Delaware Act; or</w:t>
      </w:r>
    </w:p>
    <w:p>
      <w:pPr>
        <w:spacing w:after="0" w:line="267" w:lineRule="exact"/>
        <w:rPr>
          <w:rFonts w:ascii="Arial" w:cs="Arial" w:eastAsia="Arial" w:hAnsi="Arial"/>
          <w:sz w:val="19"/>
          <w:szCs w:val="19"/>
          <w:color w:val="auto"/>
        </w:rPr>
      </w:pPr>
    </w:p>
    <w:p>
      <w:pPr>
        <w:ind w:left="760" w:firstLine="1494"/>
        <w:spacing w:after="0" w:line="276" w:lineRule="auto"/>
        <w:tabs>
          <w:tab w:leader="none" w:pos="2629"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at any time there are no members of the Company, unless the Company is continued in accordance with the Delaware Act.</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death, retirement, resignation, expulsion, bankruptcy, insolvency or dissolution of a Member or the occurrence of any other event that terminates the continued membership of a Member of the Company shall not in and of itself cause dissolution of the Company.</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i w:val="1"/>
          <w:iCs w:val="1"/>
          <w:color w:val="auto"/>
        </w:rPr>
        <w:t>Winding Up of the Company</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17" w:lineRule="auto"/>
        <w:tabs>
          <w:tab w:leader="none" w:pos="192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Managing Member shall promptly notify the other Members of any Dissolution Event. Upon dissolution, the Company’s business shall be liquidated in an orderly manner. The Managing Member shall appoint a liquidating trustee to wind up the affairs of the Company pursuant to this Agreement. In performing its duties, the liquidating trustee is authorized to sell, distribute, exchange or otherwise dispose of the assets of the Company in accordance with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9" w:name="page140"/>
    <w:bookmarkEnd w:id="139"/>
    <w:p>
      <w:pPr>
        <w:spacing w:after="0" w:line="276" w:lineRule="auto"/>
        <w:rPr>
          <w:sz w:val="20"/>
          <w:szCs w:val="20"/>
          <w:color w:val="auto"/>
        </w:rPr>
      </w:pPr>
      <w:r>
        <w:rPr>
          <w:rFonts w:ascii="Arial" w:cs="Arial" w:eastAsia="Arial" w:hAnsi="Arial"/>
          <w:sz w:val="22"/>
          <w:szCs w:val="22"/>
          <w:color w:val="auto"/>
        </w:rPr>
        <w:t>the Delaware Act and in any reasonable manner that the liquidating trustee shall determine to be in the best interest of the Members.</w:t>
      </w:r>
    </w:p>
    <w:p>
      <w:pPr>
        <w:spacing w:after="0" w:line="174" w:lineRule="exact"/>
        <w:rPr>
          <w:sz w:val="20"/>
          <w:szCs w:val="20"/>
          <w:color w:val="auto"/>
        </w:rPr>
      </w:pPr>
    </w:p>
    <w:p>
      <w:pPr>
        <w:ind w:left="1940" w:hanging="435"/>
        <w:spacing w:after="0"/>
        <w:tabs>
          <w:tab w:leader="none" w:pos="19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proceeds of the liquidation of the Company shall be distributed in the following order and priority:</w:t>
      </w:r>
    </w:p>
    <w:p>
      <w:pPr>
        <w:spacing w:after="0" w:line="267" w:lineRule="exact"/>
        <w:rPr>
          <w:rFonts w:ascii="Arial" w:cs="Arial" w:eastAsia="Arial" w:hAnsi="Arial"/>
          <w:sz w:val="19"/>
          <w:szCs w:val="19"/>
          <w:color w:val="auto"/>
        </w:rPr>
      </w:pPr>
    </w:p>
    <w:p>
      <w:pPr>
        <w:jc w:val="both"/>
        <w:ind w:left="760" w:firstLine="1494"/>
        <w:spacing w:after="0" w:line="262" w:lineRule="auto"/>
        <w:tabs>
          <w:tab w:leader="none" w:pos="2527" w:val="left"/>
        </w:tabs>
        <w:numPr>
          <w:ilvl w:val="1"/>
          <w:numId w:val="129"/>
        </w:numPr>
        <w:rPr>
          <w:rFonts w:ascii="Arial" w:cs="Arial" w:eastAsia="Arial" w:hAnsi="Arial"/>
          <w:sz w:val="22"/>
          <w:szCs w:val="22"/>
          <w:color w:val="auto"/>
        </w:rPr>
      </w:pPr>
      <w:r>
        <w:rPr>
          <w:rFonts w:ascii="Arial" w:cs="Arial" w:eastAsia="Arial" w:hAnsi="Arial"/>
          <w:sz w:val="22"/>
          <w:szCs w:val="22"/>
          <w:color w:val="auto"/>
        </w:rPr>
        <w:t>first, to the creditors (including any Members or their respective Affiliates that are creditors) of the Company in satisfaction of all of the Company’s liabilities (whether by payment or by making reasonable provision for payment thereof, including the setting up of any reserves which are, in the judgment of the liquidating trustee, reasonably necessary therefor); and</w:t>
      </w:r>
    </w:p>
    <w:p>
      <w:pPr>
        <w:spacing w:after="0" w:line="191" w:lineRule="exact"/>
        <w:rPr>
          <w:rFonts w:ascii="Arial" w:cs="Arial" w:eastAsia="Arial" w:hAnsi="Arial"/>
          <w:sz w:val="22"/>
          <w:szCs w:val="22"/>
          <w:color w:val="auto"/>
        </w:rPr>
      </w:pPr>
    </w:p>
    <w:p>
      <w:pPr>
        <w:ind w:left="2580" w:hanging="326"/>
        <w:spacing w:after="0"/>
        <w:tabs>
          <w:tab w:leader="none" w:pos="25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second, to the Members in the same manner as distributions under Section 5.03(b).</w:t>
      </w:r>
    </w:p>
    <w:p>
      <w:pPr>
        <w:spacing w:after="0" w:line="233" w:lineRule="exact"/>
        <w:rPr>
          <w:rFonts w:ascii="Arial" w:cs="Arial" w:eastAsia="Arial" w:hAnsi="Arial"/>
          <w:sz w:val="22"/>
          <w:szCs w:val="22"/>
          <w:color w:val="auto"/>
        </w:rPr>
      </w:pPr>
    </w:p>
    <w:p>
      <w:pPr>
        <w:jc w:val="both"/>
        <w:ind w:firstLine="1505"/>
        <w:spacing w:after="0" w:line="308" w:lineRule="auto"/>
        <w:tabs>
          <w:tab w:leader="none" w:pos="1956"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Distribution of Property</w:t>
      </w:r>
      <w:r>
        <w:rPr>
          <w:rFonts w:ascii="Arial" w:cs="Arial" w:eastAsia="Arial" w:hAnsi="Arial"/>
          <w:sz w:val="19"/>
          <w:szCs w:val="19"/>
          <w:color w:val="auto"/>
        </w:rPr>
        <w:t>. In the event it becomes necessary in connection with the liquidation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to make a distribution of Property in-kind, subject to the priority set forth in Section 12.02(b), the liquidating trustee shall have the right to compel each Member to accept a distribution of any Property in-kind (with such Property, as a percentage of the total liquidating distributions to such Member, corresponding as nearly as possible to such Member’s Percentage Interest), with such distribution being based upon the amount of cash that would be distributed to such Members if such Property were sold for an amount of cash equal to the fair market value of such Property, as determined by the liquidating trustee in good faith.</w:t>
      </w:r>
    </w:p>
    <w:p>
      <w:pPr>
        <w:spacing w:after="0" w:line="153" w:lineRule="exact"/>
        <w:rPr>
          <w:rFonts w:ascii="Arial" w:cs="Arial" w:eastAsia="Arial" w:hAnsi="Arial"/>
          <w:sz w:val="19"/>
          <w:szCs w:val="19"/>
          <w:color w:val="auto"/>
        </w:rPr>
      </w:pPr>
    </w:p>
    <w:p>
      <w:pPr>
        <w:jc w:val="both"/>
        <w:ind w:firstLine="1505"/>
        <w:spacing w:after="0" w:line="317" w:lineRule="auto"/>
        <w:tabs>
          <w:tab w:leader="none" w:pos="192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 the event of a dissolution pursuant to Section 12.01(c), the relative economic rights of each class of Units immediately prior to such dissolution shall be preserved to the greatest extent practicable with respect to distributions made to Members pursuant to Section 10.01(b) in connection with such dissolution, taking into consideration tax and other legal constraints that may adversely affect one or more parties to such dissolution and subject to compliance with Applicable Laws.</w:t>
      </w:r>
    </w:p>
    <w:p>
      <w:pPr>
        <w:spacing w:after="0" w:line="142"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i w:val="1"/>
          <w:iCs w:val="1"/>
          <w:color w:val="auto"/>
        </w:rPr>
        <w:t>Termination</w:t>
      </w:r>
      <w:r>
        <w:rPr>
          <w:rFonts w:ascii="Arial" w:cs="Arial" w:eastAsia="Arial" w:hAnsi="Arial"/>
          <w:sz w:val="22"/>
          <w:szCs w:val="22"/>
          <w:color w:val="auto"/>
        </w:rPr>
        <w:t>. The Company shall terminate when all of the assets of the Company, after payment of or reasonable provision for the payment of all debts and liabilities of the Company, shall have been distributed to the Members in the manner provided for in this Article 12, and the certificate of formation of the Company shall have been cancelled in the manner required by the Delaware Act.</w:t>
      </w:r>
    </w:p>
    <w:p>
      <w:pPr>
        <w:spacing w:after="0" w:line="191"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Survival</w:t>
      </w:r>
      <w:r>
        <w:rPr>
          <w:rFonts w:ascii="Arial" w:cs="Arial" w:eastAsia="Arial" w:hAnsi="Arial"/>
          <w:sz w:val="22"/>
          <w:szCs w:val="22"/>
          <w:color w:val="auto"/>
        </w:rPr>
        <w:t>. Termination, dissolution, liquidation or winding up of the Company for any reason shall not release any party from any liability which at the time of such termination, dissolution, liquidation or winding up already had accrued to any other party or which thereafter may accrue in respect to any act or omission prior to such termination, dissolution, liquidation or winding up.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ARTICLE 13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843"/>
        <w:spacing w:after="0" w:line="299" w:lineRule="auto"/>
        <w:rPr>
          <w:sz w:val="20"/>
          <w:szCs w:val="20"/>
          <w:color w:val="auto"/>
        </w:rPr>
      </w:pPr>
      <w:r>
        <w:rPr>
          <w:rFonts w:ascii="Arial" w:cs="Arial" w:eastAsia="Arial" w:hAnsi="Arial"/>
          <w:sz w:val="19"/>
          <w:szCs w:val="19"/>
          <w:color w:val="auto"/>
        </w:rPr>
        <w:t xml:space="preserve">Section 13.01. </w:t>
      </w:r>
      <w:r>
        <w:rPr>
          <w:rFonts w:ascii="Arial" w:cs="Arial" w:eastAsia="Arial" w:hAnsi="Arial"/>
          <w:sz w:val="19"/>
          <w:szCs w:val="19"/>
          <w:i w:val="1"/>
          <w:iCs w:val="1"/>
          <w:color w:val="auto"/>
        </w:rPr>
        <w:t>Expenses</w:t>
      </w:r>
      <w:r>
        <w:rPr>
          <w:rFonts w:ascii="Arial" w:cs="Arial" w:eastAsia="Arial" w:hAnsi="Arial"/>
          <w:sz w:val="19"/>
          <w:szCs w:val="19"/>
          <w:color w:val="auto"/>
        </w:rPr>
        <w:t>. Other than as provided for in the Reorganization Agreement or in the Tax Receivable Agreement, the Company shall (a) pay, or cause to be paid, all costs, fees, operating expenses, administrative expenses and other expenses of the Company (including the costs, fees and expenses of attorneys, accountants or other professionals and the compensation of all personnel providing services to the Company) incurred in pursuing and conducting, or otherwise related to, the business of the Company and (b) in the sole discretion of the Managing Member, reimburse the Managing Member for any out-of-pocket costs, fees and expenses incurred by it or its Subsidiaries in connection therewith. To the extent that the Managing Member reasonably determines in good faith that its expenses are related to the business conducted by the Company and/or its Subsidiaries, then the Managing Member may cause the Company to pay or bear all such expenses of the Managing Member or its Subsidiaries, including (i) costs of any securities offerings (including any underwriters discounts and commissions), investment or acquisition transaction (whether or not successful) not borne directly by Members, (ii) compensation and meeting costs of its board of directors, (iii) cost of periodic reports to its stockholders, (iv) any judgments, settlements, penalties, fines or other costs and expenses in respect of any claims against, or any litigation or proceedings involving, Pubco, (v) accounting and legal costs, (vi) franchise taxes (which are not based on, or measured by, income), (vii) payments in respect of Indebtedness and preferred stock, to the extent the proceeds are used or will be used by Pubco or its Subsidiaries to pay expenses or other obligations described in this Section 13.01 (in either case only to the extent economically equivalent Indebtedness or Equity Securities of the Company were not issued to Pubco or its Subsidiaries) and (viii) other fees and expenses in connection with the maintenance of the existence of Pubco and its Subsidiaries (including any costs or expenses associated with being a public company listed on a national securities exchange), provided that the Company shall not pay or bear any income tax obligations of the Managing Member or its Subsidiaries pursuant to this provision. Payments under this Section 13.01 are intended to constitute reasonable compensation for past or present services and are not “distributions” within the meaning of Section 5.03 above or §18-607 of the Delaware Act.</w:t>
      </w:r>
    </w:p>
    <w:p>
      <w:pPr>
        <w:spacing w:after="0" w:line="200" w:lineRule="exact"/>
        <w:rPr>
          <w:sz w:val="20"/>
          <w:szCs w:val="20"/>
          <w:color w:val="auto"/>
        </w:rPr>
      </w:pPr>
    </w:p>
    <w:p>
      <w:pPr>
        <w:spacing w:after="0" w:line="242" w:lineRule="exact"/>
        <w:rPr>
          <w:sz w:val="20"/>
          <w:szCs w:val="20"/>
          <w:color w:val="auto"/>
        </w:rPr>
      </w:pPr>
    </w:p>
    <w:p>
      <w:pPr>
        <w:jc w:val="both"/>
        <w:ind w:firstLine="843"/>
        <w:spacing w:after="0" w:line="262" w:lineRule="auto"/>
        <w:rPr>
          <w:sz w:val="20"/>
          <w:szCs w:val="20"/>
          <w:color w:val="auto"/>
        </w:rPr>
      </w:pPr>
      <w:r>
        <w:rPr>
          <w:rFonts w:ascii="Arial" w:cs="Arial" w:eastAsia="Arial" w:hAnsi="Arial"/>
          <w:sz w:val="22"/>
          <w:szCs w:val="22"/>
          <w:color w:val="auto"/>
        </w:rPr>
        <w:t xml:space="preserve">Section 13.02. </w:t>
      </w:r>
      <w:r>
        <w:rPr>
          <w:rFonts w:ascii="Arial" w:cs="Arial" w:eastAsia="Arial" w:hAnsi="Arial"/>
          <w:sz w:val="22"/>
          <w:szCs w:val="22"/>
          <w:i w:val="1"/>
          <w:iCs w:val="1"/>
          <w:color w:val="auto"/>
        </w:rPr>
        <w:t>Further Assurances</w:t>
      </w:r>
      <w:r>
        <w:rPr>
          <w:rFonts w:ascii="Arial" w:cs="Arial" w:eastAsia="Arial" w:hAnsi="Arial"/>
          <w:sz w:val="22"/>
          <w:szCs w:val="22"/>
          <w:color w:val="auto"/>
        </w:rPr>
        <w:t>. Each Member agrees to execute, acknowledge, deliver, file and record such further certificates, amendments, instruments and documents, and to do all such other acts and things, as may be required by Applicable Law or as, in the reasonable judgment of the Managing Member, may be necessary or advisable to carry out the intent and purposes of this Agreement.</w:t>
      </w:r>
    </w:p>
    <w:p>
      <w:pPr>
        <w:spacing w:after="0" w:line="191" w:lineRule="exact"/>
        <w:rPr>
          <w:sz w:val="20"/>
          <w:szCs w:val="20"/>
          <w:color w:val="auto"/>
        </w:rPr>
      </w:pPr>
    </w:p>
    <w:p>
      <w:pPr>
        <w:jc w:val="both"/>
        <w:ind w:firstLine="843"/>
        <w:spacing w:after="0" w:line="306"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i w:val="1"/>
          <w:iCs w:val="1"/>
          <w:color w:val="auto"/>
        </w:rPr>
        <w:t>Notices</w:t>
      </w:r>
      <w:r>
        <w:rPr>
          <w:rFonts w:ascii="Arial" w:cs="Arial" w:eastAsia="Arial" w:hAnsi="Arial"/>
          <w:sz w:val="19"/>
          <w:szCs w:val="19"/>
          <w:color w:val="auto"/>
        </w:rPr>
        <w:t>. All notices, requests and other communications to any party hereunder shall be in writing (including electronic mail transmission of attachments to such electronic mail in portable document format (“</w:t>
      </w:r>
      <w:r>
        <w:rPr>
          <w:rFonts w:ascii="Arial" w:cs="Arial" w:eastAsia="Arial" w:hAnsi="Arial"/>
          <w:sz w:val="19"/>
          <w:szCs w:val="19"/>
          <w:b w:val="1"/>
          <w:bCs w:val="1"/>
          <w:color w:val="auto"/>
        </w:rPr>
        <w:t>e-mail</w:t>
      </w:r>
      <w:r>
        <w:rPr>
          <w:rFonts w:ascii="Arial" w:cs="Arial" w:eastAsia="Arial" w:hAnsi="Arial"/>
          <w:sz w:val="19"/>
          <w:szCs w:val="19"/>
          <w:color w:val="auto"/>
        </w:rPr>
        <w:t>”), so long as a receipt of such e-mail is requested and received) and shall be given to such party at the address or e-mail address specified for such party on the Member Schedule hereto, 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41" w:name="page142"/>
    <w:bookmarkEnd w:id="141"/>
    <w:p>
      <w:pPr>
        <w:spacing w:after="0" w:line="276" w:lineRule="auto"/>
        <w:rPr>
          <w:sz w:val="20"/>
          <w:szCs w:val="20"/>
          <w:color w:val="auto"/>
        </w:rPr>
      </w:pPr>
      <w:r>
        <w:rPr>
          <w:rFonts w:ascii="Arial" w:cs="Arial" w:eastAsia="Arial" w:hAnsi="Arial"/>
          <w:sz w:val="22"/>
          <w:szCs w:val="22"/>
          <w:color w:val="auto"/>
        </w:rPr>
        <w:t>the place of receipt. All such notices, requests and other communications to any party hereunder shall be given to such party as follows: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Pubco or the Company:</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 AIDH Topco, LLC</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550 Cochituate Rd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Framingham, MA 01701</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Chief Legal Officer</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dsamuels@definitivehc.com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copies (which shall not constitute actual notice) to:</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767 Fifth Avenue</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New York, NY 10153</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Marilyn French Shaw; Alexander D. Lynch</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marilynfrench.shaw@weil.com; alex.lynch@weil.com;</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i w:val="1"/>
          <w:iCs w:val="1"/>
          <w:color w:val="auto"/>
        </w:rPr>
        <w:t>Binding Effect; Benefit; Assignment</w:t>
      </w:r>
      <w:r>
        <w:rPr>
          <w:rFonts w:ascii="Arial" w:cs="Arial" w:eastAsia="Arial" w:hAnsi="Arial"/>
          <w:sz w:val="22"/>
          <w:szCs w:val="22"/>
          <w:color w:val="auto"/>
        </w:rPr>
        <w:t>.</w:t>
      </w:r>
    </w:p>
    <w:p>
      <w:pPr>
        <w:spacing w:after="0" w:line="233" w:lineRule="exact"/>
        <w:rPr>
          <w:sz w:val="20"/>
          <w:szCs w:val="20"/>
          <w:color w:val="auto"/>
        </w:rPr>
      </w:pPr>
    </w:p>
    <w:p>
      <w:pPr>
        <w:ind w:right="20" w:firstLine="1505"/>
        <w:spacing w:after="0" w:line="276" w:lineRule="auto"/>
        <w:tabs>
          <w:tab w:leader="none" w:pos="192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provisions of this Agreement shall be binding upon and shall inure to the benefit of the parties hereto and their respective successors and assigns.</w:t>
      </w:r>
    </w:p>
    <w:p>
      <w:pPr>
        <w:spacing w:after="0" w:line="174" w:lineRule="exact"/>
        <w:rPr>
          <w:rFonts w:ascii="Arial" w:cs="Arial" w:eastAsia="Arial" w:hAnsi="Arial"/>
          <w:sz w:val="22"/>
          <w:szCs w:val="22"/>
          <w:color w:val="auto"/>
        </w:rPr>
      </w:pPr>
    </w:p>
    <w:p>
      <w:pPr>
        <w:ind w:right="20" w:firstLine="1505"/>
        <w:spacing w:after="0" w:line="276" w:lineRule="auto"/>
        <w:tabs>
          <w:tab w:leader="none" w:pos="192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Except as provided in Article 8, no Member may assign, delegate or otherwise transfer any of its rights or obligations under this Agreement without the consent of the Managing Member.</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13.05. </w:t>
      </w:r>
      <w:r>
        <w:rPr>
          <w:rFonts w:ascii="Arial" w:cs="Arial" w:eastAsia="Arial" w:hAnsi="Arial"/>
          <w:sz w:val="22"/>
          <w:szCs w:val="22"/>
          <w:i w:val="1"/>
          <w:iCs w:val="1"/>
          <w:color w:val="auto"/>
        </w:rPr>
        <w:t>Jurisdiction</w:t>
      </w:r>
      <w:r>
        <w:rPr>
          <w:rFonts w:ascii="Arial" w:cs="Arial" w:eastAsia="Arial" w:hAnsi="Arial"/>
          <w:sz w:val="22"/>
          <w:szCs w:val="22"/>
          <w:color w:val="auto"/>
        </w:rPr>
        <w:t>.</w:t>
      </w:r>
    </w:p>
    <w:p>
      <w:pPr>
        <w:spacing w:after="0" w:line="233" w:lineRule="exact"/>
        <w:rPr>
          <w:sz w:val="20"/>
          <w:szCs w:val="20"/>
          <w:color w:val="auto"/>
        </w:rPr>
      </w:pPr>
    </w:p>
    <w:p>
      <w:pPr>
        <w:jc w:val="both"/>
        <w:ind w:firstLine="1505"/>
        <w:spacing w:after="0" w:line="303" w:lineRule="auto"/>
        <w:tabs>
          <w:tab w:leader="none" w:pos="192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13.03 shall be deemed effective service of process on such party.</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firstLine="1505"/>
        <w:spacing w:after="0" w:line="266" w:lineRule="auto"/>
        <w:tabs>
          <w:tab w:leader="none" w:pos="192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EACH OF THE COMPANY AND THE MEMBERS HEREBY IRREVOCABLY DESIGNATES CORPORATION TRUST COMPANY (IN SUCH CAPACITY, THE “</w:t>
      </w:r>
      <w:r>
        <w:rPr>
          <w:rFonts w:ascii="Arial" w:cs="Arial" w:eastAsia="Arial" w:hAnsi="Arial"/>
          <w:sz w:val="22"/>
          <w:szCs w:val="22"/>
          <w:b w:val="1"/>
          <w:bCs w:val="1"/>
          <w:color w:val="auto"/>
        </w:rPr>
        <w:t>PROCESS AGENT</w:t>
      </w:r>
      <w:r>
        <w:rPr>
          <w:rFonts w:ascii="Arial" w:cs="Arial" w:eastAsia="Arial" w:hAnsi="Arial"/>
          <w:sz w:val="22"/>
          <w:szCs w:val="22"/>
          <w:color w:val="auto"/>
        </w:rPr>
        <w:t>”), WITH AN OFFICE AT CORPORATION TRUST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42" w:name="page143"/>
    <w:bookmarkEnd w:id="142"/>
    <w:p>
      <w:pPr>
        <w:jc w:val="both"/>
        <w:spacing w:after="0" w:line="271" w:lineRule="auto"/>
        <w:rPr>
          <w:sz w:val="20"/>
          <w:szCs w:val="20"/>
          <w:color w:val="auto"/>
        </w:rPr>
      </w:pPr>
      <w:r>
        <w:rPr>
          <w:rFonts w:ascii="Arial" w:cs="Arial" w:eastAsia="Arial" w:hAnsi="Arial"/>
          <w:sz w:val="21"/>
          <w:szCs w:val="21"/>
          <w:color w:val="auto"/>
        </w:rPr>
        <w:t>COMPANY, 1209 ORANGE STREET, WILMINGTON, DELAWARE 19801, AS ITS DESIGNEE, APPOINTEE AND AGENT TO RECEIVE, FOR AND ON ITS BEHALF SERVICE OF PROCESS IN SUCH JURISDICTION IN ANY LEGAL ACTION OR PROCEEDINGS WITH RESPECT TO THIS AGREEMENT OR ANY OTHER AGREEMENT EXECUTED IN CONNECTION WITH THIS AGREEMENT, AND SUCH SERVICE SHALL BE DEEMED COMPLETE UPON DELIVERY THEREOF TO THE PROCESS AGENT; PROVIDED THAT IN THE CASE OF ANY SUCH SERVICE UPON THE PROCESS AGENT, THE PARTY EFFECTING SUCH SERVICE SHALL ALSO DELIVER A COPY THEREOF TO EACH OTHER SUCH PARTY IN THE MANNER PROVIDED IN SECTION 13.03 OF THIS AGREEMENT AND, TO THE EXTENT A MEMBER IS NOT ORGANIZED UNDER THE LAWS OF THE STATE OF DELAWARE, AS REQUIRED BY THE LAW OF THE JURISDICTION OF ORGANIZATION OF SUCH MEMBER. NOTHING HEREIN SHALL AFFECT THE RIGHT OF ANY PARTY TO SERVE PROCESS IN ANY MANNER PERMITTED BY APPLICABLE LAW.</w:t>
      </w:r>
    </w:p>
    <w:p>
      <w:pPr>
        <w:spacing w:after="0" w:line="189" w:lineRule="exact"/>
        <w:rPr>
          <w:sz w:val="20"/>
          <w:szCs w:val="20"/>
          <w:color w:val="auto"/>
        </w:rPr>
      </w:pPr>
    </w:p>
    <w:p>
      <w:pPr>
        <w:jc w:val="both"/>
        <w:ind w:firstLine="843"/>
        <w:spacing w:after="0" w:line="266" w:lineRule="auto"/>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185" w:lineRule="exact"/>
        <w:rPr>
          <w:sz w:val="20"/>
          <w:szCs w:val="20"/>
          <w:color w:val="auto"/>
        </w:rPr>
      </w:pPr>
    </w:p>
    <w:p>
      <w:pPr>
        <w:jc w:val="both"/>
        <w:ind w:firstLine="843"/>
        <w:spacing w:after="0" w:line="317" w:lineRule="auto"/>
        <w:rPr>
          <w:sz w:val="20"/>
          <w:szCs w:val="20"/>
          <w:color w:val="auto"/>
        </w:rPr>
      </w:pPr>
      <w:r>
        <w:rPr>
          <w:rFonts w:ascii="Arial" w:cs="Arial" w:eastAsia="Arial" w:hAnsi="Arial"/>
          <w:sz w:val="19"/>
          <w:szCs w:val="19"/>
          <w:color w:val="auto"/>
        </w:rPr>
        <w:t xml:space="preserve">Section 13.07. </w:t>
      </w:r>
      <w:r>
        <w:rPr>
          <w:rFonts w:ascii="Arial" w:cs="Arial" w:eastAsia="Arial" w:hAnsi="Arial"/>
          <w:sz w:val="19"/>
          <w:szCs w:val="19"/>
          <w:i w:val="1"/>
          <w:iCs w:val="1"/>
          <w:color w:val="auto"/>
        </w:rPr>
        <w:t>Counterparts</w:t>
      </w:r>
      <w:r>
        <w:rPr>
          <w:rFonts w:ascii="Arial" w:cs="Arial" w:eastAsia="Arial" w:hAnsi="Arial"/>
          <w:sz w:val="19"/>
          <w:szCs w:val="19"/>
          <w:color w:val="auto"/>
        </w:rPr>
        <w:t>. This Agreement may be signed in any number of counterparts, each of which shall be an original, with the same effect as if the signatures thereto and hereto were upon the same instrument.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42" w:lineRule="exact"/>
        <w:rPr>
          <w:sz w:val="20"/>
          <w:szCs w:val="20"/>
          <w:color w:val="auto"/>
        </w:rPr>
      </w:pPr>
    </w:p>
    <w:p>
      <w:pPr>
        <w:jc w:val="both"/>
        <w:ind w:firstLine="843"/>
        <w:spacing w:after="0" w:line="308" w:lineRule="auto"/>
        <w:rPr>
          <w:sz w:val="20"/>
          <w:szCs w:val="20"/>
          <w:color w:val="auto"/>
        </w:rPr>
      </w:pPr>
      <w:r>
        <w:rPr>
          <w:rFonts w:ascii="Arial" w:cs="Arial" w:eastAsia="Arial" w:hAnsi="Arial"/>
          <w:sz w:val="19"/>
          <w:szCs w:val="19"/>
          <w:color w:val="auto"/>
        </w:rPr>
        <w:t xml:space="preserve">Section 13.08. </w:t>
      </w: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and the Reorganization Documents constitute the entire agreement between the parties with respect to the subject matter of this Agreement and supersede all prior agreements and understandings, both oral and written, between the parties with respect to the subject matter of this Agreement. Nothing in this Agreement shall create any third-party beneficiary rights in favor of any Person or other party, except to the extent provided herein with respect to Indemnitee Related Entities, each of whom are intended third-party beneficiaries of those provisions that specifically related to them with the right to enforce such provisions as if they were a party hereto.</w:t>
      </w:r>
    </w:p>
    <w:p>
      <w:pPr>
        <w:spacing w:after="0" w:line="154" w:lineRule="exact"/>
        <w:rPr>
          <w:sz w:val="20"/>
          <w:szCs w:val="20"/>
          <w:color w:val="auto"/>
        </w:rPr>
      </w:pPr>
    </w:p>
    <w:p>
      <w:pPr>
        <w:jc w:val="both"/>
        <w:ind w:firstLine="843"/>
        <w:spacing w:after="0" w:line="306" w:lineRule="auto"/>
        <w:rPr>
          <w:sz w:val="20"/>
          <w:szCs w:val="20"/>
          <w:color w:val="auto"/>
        </w:rPr>
      </w:pPr>
      <w:r>
        <w:rPr>
          <w:rFonts w:ascii="Arial" w:cs="Arial" w:eastAsia="Arial" w:hAnsi="Arial"/>
          <w:sz w:val="19"/>
          <w:szCs w:val="19"/>
          <w:color w:val="auto"/>
        </w:rPr>
        <w:t xml:space="preserve">Section 13.09. </w:t>
      </w:r>
      <w:r>
        <w:rPr>
          <w:rFonts w:ascii="Arial" w:cs="Arial" w:eastAsia="Arial" w:hAnsi="Arial"/>
          <w:sz w:val="19"/>
          <w:szCs w:val="19"/>
          <w:i w:val="1"/>
          <w:iCs w:val="1"/>
          <w:color w:val="auto"/>
        </w:rPr>
        <w:t>Severability</w:t>
      </w:r>
      <w:r>
        <w:rPr>
          <w:rFonts w:ascii="Arial" w:cs="Arial" w:eastAsia="Arial" w:hAnsi="Arial"/>
          <w:sz w:val="19"/>
          <w:szCs w:val="19"/>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are consummated as originally contemplated to the fullest extent possible.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43" w:name="page144"/>
    <w:bookmarkEnd w:id="143"/>
    <w:p>
      <w:pPr>
        <w:ind w:left="840"/>
        <w:spacing w:after="0"/>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i w:val="1"/>
          <w:iCs w:val="1"/>
          <w:color w:val="auto"/>
        </w:rPr>
        <w:t>Amendment</w:t>
      </w:r>
      <w:r>
        <w:rPr>
          <w:rFonts w:ascii="Arial" w:cs="Arial" w:eastAsia="Arial" w:hAnsi="Arial"/>
          <w:sz w:val="22"/>
          <w:szCs w:val="22"/>
          <w:color w:val="auto"/>
        </w:rPr>
        <w:t>.</w:t>
      </w:r>
    </w:p>
    <w:p>
      <w:pPr>
        <w:spacing w:after="0" w:line="233" w:lineRule="exact"/>
        <w:rPr>
          <w:sz w:val="20"/>
          <w:szCs w:val="20"/>
          <w:color w:val="auto"/>
        </w:rPr>
      </w:pPr>
    </w:p>
    <w:p>
      <w:pPr>
        <w:jc w:val="both"/>
        <w:ind w:left="-20" w:firstLine="1505"/>
        <w:spacing w:after="0" w:line="276" w:lineRule="auto"/>
        <w:tabs>
          <w:tab w:leader="none" w:pos="190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This Agreement can be amended at any time and from time to time by written instrument signed by each of the Members who together own a majority in interest of the Units then outstanding, provided that no amendment to this Agreement may adversely modify in any material respect the Units (or the rights, preferences or privileges of the Units) then held by any Members in any materially disproportionate manner to those then held by any other Members without the prior written consent of a majority in interest of such disproportionately affected Member or Members.</w:t>
      </w:r>
    </w:p>
    <w:p>
      <w:pPr>
        <w:spacing w:after="0" w:line="177" w:lineRule="exact"/>
        <w:rPr>
          <w:rFonts w:ascii="Arial" w:cs="Arial" w:eastAsia="Arial" w:hAnsi="Arial"/>
          <w:sz w:val="21"/>
          <w:szCs w:val="21"/>
          <w:color w:val="auto"/>
        </w:rPr>
      </w:pPr>
    </w:p>
    <w:p>
      <w:pPr>
        <w:jc w:val="both"/>
        <w:ind w:left="-20" w:firstLine="1505"/>
        <w:spacing w:after="0" w:line="303" w:lineRule="auto"/>
        <w:tabs>
          <w:tab w:leader="none" w:pos="190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For the avoidance of doubt: (i) the Managing Member, acting alone, may amend this Agreement, including the Member Schedule, (x) to reflect the admission of new Members or Transfers of Units, each as provided by and in accordance with, the terms of this Agreement and (y) to effect any subdivisions or combinations of Units made in compliance with Section 4.02(c) and (z) to issue additional LLC Units or any new class of Units (whether or not pari passu with the LLC Units) in accordance with the terms of this Agreement and to provide that the Members being issued such new Units be entitled to the rights provided to Members; and (ii) any merger, consolidation or other business combination that constitutes a Disposition Event (as such term is defined in the certificate of incorporation of Pubco) in which the Non-Pubco Members are required to exchange all of their LLC Units pursuant to Section 10.03(b) of this Agreement and receive consideration in such Disposition Event in accordance with the terms of this Agreement and Section 10.04(b) of this Agreement shall not be deemed an amendment hereof; provided, that such amendment is only effective upon consummation of such Disposition Event.</w:t>
      </w:r>
    </w:p>
    <w:p>
      <w:pPr>
        <w:spacing w:after="0" w:line="157" w:lineRule="exact"/>
        <w:rPr>
          <w:rFonts w:ascii="Arial" w:cs="Arial" w:eastAsia="Arial" w:hAnsi="Arial"/>
          <w:sz w:val="19"/>
          <w:szCs w:val="19"/>
          <w:color w:val="auto"/>
        </w:rPr>
      </w:pPr>
    </w:p>
    <w:p>
      <w:pPr>
        <w:jc w:val="both"/>
        <w:ind w:left="-20" w:firstLine="1505"/>
        <w:spacing w:after="0" w:line="266" w:lineRule="auto"/>
        <w:tabs>
          <w:tab w:leader="none" w:pos="190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No waiver of any provision or default under, nor consent to any exception to, the terms of this Agreement or any agreement contemplated hereby shall be effective unless in writing and signed by the party to be bound and then only to the specific purpose, extent and instance so provided.</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i w:val="1"/>
          <w:iCs w:val="1"/>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jc w:val="both"/>
        <w:ind w:left="-20" w:firstLine="1505"/>
        <w:spacing w:after="0" w:line="308" w:lineRule="auto"/>
        <w:tabs>
          <w:tab w:leader="none" w:pos="190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Member shall, and shall direct those of its Affiliates and their respective directors, officers, members, stockholders, partners, employees, attorneys, accountants, consultants, trustees and other advisors (the “</w:t>
      </w:r>
      <w:r>
        <w:rPr>
          <w:rFonts w:ascii="Arial" w:cs="Arial" w:eastAsia="Arial" w:hAnsi="Arial"/>
          <w:sz w:val="19"/>
          <w:szCs w:val="19"/>
          <w:b w:val="1"/>
          <w:bCs w:val="1"/>
          <w:color w:val="auto"/>
        </w:rPr>
        <w:t>Member Parties</w:t>
      </w:r>
      <w:r>
        <w:rPr>
          <w:rFonts w:ascii="Arial" w:cs="Arial" w:eastAsia="Arial" w:hAnsi="Arial"/>
          <w:sz w:val="19"/>
          <w:szCs w:val="19"/>
          <w:color w:val="auto"/>
        </w:rPr>
        <w:t>”) who have access to Confidential Information to, keep confidential and not disclose any Confidential Information to any Person other than a Member Party who agrees to keep such Confidential Information confidential in accordance with this Section 13.11, in each case without the express consent, in the case of Confidential Information acquired from the Company, of the Managing Member or, in the case of Confidential Information acquired from another Member, such other Member, unless:</w:t>
      </w:r>
    </w:p>
    <w:p>
      <w:pPr>
        <w:spacing w:after="0" w:line="153" w:lineRule="exact"/>
        <w:rPr>
          <w:rFonts w:ascii="Arial" w:cs="Arial" w:eastAsia="Arial" w:hAnsi="Arial"/>
          <w:sz w:val="19"/>
          <w:szCs w:val="19"/>
          <w:color w:val="auto"/>
        </w:rPr>
      </w:pPr>
    </w:p>
    <w:p>
      <w:pPr>
        <w:ind w:left="2500" w:hanging="266"/>
        <w:spacing w:after="0"/>
        <w:tabs>
          <w:tab w:leader="none" w:pos="250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such disclosure shall be required by Applicable Law;</w:t>
      </w:r>
    </w:p>
    <w:p>
      <w:pPr>
        <w:spacing w:after="0" w:line="233" w:lineRule="exact"/>
        <w:rPr>
          <w:rFonts w:ascii="Arial" w:cs="Arial" w:eastAsia="Arial" w:hAnsi="Arial"/>
          <w:sz w:val="22"/>
          <w:szCs w:val="22"/>
          <w:color w:val="auto"/>
        </w:rPr>
      </w:pPr>
    </w:p>
    <w:p>
      <w:pPr>
        <w:ind w:left="740" w:firstLine="1494"/>
        <w:spacing w:after="0" w:line="276" w:lineRule="auto"/>
        <w:tabs>
          <w:tab w:leader="none" w:pos="257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such disclosure is reasonably required in connection with any tax audit involving the Company or any Member or its Affiliates;</w:t>
      </w:r>
    </w:p>
    <w:p>
      <w:pPr>
        <w:spacing w:after="0" w:line="174" w:lineRule="exact"/>
        <w:rPr>
          <w:rFonts w:ascii="Arial" w:cs="Arial" w:eastAsia="Arial" w:hAnsi="Arial"/>
          <w:sz w:val="22"/>
          <w:szCs w:val="22"/>
          <w:color w:val="auto"/>
        </w:rPr>
      </w:pPr>
    </w:p>
    <w:p>
      <w:pPr>
        <w:ind w:left="740" w:firstLine="1494"/>
        <w:spacing w:after="0" w:line="276" w:lineRule="auto"/>
        <w:tabs>
          <w:tab w:leader="none" w:pos="26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such disclosure is reasonably required in connection with any litigation against or involving the Company or any Member;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1" w:right="339" w:bottom="1440" w:gutter="0" w:footer="0" w:header="0"/>
        </w:sectPr>
      </w:pPr>
    </w:p>
    <w:bookmarkStart w:id="144" w:name="page145"/>
    <w:bookmarkEnd w:id="144"/>
    <w:p>
      <w:pPr>
        <w:jc w:val="both"/>
        <w:ind w:left="760" w:firstLine="1494"/>
        <w:spacing w:after="0" w:line="311" w:lineRule="auto"/>
        <w:tabs>
          <w:tab w:leader="none" w:pos="263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proposed Transfer of all or any part of such Member’s Units in the Company; provided that with respect to any such use of any Confidential Information referred to in this clause (iv), advance notice must be given to the Managing Member so that it may require any proposed Transferee that is not a Member to enter into a confidentiality agreement with terms substantially similar to the terms of this Section 13.11 (excluding this clause (iv)) prior to the disclosure of such Confidential Information; or</w:t>
      </w:r>
    </w:p>
    <w:p>
      <w:pPr>
        <w:spacing w:after="0" w:line="150" w:lineRule="exact"/>
        <w:rPr>
          <w:rFonts w:ascii="Arial" w:cs="Arial" w:eastAsia="Arial" w:hAnsi="Arial"/>
          <w:sz w:val="19"/>
          <w:szCs w:val="19"/>
          <w:color w:val="auto"/>
        </w:rPr>
      </w:pPr>
    </w:p>
    <w:p>
      <w:pPr>
        <w:jc w:val="both"/>
        <w:ind w:left="760" w:firstLine="1494"/>
        <w:spacing w:after="0" w:line="276" w:lineRule="auto"/>
        <w:tabs>
          <w:tab w:leader="none" w:pos="2606" w:val="left"/>
        </w:tabs>
        <w:numPr>
          <w:ilvl w:val="1"/>
          <w:numId w:val="134"/>
        </w:numPr>
        <w:rPr>
          <w:rFonts w:ascii="Arial" w:cs="Arial" w:eastAsia="Arial" w:hAnsi="Arial"/>
          <w:sz w:val="21"/>
          <w:szCs w:val="21"/>
          <w:color w:val="auto"/>
        </w:rPr>
      </w:pPr>
      <w:r>
        <w:rPr>
          <w:rFonts w:ascii="Arial" w:cs="Arial" w:eastAsia="Arial" w:hAnsi="Arial"/>
          <w:sz w:val="21"/>
          <w:szCs w:val="21"/>
          <w:color w:val="auto"/>
        </w:rPr>
        <w:t>such disclosure is of financial and other information of the type typically disclosed to limited partners and limited liability company members (and prospective transferees or investors thereof) and is made to the partners or members of, and/or prospective investors in, Affiliates of the Members and such partner, Member or prospective investor is bound by the confidentiality provisions of a customary non-disclosure agreement entered into with the disclosing party that covers the Confidential Information so disclosed.</w:t>
      </w:r>
    </w:p>
    <w:p>
      <w:pPr>
        <w:spacing w:after="0" w:line="171" w:lineRule="exact"/>
        <w:rPr>
          <w:rFonts w:ascii="Arial" w:cs="Arial" w:eastAsia="Arial" w:hAnsi="Arial"/>
          <w:sz w:val="21"/>
          <w:szCs w:val="21"/>
          <w:color w:val="auto"/>
        </w:rPr>
      </w:pPr>
    </w:p>
    <w:p>
      <w:pPr>
        <w:jc w:val="both"/>
        <w:ind w:firstLine="1505"/>
        <w:spacing w:after="0" w:line="305" w:lineRule="auto"/>
        <w:tabs>
          <w:tab w:leader="none" w:pos="192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information related to the activities of the Company, the Members and their respective Affiliates that a Member may acquire from the Company or the Members, other than information that (i) is already available through publicly available sources of information (other than as a result of disclosure by such Member), (ii) was available to a Member on a non-confidential basis prior to its disclosure to such Member by the Company, or (iii) becomes available to a Member on a non-confidential basis from a third party, provided such third party is not known by such Member, after reasonable inquiry, to be bound by this Agreement or another confidentiality agreement with the Company. Such Confidential Information may include information that pertains or relates to the business and affairs of any other Member or any other Company matters. Confidential Information may be used by a Member and its Member Parties only in connection with Company matters and in connection with the maintenance of its interest in the Company.</w:t>
      </w:r>
    </w:p>
    <w:p>
      <w:pPr>
        <w:spacing w:after="0" w:line="153" w:lineRule="exact"/>
        <w:rPr>
          <w:rFonts w:ascii="Arial" w:cs="Arial" w:eastAsia="Arial" w:hAnsi="Arial"/>
          <w:sz w:val="19"/>
          <w:szCs w:val="19"/>
          <w:color w:val="auto"/>
        </w:rPr>
      </w:pPr>
    </w:p>
    <w:p>
      <w:pPr>
        <w:jc w:val="both"/>
        <w:ind w:firstLine="1505"/>
        <w:spacing w:after="0" w:line="305" w:lineRule="auto"/>
        <w:tabs>
          <w:tab w:leader="none" w:pos="192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Subject to Section 13.11(d), in the event that any Member or any Member Parties of such Member is required to disclose any of the Confidential Information, such Member shall use reasonable efforts to provide the Company with prompt written notice so that the Company may seek a protective order or other appropriate remedy and/or waive compliance with the provisions of this Agreement, and such Member shall use reasonable efforts to cooperate with the Company in any effort any such Person undertakes to obtain a protective order or other remedy. In the event that such protective order or other remedy is not obtained, or that the Company waives compliance with the provisions of this Section 13.11, such Member and its Member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54" w:lineRule="exact"/>
        <w:rPr>
          <w:rFonts w:ascii="Arial" w:cs="Arial" w:eastAsia="Arial" w:hAnsi="Arial"/>
          <w:sz w:val="19"/>
          <w:szCs w:val="19"/>
          <w:color w:val="auto"/>
        </w:rPr>
      </w:pPr>
    </w:p>
    <w:p>
      <w:pPr>
        <w:jc w:val="both"/>
        <w:ind w:firstLine="1505"/>
        <w:spacing w:after="0" w:line="261" w:lineRule="auto"/>
        <w:tabs>
          <w:tab w:leader="none" w:pos="192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(i) each Member may disclose to any persons the U.S. federal income tax treatment and tax structure of the Company and the transactions set out in the Reorganization Documents, (ii) nothing in this Agreement limits, restricts or in any other way affects any Member’s communication with any Governmental Authority, or communication with any official or staff person of a Governmental Authority, concerning matters relevant to the Governmental Authority that do not constitute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45" w:name="page146"/>
    <w:bookmarkEnd w:id="145"/>
    <w:p>
      <w:pPr>
        <w:jc w:val="both"/>
        <w:spacing w:after="0" w:line="274" w:lineRule="auto"/>
        <w:rPr>
          <w:sz w:val="20"/>
          <w:szCs w:val="20"/>
          <w:color w:val="auto"/>
        </w:rPr>
      </w:pPr>
      <w:r>
        <w:rPr>
          <w:rFonts w:ascii="Arial" w:cs="Arial" w:eastAsia="Arial" w:hAnsi="Arial"/>
          <w:sz w:val="21"/>
          <w:szCs w:val="21"/>
          <w:color w:val="auto"/>
        </w:rPr>
        <w:t>attorney-client privileged information of the Company or its Affiliates and (iii) no Member can be held criminally or civilly liable under any federal or state trade secret law for disclosing a trade secret (x) in confidence to a federal, state, or local government official, either directly or indirectly, or to an attorney, solely for the purpose of reporting or investigation a suspected violation of law or (y) in a complaint or other document filed under seal in a lawsuit or other proceeding. For purpose of the foregoing clause (i), “</w:t>
      </w:r>
      <w:r>
        <w:rPr>
          <w:rFonts w:ascii="Arial" w:cs="Arial" w:eastAsia="Arial" w:hAnsi="Arial"/>
          <w:sz w:val="21"/>
          <w:szCs w:val="21"/>
          <w:b w:val="1"/>
          <w:bCs w:val="1"/>
          <w:color w:val="auto"/>
        </w:rPr>
        <w:t>tax structure</w:t>
      </w:r>
      <w:r>
        <w:rPr>
          <w:rFonts w:ascii="Arial" w:cs="Arial" w:eastAsia="Arial" w:hAnsi="Arial"/>
          <w:sz w:val="21"/>
          <w:szCs w:val="21"/>
          <w:color w:val="auto"/>
        </w:rPr>
        <w:t>” is limited to any facts relevant to the U.S. federal income tax treatment of the Company and does not include information relating to the identity of the Company or any Member.</w:t>
      </w:r>
    </w:p>
    <w:p>
      <w:pPr>
        <w:spacing w:after="0" w:line="182" w:lineRule="exact"/>
        <w:rPr>
          <w:sz w:val="20"/>
          <w:szCs w:val="20"/>
          <w:color w:val="auto"/>
        </w:rPr>
      </w:pPr>
    </w:p>
    <w:p>
      <w:pPr>
        <w:jc w:val="both"/>
        <w:ind w:firstLine="843"/>
        <w:spacing w:after="0" w:line="266"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governed by and construed in accordance with the laws of the State of Delaware, without regard to the conflicts of law rules of such State that would result in the application of the laws of any other State.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OF MEMBERS</w:t>
      </w:r>
    </w:p>
    <w:p>
      <w:pPr>
        <w:spacing w:after="0" w:line="239" w:lineRule="exact"/>
        <w:rPr>
          <w:sz w:val="20"/>
          <w:szCs w:val="20"/>
          <w:color w:val="auto"/>
        </w:rPr>
      </w:pPr>
    </w:p>
    <w:p>
      <w:pPr>
        <w:jc w:val="both"/>
        <w:ind w:firstLine="843"/>
        <w:spacing w:after="0" w:line="276" w:lineRule="auto"/>
        <w:rPr>
          <w:sz w:val="20"/>
          <w:szCs w:val="20"/>
          <w:color w:val="auto"/>
        </w:rPr>
      </w:pPr>
      <w:r>
        <w:rPr>
          <w:rFonts w:ascii="Arial" w:cs="Arial" w:eastAsia="Arial" w:hAnsi="Arial"/>
          <w:sz w:val="22"/>
          <w:szCs w:val="22"/>
          <w:color w:val="auto"/>
        </w:rPr>
        <w:t xml:space="preserve">Section 14.01. </w:t>
      </w:r>
      <w:r>
        <w:rPr>
          <w:rFonts w:ascii="Arial" w:cs="Arial" w:eastAsia="Arial" w:hAnsi="Arial"/>
          <w:sz w:val="22"/>
          <w:szCs w:val="22"/>
          <w:i w:val="1"/>
          <w:iCs w:val="1"/>
          <w:color w:val="auto"/>
        </w:rPr>
        <w:t>Representations of Members</w:t>
      </w:r>
      <w:r>
        <w:rPr>
          <w:rFonts w:ascii="Arial" w:cs="Arial" w:eastAsia="Arial" w:hAnsi="Arial"/>
          <w:sz w:val="22"/>
          <w:szCs w:val="22"/>
          <w:color w:val="auto"/>
        </w:rPr>
        <w:t>. Each Member (unless otherwise noted) to which a Unit is issued as of the date of this Agreement represents and warrants to the Company as follows:</w:t>
      </w:r>
    </w:p>
    <w:p>
      <w:pPr>
        <w:spacing w:after="0" w:line="174" w:lineRule="exact"/>
        <w:rPr>
          <w:sz w:val="20"/>
          <w:szCs w:val="20"/>
          <w:color w:val="auto"/>
        </w:rPr>
      </w:pPr>
    </w:p>
    <w:p>
      <w:pPr>
        <w:ind w:right="40" w:firstLine="1505"/>
        <w:spacing w:after="0" w:line="301" w:lineRule="auto"/>
        <w:tabs>
          <w:tab w:leader="none" w:pos="1929"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Units issued to such Member, if any, are being acquired for investment for such Member’s own account, not as a nominee or agent, and not with a view to or for sale in connection with the distribution thereof.</w:t>
      </w:r>
    </w:p>
    <w:p>
      <w:pPr>
        <w:spacing w:after="0" w:line="150" w:lineRule="exact"/>
        <w:rPr>
          <w:rFonts w:ascii="Arial" w:cs="Arial" w:eastAsia="Arial" w:hAnsi="Arial"/>
          <w:sz w:val="21"/>
          <w:szCs w:val="21"/>
          <w:color w:val="auto"/>
        </w:rPr>
      </w:pPr>
    </w:p>
    <w:p>
      <w:pPr>
        <w:jc w:val="both"/>
        <w:ind w:firstLine="1505"/>
        <w:spacing w:after="0" w:line="259" w:lineRule="auto"/>
        <w:tabs>
          <w:tab w:leader="none" w:pos="192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Such Member has such knowledge and experience in financial and business matters as to be capable of evaluating the merits and risks of the Member’s investment in the Units; such Member has the ability to bear the economic risks of such investment; such Member has the capacity to protect its own interests in connection with the transactions contemplated by this Agreement; and such Member has had an opportunity to ask questions and to obtain such financial and other information regarding the Company as such Member deems necessary or appropriate in connection with evaluating the merits of the investment in the Units. Such Member acknowledges that the Units have not been and will not be registered under the Securities Act or under any state securities act and may not be transferred except in compliance with the Securities Act and all applicable state laws.</w:t>
      </w:r>
    </w:p>
    <w:p>
      <w:pPr>
        <w:spacing w:after="0" w:line="192"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Each Member qualifies as an Accredited Investor within the meaning of Regulation D promulgated under the Securities Act or the acquisition of its interest otherwise qualifies under an applicable exemption from registration under the Securities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46" w:name="page147"/>
    <w:bookmarkEnd w:id="146"/>
    <w:p>
      <w:pPr>
        <w:ind w:firstLine="749"/>
        <w:spacing w:after="0" w:line="276" w:lineRule="auto"/>
        <w:rPr>
          <w:sz w:val="20"/>
          <w:szCs w:val="20"/>
          <w:color w:val="auto"/>
        </w:rPr>
      </w:pPr>
      <w:r>
        <w:rPr>
          <w:rFonts w:ascii="Arial" w:cs="Arial" w:eastAsia="Arial" w:hAnsi="Arial"/>
          <w:sz w:val="22"/>
          <w:szCs w:val="22"/>
          <w:color w:val="auto"/>
        </w:rPr>
        <w:t>IN WITNESS WHEREOF, the parties hereto have caused this Second Amended and Restated Limited Liability Company Agreement to be duly executed as of the day and year first written above.</w:t>
      </w:r>
    </w:p>
    <w:p>
      <w:pPr>
        <w:spacing w:after="0" w:line="20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AIDH TOPCO, LLC</w:t>
      </w:r>
    </w:p>
    <w:p>
      <w:pPr>
        <w:sectPr>
          <w:pgSz w:w="11900" w:h="16838" w:orient="portrait"/>
          <w:cols w:equalWidth="0" w:num="1">
            <w:col w:w="11240"/>
          </w:cols>
          <w:pgMar w:left="320" w:top="401" w:right="339" w:bottom="0" w:gutter="0" w:footer="0" w:header="0"/>
        </w:sectPr>
      </w:pPr>
    </w:p>
    <w:p>
      <w:pPr>
        <w:spacing w:after="0" w:line="34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46355</wp:posOffset>
            </wp:positionV>
            <wp:extent cx="3488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7080" w:space="720"/>
            <w:col w:w="3440"/>
          </w:cols>
          <w:pgMar w:left="320" w:top="401" w:right="339" w:bottom="0" w:gutter="0" w:footer="0" w:header="0"/>
          <w:type w:val="continuous"/>
        </w:sectPr>
      </w:pPr>
    </w:p>
    <w:p>
      <w:pPr>
        <w:ind w:left="5080"/>
        <w:spacing w:after="0"/>
        <w:rPr>
          <w:sz w:val="20"/>
          <w:szCs w:val="20"/>
          <w:color w:val="auto"/>
        </w:rPr>
      </w:pPr>
      <w:r>
        <w:rPr>
          <w:rFonts w:ascii="Arial" w:cs="Arial" w:eastAsia="Arial" w:hAnsi="Arial"/>
          <w:sz w:val="22"/>
          <w:szCs w:val="22"/>
          <w:color w:val="auto"/>
        </w:rPr>
        <w:t>Name: Jason Krantz</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DEFINITIVE HEALTHCARE CORP.</w:t>
      </w:r>
    </w:p>
    <w:p>
      <w:pPr>
        <w:spacing w:after="0" w:line="341" w:lineRule="exact"/>
        <w:rPr>
          <w:sz w:val="20"/>
          <w:szCs w:val="20"/>
          <w:color w:val="auto"/>
        </w:rPr>
      </w:pPr>
    </w:p>
    <w:p>
      <w:pPr>
        <w:ind w:left="5080"/>
        <w:spacing w:after="0"/>
        <w:tabs>
          <w:tab w:leader="none" w:pos="7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24130</wp:posOffset>
            </wp:positionV>
            <wp:extent cx="3488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Jason Krantz</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AIDH HOLDINGS,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80"/>
        <w:spacing w:after="0"/>
        <w:tabs>
          <w:tab w:leader="none" w:pos="77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James Westra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194310</wp:posOffset>
            </wp:positionV>
            <wp:extent cx="3488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James Westra</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DH HOLDINGS (fka Jason R. Krantz 2009 Trust)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80"/>
        <w:spacing w:after="0"/>
        <w:tabs>
          <w:tab w:leader="none" w:pos="7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187325</wp:posOffset>
            </wp:positionV>
            <wp:extent cx="34886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9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Jason Krantz</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24130</wp:posOffset>
            </wp:positionV>
            <wp:extent cx="39173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Jason Krantz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AIDH MANAGEMENT HOLDINGS,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80"/>
        <w:spacing w:after="0"/>
        <w:tabs>
          <w:tab w:leader="none" w:pos="7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187325</wp:posOffset>
            </wp:positionV>
            <wp:extent cx="3488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9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Jason Krantz</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1240"/>
          </w:cols>
          <w:pgMar w:left="320" w:top="401" w:right="339" w:bottom="0" w:gutter="0" w:footer="0" w:header="0"/>
          <w:type w:val="continuous"/>
        </w:sectPr>
      </w:pPr>
    </w:p>
    <w:bookmarkStart w:id="147" w:name="page148"/>
    <w:bookmarkEnd w:id="147"/>
    <w:p>
      <w:pPr>
        <w:spacing w:after="0" w:line="6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A&amp;R Limited Liability Company Agreement</w:t>
      </w:r>
      <w:r>
        <w:rPr>
          <w:rFonts w:ascii="Arial" w:cs="Arial" w:eastAsia="Arial" w:hAnsi="Arial"/>
          <w:sz w:val="16"/>
          <w:szCs w:val="16"/>
          <w:color w:val="auto"/>
        </w:rPr>
        <w:t>]</w:t>
      </w:r>
    </w:p>
    <w:p>
      <w:pPr>
        <w:spacing w:after="0" w:line="4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56</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148" w:name="page149"/>
    <w:bookmarkEnd w:id="148"/>
    <w:p>
      <w:pPr>
        <w:ind w:left="5040"/>
        <w:spacing w:after="0"/>
        <w:rPr>
          <w:sz w:val="20"/>
          <w:szCs w:val="20"/>
          <w:color w:val="auto"/>
        </w:rPr>
      </w:pPr>
      <w:r>
        <w:rPr>
          <w:rFonts w:ascii="Arial" w:cs="Arial" w:eastAsia="Arial" w:hAnsi="Arial"/>
          <w:sz w:val="22"/>
          <w:szCs w:val="22"/>
          <w:color w:val="auto"/>
        </w:rPr>
        <w:t>SE VII DHC AIV,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By: Spectrum Equity Associates VII, L.P., its General Partner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SEA VII MANAGEMENT, LLC, its General Partner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tabs>
          <w:tab w:leader="none" w:pos="7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Christopher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187325</wp:posOffset>
            </wp:positionV>
            <wp:extent cx="3488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 Christopher Mitchell</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SPECTRUM VII INVESTMENT MANAGERS’ FUND,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SEA VII Management, LLC, its General Partner</w:t>
      </w:r>
    </w:p>
    <w:p>
      <w:pPr>
        <w:spacing w:after="0" w:line="341" w:lineRule="exact"/>
        <w:rPr>
          <w:sz w:val="20"/>
          <w:szCs w:val="20"/>
          <w:color w:val="auto"/>
        </w:rPr>
      </w:pPr>
    </w:p>
    <w:p>
      <w:pPr>
        <w:ind w:left="5040"/>
        <w:spacing w:after="0"/>
        <w:tabs>
          <w:tab w:leader="none" w:pos="7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Christopher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187325</wp:posOffset>
            </wp:positionV>
            <wp:extent cx="3488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 Christopher Mitchell</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SPECTRUM VII CO-INVESTMENT FUND,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SEA VII Management, LLC, its General Partner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tabs>
          <w:tab w:leader="none" w:pos="7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Christopher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187325</wp:posOffset>
            </wp:positionV>
            <wp:extent cx="34886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 Christopher Mitchell</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57</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60" w:top="644" w:right="1139" w:bottom="1440" w:gutter="0" w:footer="0" w:header="0"/>
        </w:sectPr>
      </w:pPr>
    </w:p>
    <w:bookmarkStart w:id="149" w:name="page150"/>
    <w:bookmarkEnd w:id="149"/>
    <w:p>
      <w:pPr>
        <w:ind w:left="3960"/>
        <w:spacing w:after="0"/>
        <w:rPr>
          <w:sz w:val="20"/>
          <w:szCs w:val="20"/>
          <w:color w:val="auto"/>
        </w:rPr>
      </w:pPr>
      <w:r>
        <w:rPr>
          <w:rFonts w:ascii="Arial" w:cs="Arial" w:eastAsia="Arial" w:hAnsi="Arial"/>
          <w:sz w:val="22"/>
          <w:szCs w:val="22"/>
          <w:color w:val="auto"/>
        </w:rPr>
        <w:t>22C AIDH TOPCO AGGREGATOR,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22C Capital LLC, its Managing Member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74"/>
        </w:trPr>
        <w:tc>
          <w:tcPr>
            <w:tcW w:w="2040" w:type="dxa"/>
            <w:vAlign w:val="bottom"/>
            <w:gridSpan w:val="2"/>
          </w:tcPr>
          <w:p>
            <w:pPr>
              <w:spacing w:after="0"/>
              <w:rPr>
                <w:sz w:val="20"/>
                <w:szCs w:val="20"/>
                <w:color w:val="auto"/>
              </w:rPr>
            </w:pPr>
            <w:r>
              <w:rPr>
                <w:rFonts w:ascii="Arial" w:cs="Arial" w:eastAsia="Arial" w:hAnsi="Arial"/>
                <w:sz w:val="22"/>
                <w:szCs w:val="22"/>
                <w:color w:val="auto"/>
              </w:rPr>
              <w:t>By:</w:t>
            </w:r>
          </w:p>
        </w:tc>
        <w:tc>
          <w:tcPr>
            <w:tcW w:w="4120" w:type="dxa"/>
            <w:vAlign w:val="bottom"/>
          </w:tcPr>
          <w:p>
            <w:pPr>
              <w:jc w:val="center"/>
              <w:ind w:right="1252"/>
              <w:spacing w:after="0"/>
              <w:rPr>
                <w:sz w:val="20"/>
                <w:szCs w:val="20"/>
                <w:color w:val="auto"/>
              </w:rPr>
            </w:pPr>
            <w:r>
              <w:rPr>
                <w:rFonts w:ascii="Arial" w:cs="Arial" w:eastAsia="Arial" w:hAnsi="Arial"/>
                <w:sz w:val="22"/>
                <w:szCs w:val="22"/>
                <w:color w:val="auto"/>
                <w:w w:val="91"/>
              </w:rPr>
              <w:t>/s/ David Randall Winn</w:t>
            </w:r>
          </w:p>
        </w:tc>
      </w:tr>
      <w:tr>
        <w:trPr>
          <w:trHeight w:val="273"/>
        </w:trPr>
        <w:tc>
          <w:tcPr>
            <w:tcW w:w="660" w:type="dxa"/>
            <w:vAlign w:val="bottom"/>
          </w:tcPr>
          <w:p>
            <w:pPr>
              <w:spacing w:after="0"/>
              <w:rPr>
                <w:sz w:val="23"/>
                <w:szCs w:val="23"/>
                <w:color w:val="auto"/>
              </w:rPr>
            </w:pPr>
          </w:p>
        </w:tc>
        <w:tc>
          <w:tcPr>
            <w:tcW w:w="5500" w:type="dxa"/>
            <w:vAlign w:val="bottom"/>
            <w:tcBorders>
              <w:bottom w:val="single" w:sz="8" w:color="auto"/>
            </w:tcBorders>
            <w:gridSpan w:val="2"/>
          </w:tcPr>
          <w:p>
            <w:pPr>
              <w:spacing w:after="0"/>
              <w:rPr>
                <w:sz w:val="23"/>
                <w:szCs w:val="23"/>
                <w:color w:val="auto"/>
              </w:rPr>
            </w:pPr>
          </w:p>
        </w:tc>
      </w:tr>
      <w:tr>
        <w:trPr>
          <w:trHeight w:val="273"/>
        </w:trPr>
        <w:tc>
          <w:tcPr>
            <w:tcW w:w="6160" w:type="dxa"/>
            <w:vAlign w:val="bottom"/>
            <w:gridSpan w:val="3"/>
          </w:tcPr>
          <w:p>
            <w:pPr>
              <w:spacing w:after="0"/>
              <w:rPr>
                <w:sz w:val="20"/>
                <w:szCs w:val="20"/>
                <w:color w:val="auto"/>
              </w:rPr>
            </w:pPr>
            <w:r>
              <w:rPr>
                <w:rFonts w:ascii="Arial" w:cs="Arial" w:eastAsia="Arial" w:hAnsi="Arial"/>
                <w:sz w:val="22"/>
                <w:szCs w:val="22"/>
                <w:color w:val="auto"/>
              </w:rPr>
              <w:t>Name: David Randall Winn</w:t>
            </w:r>
          </w:p>
        </w:tc>
      </w:tr>
      <w:tr>
        <w:trPr>
          <w:trHeight w:val="297"/>
        </w:trPr>
        <w:tc>
          <w:tcPr>
            <w:tcW w:w="2040" w:type="dxa"/>
            <w:vAlign w:val="bottom"/>
            <w:gridSpan w:val="2"/>
          </w:tcPr>
          <w:p>
            <w:pPr>
              <w:spacing w:after="0"/>
              <w:rPr>
                <w:sz w:val="20"/>
                <w:szCs w:val="20"/>
                <w:color w:val="auto"/>
              </w:rPr>
            </w:pPr>
            <w:r>
              <w:rPr>
                <w:rFonts w:ascii="Arial" w:cs="Arial" w:eastAsia="Arial" w:hAnsi="Arial"/>
                <w:sz w:val="22"/>
                <w:szCs w:val="22"/>
                <w:color w:val="auto"/>
              </w:rPr>
              <w:t>Title: Member</w:t>
            </w:r>
          </w:p>
        </w:tc>
        <w:tc>
          <w:tcPr>
            <w:tcW w:w="4120" w:type="dxa"/>
            <w:vAlign w:val="bottom"/>
          </w:tcPr>
          <w:p>
            <w:pPr>
              <w:spacing w:after="0"/>
              <w:rPr>
                <w:sz w:val="24"/>
                <w:szCs w:val="24"/>
                <w:color w:val="auto"/>
              </w:rPr>
            </w:pPr>
          </w:p>
        </w:tc>
      </w:tr>
      <w:tr>
        <w:trPr>
          <w:trHeight w:val="864"/>
        </w:trPr>
        <w:tc>
          <w:tcPr>
            <w:tcW w:w="2040" w:type="dxa"/>
            <w:vAlign w:val="bottom"/>
            <w:gridSpan w:val="2"/>
          </w:tcPr>
          <w:p>
            <w:pPr>
              <w:spacing w:after="0"/>
              <w:rPr>
                <w:sz w:val="20"/>
                <w:szCs w:val="20"/>
                <w:color w:val="auto"/>
              </w:rPr>
            </w:pPr>
            <w:r>
              <w:rPr>
                <w:rFonts w:ascii="Arial" w:cs="Arial" w:eastAsia="Arial" w:hAnsi="Arial"/>
                <w:sz w:val="22"/>
                <w:szCs w:val="22"/>
                <w:color w:val="auto"/>
              </w:rPr>
              <w:t>By:</w:t>
            </w:r>
          </w:p>
        </w:tc>
        <w:tc>
          <w:tcPr>
            <w:tcW w:w="4120" w:type="dxa"/>
            <w:vAlign w:val="bottom"/>
          </w:tcPr>
          <w:p>
            <w:pPr>
              <w:jc w:val="center"/>
              <w:ind w:right="1252"/>
              <w:spacing w:after="0"/>
              <w:rPr>
                <w:sz w:val="20"/>
                <w:szCs w:val="20"/>
                <w:color w:val="auto"/>
              </w:rPr>
            </w:pPr>
            <w:r>
              <w:rPr>
                <w:rFonts w:ascii="Arial" w:cs="Arial" w:eastAsia="Arial" w:hAnsi="Arial"/>
                <w:sz w:val="22"/>
                <w:szCs w:val="22"/>
                <w:color w:val="auto"/>
                <w:w w:val="90"/>
              </w:rPr>
              <w:t>/s/ Eric J. Edell</w:t>
            </w:r>
          </w:p>
        </w:tc>
      </w:tr>
      <w:tr>
        <w:trPr>
          <w:trHeight w:val="273"/>
        </w:trPr>
        <w:tc>
          <w:tcPr>
            <w:tcW w:w="66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tcPr>
          <w:p>
            <w:pPr>
              <w:spacing w:after="0"/>
              <w:rPr>
                <w:sz w:val="23"/>
                <w:szCs w:val="23"/>
                <w:color w:val="auto"/>
              </w:rPr>
            </w:pPr>
          </w:p>
        </w:tc>
      </w:tr>
      <w:tr>
        <w:trPr>
          <w:trHeight w:val="274"/>
        </w:trPr>
        <w:tc>
          <w:tcPr>
            <w:tcW w:w="2040" w:type="dxa"/>
            <w:vAlign w:val="bottom"/>
            <w:gridSpan w:val="2"/>
          </w:tcPr>
          <w:p>
            <w:pPr>
              <w:spacing w:after="0"/>
              <w:rPr>
                <w:sz w:val="20"/>
                <w:szCs w:val="20"/>
                <w:color w:val="auto"/>
              </w:rPr>
            </w:pPr>
            <w:r>
              <w:rPr>
                <w:rFonts w:ascii="Arial" w:cs="Arial" w:eastAsia="Arial" w:hAnsi="Arial"/>
                <w:sz w:val="22"/>
                <w:szCs w:val="22"/>
                <w:color w:val="auto"/>
              </w:rPr>
              <w:t>Name: Eric J. Edell</w:t>
            </w:r>
          </w:p>
        </w:tc>
        <w:tc>
          <w:tcPr>
            <w:tcW w:w="4120" w:type="dxa"/>
            <w:vAlign w:val="bottom"/>
          </w:tcPr>
          <w:p>
            <w:pPr>
              <w:spacing w:after="0"/>
              <w:rPr>
                <w:sz w:val="23"/>
                <w:szCs w:val="23"/>
                <w:color w:val="auto"/>
              </w:rPr>
            </w:pPr>
          </w:p>
        </w:tc>
      </w:tr>
      <w:tr>
        <w:trPr>
          <w:trHeight w:val="297"/>
        </w:trPr>
        <w:tc>
          <w:tcPr>
            <w:tcW w:w="2040" w:type="dxa"/>
            <w:vAlign w:val="bottom"/>
            <w:gridSpan w:val="2"/>
          </w:tcPr>
          <w:p>
            <w:pPr>
              <w:spacing w:after="0"/>
              <w:rPr>
                <w:sz w:val="20"/>
                <w:szCs w:val="20"/>
                <w:color w:val="auto"/>
              </w:rPr>
            </w:pPr>
            <w:r>
              <w:rPr>
                <w:rFonts w:ascii="Arial" w:cs="Arial" w:eastAsia="Arial" w:hAnsi="Arial"/>
                <w:sz w:val="22"/>
                <w:szCs w:val="22"/>
                <w:color w:val="auto"/>
              </w:rPr>
              <w:t>Title: Member</w:t>
            </w:r>
          </w:p>
        </w:tc>
        <w:tc>
          <w:tcPr>
            <w:tcW w:w="4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40"/>
        <w:spacing w:after="0"/>
        <w:rPr>
          <w:sz w:val="20"/>
          <w:szCs w:val="20"/>
          <w:color w:val="auto"/>
        </w:rPr>
      </w:pPr>
      <w:r>
        <w:rPr>
          <w:rFonts w:ascii="Arial" w:cs="Arial" w:eastAsia="Arial" w:hAnsi="Arial"/>
          <w:sz w:val="21"/>
          <w:szCs w:val="21"/>
          <w:color w:val="auto"/>
        </w:rPr>
        <w:t>22C AIDH AIV LLC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960" w:type="dxa"/>
        <w:tblCellMar>
          <w:top w:w="0" w:type="dxa"/>
          <w:left w:w="0" w:type="dxa"/>
          <w:bottom w:w="0" w:type="dxa"/>
          <w:right w:w="0" w:type="dxa"/>
        </w:tblCellMar>
      </w:tblPr>
      <w:tr>
        <w:trPr>
          <w:trHeight w:val="274"/>
        </w:trPr>
        <w:tc>
          <w:tcPr>
            <w:tcW w:w="2040" w:type="dxa"/>
            <w:vAlign w:val="bottom"/>
            <w:gridSpan w:val="2"/>
          </w:tcPr>
          <w:p>
            <w:pPr>
              <w:spacing w:after="0"/>
              <w:rPr>
                <w:sz w:val="20"/>
                <w:szCs w:val="20"/>
                <w:color w:val="auto"/>
              </w:rPr>
            </w:pPr>
            <w:r>
              <w:rPr>
                <w:rFonts w:ascii="Arial" w:cs="Arial" w:eastAsia="Arial" w:hAnsi="Arial"/>
                <w:sz w:val="22"/>
                <w:szCs w:val="22"/>
                <w:color w:val="auto"/>
              </w:rPr>
              <w:t>By:</w:t>
            </w:r>
          </w:p>
        </w:tc>
        <w:tc>
          <w:tcPr>
            <w:tcW w:w="4120" w:type="dxa"/>
            <w:vAlign w:val="bottom"/>
          </w:tcPr>
          <w:p>
            <w:pPr>
              <w:jc w:val="center"/>
              <w:ind w:right="1252"/>
              <w:spacing w:after="0"/>
              <w:rPr>
                <w:sz w:val="20"/>
                <w:szCs w:val="20"/>
                <w:color w:val="auto"/>
              </w:rPr>
            </w:pPr>
            <w:r>
              <w:rPr>
                <w:rFonts w:ascii="Arial" w:cs="Arial" w:eastAsia="Arial" w:hAnsi="Arial"/>
                <w:sz w:val="22"/>
                <w:szCs w:val="22"/>
                <w:color w:val="auto"/>
                <w:w w:val="91"/>
              </w:rPr>
              <w:t>/s/ David Randall Winn</w:t>
            </w:r>
          </w:p>
        </w:tc>
      </w:tr>
      <w:tr>
        <w:trPr>
          <w:trHeight w:val="273"/>
        </w:trPr>
        <w:tc>
          <w:tcPr>
            <w:tcW w:w="660" w:type="dxa"/>
            <w:vAlign w:val="bottom"/>
          </w:tcPr>
          <w:p>
            <w:pPr>
              <w:spacing w:after="0"/>
              <w:rPr>
                <w:sz w:val="23"/>
                <w:szCs w:val="23"/>
                <w:color w:val="auto"/>
              </w:rPr>
            </w:pPr>
          </w:p>
        </w:tc>
        <w:tc>
          <w:tcPr>
            <w:tcW w:w="5500" w:type="dxa"/>
            <w:vAlign w:val="bottom"/>
            <w:tcBorders>
              <w:bottom w:val="single" w:sz="8" w:color="auto"/>
            </w:tcBorders>
            <w:gridSpan w:val="2"/>
          </w:tcPr>
          <w:p>
            <w:pPr>
              <w:spacing w:after="0"/>
              <w:rPr>
                <w:sz w:val="23"/>
                <w:szCs w:val="23"/>
                <w:color w:val="auto"/>
              </w:rPr>
            </w:pPr>
          </w:p>
        </w:tc>
      </w:tr>
      <w:tr>
        <w:trPr>
          <w:trHeight w:val="274"/>
        </w:trPr>
        <w:tc>
          <w:tcPr>
            <w:tcW w:w="6160" w:type="dxa"/>
            <w:vAlign w:val="bottom"/>
            <w:gridSpan w:val="3"/>
          </w:tcPr>
          <w:p>
            <w:pPr>
              <w:spacing w:after="0"/>
              <w:rPr>
                <w:sz w:val="20"/>
                <w:szCs w:val="20"/>
                <w:color w:val="auto"/>
              </w:rPr>
            </w:pPr>
            <w:r>
              <w:rPr>
                <w:rFonts w:ascii="Arial" w:cs="Arial" w:eastAsia="Arial" w:hAnsi="Arial"/>
                <w:sz w:val="22"/>
                <w:szCs w:val="22"/>
                <w:color w:val="auto"/>
              </w:rPr>
              <w:t>Name: David Randall Winn</w:t>
            </w:r>
          </w:p>
        </w:tc>
      </w:tr>
      <w:tr>
        <w:trPr>
          <w:trHeight w:val="297"/>
        </w:trPr>
        <w:tc>
          <w:tcPr>
            <w:tcW w:w="2040" w:type="dxa"/>
            <w:vAlign w:val="bottom"/>
            <w:gridSpan w:val="2"/>
          </w:tcPr>
          <w:p>
            <w:pPr>
              <w:spacing w:after="0"/>
              <w:rPr>
                <w:sz w:val="20"/>
                <w:szCs w:val="20"/>
                <w:color w:val="auto"/>
              </w:rPr>
            </w:pPr>
            <w:r>
              <w:rPr>
                <w:rFonts w:ascii="Arial" w:cs="Arial" w:eastAsia="Arial" w:hAnsi="Arial"/>
                <w:sz w:val="22"/>
                <w:szCs w:val="22"/>
                <w:color w:val="auto"/>
              </w:rPr>
              <w:t>Title: Member</w:t>
            </w:r>
          </w:p>
        </w:tc>
        <w:tc>
          <w:tcPr>
            <w:tcW w:w="4120" w:type="dxa"/>
            <w:vAlign w:val="bottom"/>
          </w:tcPr>
          <w:p>
            <w:pPr>
              <w:spacing w:after="0"/>
              <w:rPr>
                <w:sz w:val="24"/>
                <w:szCs w:val="24"/>
                <w:color w:val="auto"/>
              </w:rPr>
            </w:pPr>
          </w:p>
        </w:tc>
      </w:tr>
      <w:tr>
        <w:trPr>
          <w:trHeight w:val="864"/>
        </w:trPr>
        <w:tc>
          <w:tcPr>
            <w:tcW w:w="2040" w:type="dxa"/>
            <w:vAlign w:val="bottom"/>
            <w:gridSpan w:val="2"/>
          </w:tcPr>
          <w:p>
            <w:pPr>
              <w:spacing w:after="0"/>
              <w:rPr>
                <w:sz w:val="20"/>
                <w:szCs w:val="20"/>
                <w:color w:val="auto"/>
              </w:rPr>
            </w:pPr>
            <w:r>
              <w:rPr>
                <w:rFonts w:ascii="Arial" w:cs="Arial" w:eastAsia="Arial" w:hAnsi="Arial"/>
                <w:sz w:val="22"/>
                <w:szCs w:val="22"/>
                <w:color w:val="auto"/>
              </w:rPr>
              <w:t>By:</w:t>
            </w:r>
          </w:p>
        </w:tc>
        <w:tc>
          <w:tcPr>
            <w:tcW w:w="4120" w:type="dxa"/>
            <w:vAlign w:val="bottom"/>
          </w:tcPr>
          <w:p>
            <w:pPr>
              <w:jc w:val="center"/>
              <w:ind w:right="1252"/>
              <w:spacing w:after="0"/>
              <w:rPr>
                <w:sz w:val="20"/>
                <w:szCs w:val="20"/>
                <w:color w:val="auto"/>
              </w:rPr>
            </w:pPr>
            <w:r>
              <w:rPr>
                <w:rFonts w:ascii="Arial" w:cs="Arial" w:eastAsia="Arial" w:hAnsi="Arial"/>
                <w:sz w:val="22"/>
                <w:szCs w:val="22"/>
                <w:color w:val="auto"/>
                <w:w w:val="90"/>
              </w:rPr>
              <w:t>/s/ Eric J. Edell</w:t>
            </w:r>
          </w:p>
        </w:tc>
      </w:tr>
      <w:tr>
        <w:trPr>
          <w:trHeight w:val="273"/>
        </w:trPr>
        <w:tc>
          <w:tcPr>
            <w:tcW w:w="66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tcPr>
          <w:p>
            <w:pPr>
              <w:spacing w:after="0"/>
              <w:rPr>
                <w:sz w:val="23"/>
                <w:szCs w:val="23"/>
                <w:color w:val="auto"/>
              </w:rPr>
            </w:pPr>
          </w:p>
        </w:tc>
      </w:tr>
      <w:tr>
        <w:trPr>
          <w:trHeight w:val="274"/>
        </w:trPr>
        <w:tc>
          <w:tcPr>
            <w:tcW w:w="2040" w:type="dxa"/>
            <w:vAlign w:val="bottom"/>
            <w:gridSpan w:val="2"/>
          </w:tcPr>
          <w:p>
            <w:pPr>
              <w:spacing w:after="0"/>
              <w:rPr>
                <w:sz w:val="20"/>
                <w:szCs w:val="20"/>
                <w:color w:val="auto"/>
              </w:rPr>
            </w:pPr>
            <w:r>
              <w:rPr>
                <w:rFonts w:ascii="Arial" w:cs="Arial" w:eastAsia="Arial" w:hAnsi="Arial"/>
                <w:sz w:val="22"/>
                <w:szCs w:val="22"/>
                <w:color w:val="auto"/>
              </w:rPr>
              <w:t>Name: Eric J. Edell</w:t>
            </w:r>
          </w:p>
        </w:tc>
        <w:tc>
          <w:tcPr>
            <w:tcW w:w="4120" w:type="dxa"/>
            <w:vAlign w:val="bottom"/>
          </w:tcPr>
          <w:p>
            <w:pPr>
              <w:spacing w:after="0"/>
              <w:rPr>
                <w:sz w:val="23"/>
                <w:szCs w:val="23"/>
                <w:color w:val="auto"/>
              </w:rPr>
            </w:pPr>
          </w:p>
        </w:tc>
      </w:tr>
      <w:tr>
        <w:trPr>
          <w:trHeight w:val="297"/>
        </w:trPr>
        <w:tc>
          <w:tcPr>
            <w:tcW w:w="2040" w:type="dxa"/>
            <w:vAlign w:val="bottom"/>
            <w:gridSpan w:val="2"/>
          </w:tcPr>
          <w:p>
            <w:pPr>
              <w:spacing w:after="0"/>
              <w:rPr>
                <w:sz w:val="20"/>
                <w:szCs w:val="20"/>
                <w:color w:val="auto"/>
              </w:rPr>
            </w:pPr>
            <w:r>
              <w:rPr>
                <w:rFonts w:ascii="Arial" w:cs="Arial" w:eastAsia="Arial" w:hAnsi="Arial"/>
                <w:sz w:val="22"/>
                <w:szCs w:val="22"/>
                <w:color w:val="auto"/>
              </w:rPr>
              <w:t>Title: Member</w:t>
            </w:r>
          </w:p>
        </w:tc>
        <w:tc>
          <w:tcPr>
            <w:tcW w:w="4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22C Capital I,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60"/>
        <w:spacing w:after="0"/>
        <w:tabs>
          <w:tab w:leader="none" w:pos="6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187325</wp:posOffset>
            </wp:positionV>
            <wp:extent cx="3488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Name: David Randall Winn</w:t>
      </w:r>
    </w:p>
    <w:p>
      <w:pPr>
        <w:sectPr>
          <w:pgSz w:w="11900" w:h="16838" w:orient="portrait"/>
          <w:cols w:equalWidth="0" w:num="1">
            <w:col w:w="10120"/>
          </w:cols>
          <w:pgMar w:left="1440" w:top="644" w:right="339" w:bottom="0" w:gutter="0" w:footer="0" w:header="0"/>
        </w:sectPr>
      </w:pPr>
    </w:p>
    <w:bookmarkStart w:id="150" w:name="page151"/>
    <w:bookmarkEnd w:id="150"/>
    <w:p>
      <w:pPr>
        <w:ind w:left="50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040"/>
        <w:spacing w:after="0"/>
        <w:tabs>
          <w:tab w:leader="none" w:pos="7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Eric J. Edell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187325</wp:posOffset>
            </wp:positionV>
            <wp:extent cx="34886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 Eric J. Edell</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Member</w:t>
      </w:r>
    </w:p>
    <w:p>
      <w:pPr>
        <w:spacing w:after="0" w:line="30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58</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04" w:right="1440" w:bottom="1440" w:gutter="0" w:footer="0" w:header="0"/>
        </w:sectPr>
      </w:pPr>
    </w:p>
    <w:bookmarkStart w:id="151" w:name="page152"/>
    <w:bookmarkEnd w:id="151"/>
    <w:p>
      <w:pPr>
        <w:jc w:val="right"/>
        <w:ind w:right="4399"/>
        <w:spacing w:after="0"/>
        <w:rPr>
          <w:sz w:val="20"/>
          <w:szCs w:val="20"/>
          <w:color w:val="auto"/>
        </w:rPr>
      </w:pPr>
      <w:r>
        <w:rPr>
          <w:rFonts w:ascii="Arial" w:cs="Arial" w:eastAsia="Arial" w:hAnsi="Arial"/>
          <w:sz w:val="22"/>
          <w:szCs w:val="22"/>
          <w:color w:val="auto"/>
        </w:rPr>
        <w:t>59</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631" w:right="1440" w:bottom="1440" w:gutter="0" w:footer="0" w:header="0"/>
        </w:sectPr>
      </w:pPr>
    </w:p>
    <w:bookmarkStart w:id="152" w:name="page153"/>
    <w:bookmarkEnd w:id="152"/>
    <w:p>
      <w:pPr>
        <w:jc w:val="right"/>
        <w:ind w:right="4399"/>
        <w:spacing w:after="0"/>
        <w:rPr>
          <w:sz w:val="20"/>
          <w:szCs w:val="20"/>
          <w:color w:val="auto"/>
        </w:rPr>
      </w:pPr>
      <w:r>
        <w:rPr>
          <w:rFonts w:ascii="Arial" w:cs="Arial" w:eastAsia="Arial" w:hAnsi="Arial"/>
          <w:sz w:val="22"/>
          <w:szCs w:val="22"/>
          <w:color w:val="auto"/>
        </w:rPr>
        <w:t>60</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59055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631" w:right="1440" w:bottom="1440" w:gutter="0" w:footer="0" w:header="0"/>
        </w:sectPr>
      </w:pPr>
    </w:p>
    <w:bookmarkStart w:id="153" w:name="page154"/>
    <w:bookmarkEnd w:id="153"/>
    <w:tbl>
      <w:tblPr>
        <w:tblLayout w:type="fixed"/>
        <w:tblInd w:w="10" w:type="dxa"/>
        <w:tblCellMar>
          <w:top w:w="0" w:type="dxa"/>
          <w:left w:w="0" w:type="dxa"/>
          <w:bottom w:w="0" w:type="dxa"/>
          <w:right w:w="0" w:type="dxa"/>
        </w:tblCellMar>
      </w:tblPr>
      <w:tr>
        <w:trPr>
          <w:trHeight w:val="280"/>
        </w:trPr>
        <w:tc>
          <w:tcPr>
            <w:tcW w:w="3880" w:type="dxa"/>
            <w:vAlign w:val="bottom"/>
          </w:tcPr>
          <w:p>
            <w:pPr>
              <w:spacing w:after="0"/>
              <w:rPr>
                <w:sz w:val="24"/>
                <w:szCs w:val="24"/>
                <w:color w:val="auto"/>
              </w:rPr>
            </w:pPr>
          </w:p>
        </w:tc>
        <w:tc>
          <w:tcPr>
            <w:tcW w:w="7360" w:type="dxa"/>
            <w:vAlign w:val="bottom"/>
            <w:gridSpan w:val="4"/>
          </w:tcPr>
          <w:p>
            <w:pPr>
              <w:jc w:val="center"/>
              <w:ind w:right="3880"/>
              <w:spacing w:after="0"/>
              <w:rPr>
                <w:sz w:val="20"/>
                <w:szCs w:val="20"/>
                <w:color w:val="auto"/>
              </w:rPr>
            </w:pPr>
            <w:r>
              <w:rPr>
                <w:rFonts w:ascii="Arial" w:cs="Arial" w:eastAsia="Arial" w:hAnsi="Arial"/>
                <w:sz w:val="22"/>
                <w:szCs w:val="22"/>
                <w:b w:val="1"/>
                <w:bCs w:val="1"/>
                <w:color w:val="auto"/>
                <w:w w:val="97"/>
              </w:rPr>
              <w:t>SCHEDULE A</w:t>
            </w:r>
          </w:p>
        </w:tc>
      </w:tr>
      <w:tr>
        <w:trPr>
          <w:trHeight w:val="486"/>
        </w:trPr>
        <w:tc>
          <w:tcPr>
            <w:tcW w:w="3880" w:type="dxa"/>
            <w:vAlign w:val="bottom"/>
          </w:tcPr>
          <w:p>
            <w:pPr>
              <w:spacing w:after="0"/>
              <w:rPr>
                <w:sz w:val="24"/>
                <w:szCs w:val="24"/>
                <w:color w:val="auto"/>
              </w:rPr>
            </w:pPr>
          </w:p>
        </w:tc>
        <w:tc>
          <w:tcPr>
            <w:tcW w:w="7360" w:type="dxa"/>
            <w:vAlign w:val="bottom"/>
            <w:gridSpan w:val="4"/>
          </w:tcPr>
          <w:p>
            <w:pPr>
              <w:jc w:val="center"/>
              <w:ind w:right="3880"/>
              <w:spacing w:after="0"/>
              <w:rPr>
                <w:sz w:val="20"/>
                <w:szCs w:val="20"/>
                <w:color w:val="auto"/>
              </w:rPr>
            </w:pPr>
            <w:r>
              <w:rPr>
                <w:rFonts w:ascii="Arial" w:cs="Arial" w:eastAsia="Arial" w:hAnsi="Arial"/>
                <w:sz w:val="22"/>
                <w:szCs w:val="22"/>
                <w:b w:val="1"/>
                <w:bCs w:val="1"/>
                <w:color w:val="auto"/>
                <w:w w:val="87"/>
              </w:rPr>
              <w:t>Effective as of September 17, 2021</w:t>
            </w:r>
          </w:p>
        </w:tc>
      </w:tr>
      <w:tr>
        <w:trPr>
          <w:trHeight w:val="236"/>
        </w:trPr>
        <w:tc>
          <w:tcPr>
            <w:tcW w:w="38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47"/>
        </w:trPr>
        <w:tc>
          <w:tcPr>
            <w:tcW w:w="3880" w:type="dxa"/>
            <w:vAlign w:val="bottom"/>
            <w:tcBorders>
              <w:left w:val="single" w:sz="8" w:color="auto"/>
              <w:bottom w:val="single" w:sz="8" w:color="auto"/>
            </w:tcBorders>
          </w:tcPr>
          <w:p>
            <w:pPr>
              <w:ind w:left="3040"/>
              <w:spacing w:after="0"/>
              <w:rPr>
                <w:sz w:val="20"/>
                <w:szCs w:val="20"/>
                <w:color w:val="auto"/>
              </w:rPr>
            </w:pPr>
            <w:r>
              <w:rPr>
                <w:rFonts w:ascii="Arial" w:cs="Arial" w:eastAsia="Arial" w:hAnsi="Arial"/>
                <w:sz w:val="18"/>
                <w:szCs w:val="18"/>
                <w:b w:val="1"/>
                <w:bCs w:val="1"/>
                <w:color w:val="auto"/>
              </w:rPr>
              <w:t>Member</w:t>
            </w:r>
          </w:p>
        </w:tc>
        <w:tc>
          <w:tcPr>
            <w:tcW w:w="290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0" w:type="dxa"/>
            <w:vAlign w:val="bottom"/>
            <w:tcBorders>
              <w:bottom w:val="single" w:sz="8" w:color="auto"/>
              <w:right w:val="single" w:sz="8" w:color="auto"/>
            </w:tcBorders>
            <w:gridSpan w:val="2"/>
          </w:tcPr>
          <w:p>
            <w:pPr>
              <w:ind w:left="1740"/>
              <w:spacing w:after="0"/>
              <w:rPr>
                <w:sz w:val="20"/>
                <w:szCs w:val="20"/>
                <w:color w:val="auto"/>
              </w:rPr>
            </w:pPr>
            <w:r>
              <w:rPr>
                <w:rFonts w:ascii="Arial" w:cs="Arial" w:eastAsia="Arial" w:hAnsi="Arial"/>
                <w:sz w:val="18"/>
                <w:szCs w:val="18"/>
                <w:b w:val="1"/>
                <w:bCs w:val="1"/>
                <w:color w:val="auto"/>
              </w:rPr>
              <w:t>LLC Units</w:t>
            </w:r>
          </w:p>
        </w:tc>
      </w:tr>
      <w:tr>
        <w:trPr>
          <w:trHeight w:val="244"/>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SE VII DHC AIV, LP</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27,647,349</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Spectrum VII Investment Managers Fund</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40,173</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Spectrum VII Co-Investment Fund, L.P.</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23,467</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22C Capital I, L.P.</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4,278,551</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22C AIDH AIV LLC</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12,651</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DH Holdings (fka Jason R. Krantz 2009 Trust)</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21,139,192</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Jason Krantz</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855,089</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AIDH Management Holdings, LLC</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6,096,202</w:t>
            </w:r>
          </w:p>
        </w:tc>
        <w:tc>
          <w:tcPr>
            <w:tcW w:w="100" w:type="dxa"/>
            <w:vAlign w:val="bottom"/>
            <w:tcBorders>
              <w:bottom w:val="single" w:sz="8" w:color="auto"/>
              <w:right w:val="single" w:sz="8" w:color="auto"/>
            </w:tcBorders>
          </w:tcPr>
          <w:p>
            <w:pPr>
              <w:spacing w:after="0"/>
              <w:rPr>
                <w:sz w:val="21"/>
                <w:szCs w:val="21"/>
                <w:color w:val="auto"/>
              </w:rPr>
            </w:pPr>
          </w:p>
        </w:tc>
      </w:tr>
      <w:tr>
        <w:trPr>
          <w:trHeight w:val="250"/>
        </w:trPr>
        <w:tc>
          <w:tcPr>
            <w:tcW w:w="3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Definitive Healthcare Corp.</w:t>
            </w:r>
          </w:p>
        </w:tc>
        <w:tc>
          <w:tcPr>
            <w:tcW w:w="2900" w:type="dxa"/>
            <w:vAlign w:val="bottom"/>
            <w:tcBorders>
              <w:bottom w:val="single" w:sz="8" w:color="auto"/>
              <w:right w:val="single" w:sz="8" w:color="auto"/>
            </w:tcBorders>
          </w:tcPr>
          <w:p>
            <w:pPr>
              <w:spacing w:after="0"/>
              <w:rPr>
                <w:sz w:val="21"/>
                <w:szCs w:val="21"/>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88,263,333</w:t>
            </w:r>
          </w:p>
        </w:tc>
        <w:tc>
          <w:tcPr>
            <w:tcW w:w="100" w:type="dxa"/>
            <w:vAlign w:val="bottom"/>
            <w:tcBorders>
              <w:bottom w:val="single" w:sz="8" w:color="auto"/>
              <w:right w:val="single" w:sz="8" w:color="auto"/>
            </w:tcBorders>
          </w:tcPr>
          <w:p>
            <w:pPr>
              <w:spacing w:after="0"/>
              <w:rPr>
                <w:sz w:val="21"/>
                <w:szCs w:val="21"/>
                <w:color w:val="auto"/>
              </w:rPr>
            </w:pPr>
          </w:p>
        </w:tc>
      </w:tr>
      <w:tr>
        <w:trPr>
          <w:trHeight w:val="496"/>
        </w:trPr>
        <w:tc>
          <w:tcPr>
            <w:tcW w:w="3880" w:type="dxa"/>
            <w:vAlign w:val="bottom"/>
          </w:tcPr>
          <w:p>
            <w:pPr>
              <w:spacing w:after="0"/>
              <w:rPr>
                <w:sz w:val="24"/>
                <w:szCs w:val="24"/>
                <w:color w:val="auto"/>
              </w:rPr>
            </w:pPr>
          </w:p>
        </w:tc>
        <w:tc>
          <w:tcPr>
            <w:tcW w:w="2900" w:type="dxa"/>
            <w:vAlign w:val="bottom"/>
          </w:tcPr>
          <w:p>
            <w:pPr>
              <w:jc w:val="center"/>
              <w:ind w:left="492"/>
              <w:spacing w:after="0"/>
              <w:rPr>
                <w:sz w:val="20"/>
                <w:szCs w:val="20"/>
                <w:color w:val="auto"/>
              </w:rPr>
            </w:pPr>
            <w:r>
              <w:rPr>
                <w:rFonts w:ascii="Arial" w:cs="Arial" w:eastAsia="Arial" w:hAnsi="Arial"/>
                <w:sz w:val="22"/>
                <w:szCs w:val="22"/>
                <w:color w:val="auto"/>
                <w:w w:val="89"/>
              </w:rPr>
              <w:t>61</w:t>
            </w: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 NOTICE</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AIDH Topco,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550 Cochituate Rd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Framingham, MA 01701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Legal Officer</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Definitive Healthcare Corp.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550 Cochituate Rd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Framingham, MA 01701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Legal Officer</w:t>
      </w:r>
    </w:p>
    <w:p>
      <w:pPr>
        <w:spacing w:after="0" w:line="200" w:lineRule="exact"/>
        <w:rPr>
          <w:sz w:val="20"/>
          <w:szCs w:val="20"/>
          <w:color w:val="auto"/>
        </w:rPr>
      </w:pPr>
    </w:p>
    <w:p>
      <w:pPr>
        <w:spacing w:after="0" w:line="35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Reference is hereby made to the Second Amended and Restated Limited Liability Company Agreement, dated as of September 14, 2021 (as amended from time to time, the “</w:t>
      </w:r>
      <w:r>
        <w:rPr>
          <w:rFonts w:ascii="Arial" w:cs="Arial" w:eastAsia="Arial" w:hAnsi="Arial"/>
          <w:sz w:val="22"/>
          <w:szCs w:val="22"/>
          <w:u w:val="single" w:color="auto"/>
          <w:color w:val="auto"/>
        </w:rPr>
        <w:t>LLC Agreement</w:t>
      </w:r>
      <w:r>
        <w:rPr>
          <w:rFonts w:ascii="Arial" w:cs="Arial" w:eastAsia="Arial" w:hAnsi="Arial"/>
          <w:sz w:val="22"/>
          <w:szCs w:val="22"/>
          <w:color w:val="auto"/>
        </w:rPr>
        <w:t>”), among Definitive Healthcare Corp., a Delaware corporation (“</w:t>
      </w:r>
      <w:r>
        <w:rPr>
          <w:rFonts w:ascii="Arial" w:cs="Arial" w:eastAsia="Arial" w:hAnsi="Arial"/>
          <w:sz w:val="22"/>
          <w:szCs w:val="22"/>
          <w:u w:val="single" w:color="auto"/>
          <w:color w:val="auto"/>
        </w:rPr>
        <w:t>PubCo</w:t>
      </w:r>
      <w:r>
        <w:rPr>
          <w:rFonts w:ascii="Arial" w:cs="Arial" w:eastAsia="Arial" w:hAnsi="Arial"/>
          <w:sz w:val="22"/>
          <w:szCs w:val="22"/>
          <w:color w:val="auto"/>
        </w:rPr>
        <w:t>”), AIDH Topco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members from time to time party thereto (each, a “</w:t>
      </w:r>
      <w:r>
        <w:rPr>
          <w:rFonts w:ascii="Arial" w:cs="Arial" w:eastAsia="Arial" w:hAnsi="Arial"/>
          <w:sz w:val="22"/>
          <w:szCs w:val="22"/>
          <w:u w:val="single" w:color="auto"/>
          <w:color w:val="auto"/>
        </w:rPr>
        <w:t>Member</w:t>
      </w:r>
      <w:r>
        <w:rPr>
          <w:rFonts w:ascii="Arial" w:cs="Arial" w:eastAsia="Arial" w:hAnsi="Arial"/>
          <w:sz w:val="22"/>
          <w:szCs w:val="22"/>
          <w:color w:val="auto"/>
        </w:rPr>
        <w:t>”). Capitalized terms used but not defined herein shall have the meanings given to them in the LLC Agreement.</w:t>
      </w:r>
    </w:p>
    <w:p>
      <w:pPr>
        <w:spacing w:after="0" w:line="244"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color w:val="auto"/>
        </w:rPr>
        <w:t>Pursuant and subject to the terms of Article 10 of the LLC Agreement, the undersigned Member hereby transfers and surrenders to the Company the number of Units set forth below in exchange for shares of Class A Common Stock to be issued in its name.</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Legal Name of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15875</wp:posOffset>
            </wp:positionV>
            <wp:extent cx="33432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15875</wp:posOffset>
            </wp:positionV>
            <wp:extent cx="44831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15875</wp:posOffset>
            </wp:positionV>
            <wp:extent cx="38487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Limitation on Tax Benefit Payments under Section 3.1(b)(vii) of the Tax Receivable Agreement (Optional; may indicate a percentage, dollar figure or “none”, and if left blank, will default to 50% of the initial Tax benefits resulting from the Redemption, as set forth in the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42773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5" w:name="page156"/>
    <w:bookmarkEnd w:id="155"/>
    <w:p>
      <w:pPr>
        <w:jc w:val="both"/>
        <w:spacing w:after="0" w:line="304" w:lineRule="auto"/>
        <w:rPr>
          <w:sz w:val="20"/>
          <w:szCs w:val="20"/>
          <w:color w:val="auto"/>
        </w:rPr>
      </w:pPr>
      <w:r>
        <w:rPr>
          <w:rFonts w:ascii="Arial" w:cs="Arial" w:eastAsia="Arial" w:hAnsi="Arial"/>
          <w:sz w:val="19"/>
          <w:szCs w:val="19"/>
          <w:color w:val="auto"/>
        </w:rPr>
        <w:t>The undersigned hereby represents and warrants that (i) the undersigned has full legal capacity to execute and deliver this Redemption Notice and to perform the undersigned’s obligations hereunder; (ii) this Redemption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Units subject to this Redemption Notice are being transferred to the Company free and clear of any pledge, lien, security interest, encumbrance, equities or claim; and (iv) no consent, approval, authorization, order, registration or qualification of any third party or with any court or governmental agency or body having jurisdiction over the undersigned or the Units subject to this Redemption Notice is required to be obtained by the undersigned for the transfer of such Units to the Company.</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undersigned hereby irrevocably constitutes and appoints any officer of PubCo or of the Company as the attorney of the undersigned, with full power of substitution and resubstitution in the premises, to do any and all things and to take any and all actions that may be necessary to transfer to the Company the Units subject to this Redemption Notice and to deliver to the undersigned the shares of Class A Common Stock to be delivered in exchange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28460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28460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Redemption Notice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WEIL:\98074461\9\40590.0003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REORGANIZATION AGREEMENT</w:t>
      </w:r>
    </w:p>
    <w:p>
      <w:pPr>
        <w:spacing w:after="0" w:line="23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1"/>
          <w:szCs w:val="21"/>
          <w:color w:val="auto"/>
        </w:rPr>
        <w:t>This REORGANIZATION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September 14, 2021, is entered into by and among (a) AIDH TopCo,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(b) Definitive Healthcare Corp., a Delaware corporation (“</w:t>
      </w:r>
      <w:r>
        <w:rPr>
          <w:rFonts w:ascii="Arial" w:cs="Arial" w:eastAsia="Arial" w:hAnsi="Arial"/>
          <w:sz w:val="21"/>
          <w:szCs w:val="21"/>
          <w:b w:val="1"/>
          <w:bCs w:val="1"/>
          <w:color w:val="auto"/>
        </w:rPr>
        <w:t>Pubco</w:t>
      </w:r>
      <w:r>
        <w:rPr>
          <w:rFonts w:ascii="Arial" w:cs="Arial" w:eastAsia="Arial" w:hAnsi="Arial"/>
          <w:sz w:val="21"/>
          <w:szCs w:val="21"/>
          <w:color w:val="auto"/>
        </w:rPr>
        <w:t>”) and (c) AIDH Holdings, Inc., a Delaware corporation (“</w:t>
      </w:r>
      <w:r>
        <w:rPr>
          <w:rFonts w:ascii="Arial" w:cs="Arial" w:eastAsia="Arial" w:hAnsi="Arial"/>
          <w:sz w:val="21"/>
          <w:szCs w:val="21"/>
          <w:b w:val="1"/>
          <w:bCs w:val="1"/>
          <w:color w:val="auto"/>
        </w:rPr>
        <w:t>Advent Blocker</w:t>
      </w:r>
      <w:r>
        <w:rPr>
          <w:rFonts w:ascii="Arial" w:cs="Arial" w:eastAsia="Arial" w:hAnsi="Arial"/>
          <w:sz w:val="21"/>
          <w:szCs w:val="21"/>
          <w:color w:val="auto"/>
        </w:rPr>
        <w:t>”); SE VII DHC AIV, L.P., a Delaware limited partnership (“</w:t>
      </w:r>
      <w:r>
        <w:rPr>
          <w:rFonts w:ascii="Arial" w:cs="Arial" w:eastAsia="Arial" w:hAnsi="Arial"/>
          <w:sz w:val="21"/>
          <w:szCs w:val="21"/>
          <w:b w:val="1"/>
          <w:bCs w:val="1"/>
          <w:color w:val="auto"/>
        </w:rPr>
        <w:t>Spectrum Partnership</w:t>
      </w:r>
      <w:r>
        <w:rPr>
          <w:rFonts w:ascii="Arial" w:cs="Arial" w:eastAsia="Arial" w:hAnsi="Arial"/>
          <w:sz w:val="21"/>
          <w:szCs w:val="21"/>
          <w:color w:val="auto"/>
        </w:rPr>
        <w:t>”); Spectrum VII Investment Managers’ Fund, L.P., a Delaware limited partnership (“</w:t>
      </w:r>
      <w:r>
        <w:rPr>
          <w:rFonts w:ascii="Arial" w:cs="Arial" w:eastAsia="Arial" w:hAnsi="Arial"/>
          <w:sz w:val="21"/>
          <w:szCs w:val="21"/>
          <w:b w:val="1"/>
          <w:bCs w:val="1"/>
          <w:color w:val="auto"/>
        </w:rPr>
        <w:t>Spectrum IMF</w:t>
      </w:r>
      <w:r>
        <w:rPr>
          <w:rFonts w:ascii="Arial" w:cs="Arial" w:eastAsia="Arial" w:hAnsi="Arial"/>
          <w:sz w:val="21"/>
          <w:szCs w:val="21"/>
          <w:color w:val="auto"/>
        </w:rPr>
        <w:t>”); Spectrum VII Co-Investment Fund, L.P., a Delaware limited partnership (“</w:t>
      </w:r>
      <w:r>
        <w:rPr>
          <w:rFonts w:ascii="Arial" w:cs="Arial" w:eastAsia="Arial" w:hAnsi="Arial"/>
          <w:sz w:val="21"/>
          <w:szCs w:val="21"/>
          <w:b w:val="1"/>
          <w:bCs w:val="1"/>
          <w:color w:val="auto"/>
        </w:rPr>
        <w:t>Spectrum</w:t>
      </w:r>
      <w:r>
        <w:rPr>
          <w:rFonts w:ascii="Arial" w:cs="Arial" w:eastAsia="Arial" w:hAnsi="Arial"/>
          <w:sz w:val="21"/>
          <w:szCs w:val="21"/>
          <w:color w:val="auto"/>
        </w:rPr>
        <w:t xml:space="preserve"> </w:t>
      </w:r>
      <w:r>
        <w:rPr>
          <w:rFonts w:ascii="Arial" w:cs="Arial" w:eastAsia="Arial" w:hAnsi="Arial"/>
          <w:sz w:val="21"/>
          <w:szCs w:val="21"/>
          <w:b w:val="1"/>
          <w:bCs w:val="1"/>
          <w:color w:val="auto"/>
        </w:rPr>
        <w:t>Co-Invest</w:t>
      </w:r>
      <w:r>
        <w:rPr>
          <w:rFonts w:ascii="Arial" w:cs="Arial" w:eastAsia="Arial" w:hAnsi="Arial"/>
          <w:sz w:val="21"/>
          <w:szCs w:val="21"/>
          <w:color w:val="auto"/>
        </w:rPr>
        <w:t>”); SE VII DHC AIV Feeder Corporation (“</w:t>
      </w:r>
      <w:r>
        <w:rPr>
          <w:rFonts w:ascii="Arial" w:cs="Arial" w:eastAsia="Arial" w:hAnsi="Arial"/>
          <w:sz w:val="21"/>
          <w:szCs w:val="21"/>
          <w:b w:val="1"/>
          <w:bCs w:val="1"/>
          <w:color w:val="auto"/>
        </w:rPr>
        <w:t>Spectrum Blocker</w:t>
      </w:r>
      <w:r>
        <w:rPr>
          <w:rFonts w:ascii="Arial" w:cs="Arial" w:eastAsia="Arial" w:hAnsi="Arial"/>
          <w:sz w:val="21"/>
          <w:szCs w:val="21"/>
          <w:color w:val="auto"/>
        </w:rPr>
        <w:t>”); Jason Krantz; 22C AIDH TopCo Aggregator,</w:t>
      </w:r>
      <w:r>
        <w:rPr>
          <w:rFonts w:ascii="Arial" w:cs="Arial" w:eastAsia="Arial" w:hAnsi="Arial"/>
          <w:sz w:val="21"/>
          <w:szCs w:val="21"/>
          <w:b w:val="1"/>
          <w:bCs w:val="1"/>
          <w:color w:val="auto"/>
        </w:rPr>
        <w:t xml:space="preserve"> </w:t>
      </w:r>
      <w:r>
        <w:rPr>
          <w:rFonts w:ascii="Arial" w:cs="Arial" w:eastAsia="Arial" w:hAnsi="Arial"/>
          <w:sz w:val="21"/>
          <w:szCs w:val="21"/>
          <w:color w:val="auto"/>
        </w:rPr>
        <w:t>L.L.C., a Delaware limited liability company (“</w:t>
      </w:r>
      <w:r>
        <w:rPr>
          <w:rFonts w:ascii="Arial" w:cs="Arial" w:eastAsia="Arial" w:hAnsi="Arial"/>
          <w:sz w:val="21"/>
          <w:szCs w:val="21"/>
          <w:b w:val="1"/>
          <w:bCs w:val="1"/>
          <w:color w:val="auto"/>
        </w:rPr>
        <w:t>22C Aggregator</w:t>
      </w:r>
      <w:r>
        <w:rPr>
          <w:rFonts w:ascii="Arial" w:cs="Arial" w:eastAsia="Arial" w:hAnsi="Arial"/>
          <w:sz w:val="21"/>
          <w:szCs w:val="21"/>
          <w:color w:val="auto"/>
        </w:rPr>
        <w:t>”); 22C AIDH TopCo CP, L.P., a Delaware limited liability company (“</w:t>
      </w:r>
      <w:r>
        <w:rPr>
          <w:rFonts w:ascii="Arial" w:cs="Arial" w:eastAsia="Arial" w:hAnsi="Arial"/>
          <w:sz w:val="21"/>
          <w:szCs w:val="21"/>
          <w:b w:val="1"/>
          <w:bCs w:val="1"/>
          <w:color w:val="auto"/>
        </w:rPr>
        <w:t>22C Partnership</w:t>
      </w:r>
      <w:r>
        <w:rPr>
          <w:rFonts w:ascii="Arial" w:cs="Arial" w:eastAsia="Arial" w:hAnsi="Arial"/>
          <w:sz w:val="21"/>
          <w:szCs w:val="21"/>
          <w:color w:val="auto"/>
        </w:rPr>
        <w:t>”); 22C AIDH TopCo Blocker, L.L.C., a Delaware limited liability company (“</w:t>
      </w:r>
      <w:r>
        <w:rPr>
          <w:rFonts w:ascii="Arial" w:cs="Arial" w:eastAsia="Arial" w:hAnsi="Arial"/>
          <w:sz w:val="21"/>
          <w:szCs w:val="21"/>
          <w:b w:val="1"/>
          <w:bCs w:val="1"/>
          <w:color w:val="auto"/>
        </w:rPr>
        <w:t>22C Blocker</w:t>
      </w:r>
      <w:r>
        <w:rPr>
          <w:rFonts w:ascii="Arial" w:cs="Arial" w:eastAsia="Arial" w:hAnsi="Arial"/>
          <w:sz w:val="21"/>
          <w:szCs w:val="21"/>
          <w:color w:val="auto"/>
        </w:rPr>
        <w:t>”), 22C Capital I-A, L.P. (“</w:t>
      </w:r>
      <w:r>
        <w:rPr>
          <w:rFonts w:ascii="Arial" w:cs="Arial" w:eastAsia="Arial" w:hAnsi="Arial"/>
          <w:sz w:val="21"/>
          <w:szCs w:val="21"/>
          <w:b w:val="1"/>
          <w:bCs w:val="1"/>
          <w:color w:val="auto"/>
        </w:rPr>
        <w:t>22C Capital I-A</w:t>
      </w:r>
      <w:r>
        <w:rPr>
          <w:rFonts w:ascii="Arial" w:cs="Arial" w:eastAsia="Arial" w:hAnsi="Arial"/>
          <w:sz w:val="21"/>
          <w:szCs w:val="21"/>
          <w:color w:val="auto"/>
        </w:rPr>
        <w:t>”), 22C Capital GP I, L.L.C. (“</w:t>
      </w:r>
      <w:r>
        <w:rPr>
          <w:rFonts w:ascii="Arial" w:cs="Arial" w:eastAsia="Arial" w:hAnsi="Arial"/>
          <w:sz w:val="21"/>
          <w:szCs w:val="21"/>
          <w:b w:val="1"/>
          <w:bCs w:val="1"/>
          <w:color w:val="auto"/>
        </w:rPr>
        <w:t>22C GP</w:t>
      </w:r>
      <w:r>
        <w:rPr>
          <w:rFonts w:ascii="Arial" w:cs="Arial" w:eastAsia="Arial" w:hAnsi="Arial"/>
          <w:sz w:val="21"/>
          <w:szCs w:val="21"/>
          <w:color w:val="auto"/>
        </w:rPr>
        <w:t>”) 22C Capital I, L.P. (“</w:t>
      </w:r>
      <w:r>
        <w:rPr>
          <w:rFonts w:ascii="Arial" w:cs="Arial" w:eastAsia="Arial" w:hAnsi="Arial"/>
          <w:sz w:val="21"/>
          <w:szCs w:val="21"/>
          <w:b w:val="1"/>
          <w:bCs w:val="1"/>
          <w:color w:val="auto"/>
        </w:rPr>
        <w:t>22C Capital I</w:t>
      </w:r>
      <w:r>
        <w:rPr>
          <w:rFonts w:ascii="Arial" w:cs="Arial" w:eastAsia="Arial" w:hAnsi="Arial"/>
          <w:sz w:val="21"/>
          <w:szCs w:val="21"/>
          <w:color w:val="auto"/>
        </w:rPr>
        <w:t>”), 22C AIDH AIV LLC (“</w:t>
      </w:r>
      <w:r>
        <w:rPr>
          <w:rFonts w:ascii="Arial" w:cs="Arial" w:eastAsia="Arial" w:hAnsi="Arial"/>
          <w:sz w:val="21"/>
          <w:szCs w:val="21"/>
          <w:b w:val="1"/>
          <w:bCs w:val="1"/>
          <w:color w:val="auto"/>
        </w:rPr>
        <w:t>22C Newco</w:t>
      </w:r>
      <w:r>
        <w:rPr>
          <w:rFonts w:ascii="Arial" w:cs="Arial" w:eastAsia="Arial" w:hAnsi="Arial"/>
          <w:sz w:val="21"/>
          <w:szCs w:val="21"/>
          <w:color w:val="auto"/>
        </w:rPr>
        <w:t>”), AIDH Management Holdings, LLC, a Delaware limited liability company (“</w:t>
      </w:r>
      <w:r>
        <w:rPr>
          <w:rFonts w:ascii="Arial" w:cs="Arial" w:eastAsia="Arial" w:hAnsi="Arial"/>
          <w:sz w:val="21"/>
          <w:szCs w:val="21"/>
          <w:b w:val="1"/>
          <w:bCs w:val="1"/>
          <w:color w:val="auto"/>
        </w:rPr>
        <w:t>Management</w:t>
      </w:r>
      <w:r>
        <w:rPr>
          <w:rFonts w:ascii="Arial" w:cs="Arial" w:eastAsia="Arial" w:hAnsi="Arial"/>
          <w:sz w:val="21"/>
          <w:szCs w:val="21"/>
          <w:color w:val="auto"/>
        </w:rPr>
        <w:t xml:space="preserve"> </w:t>
      </w:r>
      <w:r>
        <w:rPr>
          <w:rFonts w:ascii="Arial" w:cs="Arial" w:eastAsia="Arial" w:hAnsi="Arial"/>
          <w:sz w:val="21"/>
          <w:szCs w:val="21"/>
          <w:b w:val="1"/>
          <w:bCs w:val="1"/>
          <w:color w:val="auto"/>
        </w:rPr>
        <w:t>Holdings</w:t>
      </w:r>
      <w:r>
        <w:rPr>
          <w:rFonts w:ascii="Arial" w:cs="Arial" w:eastAsia="Arial" w:hAnsi="Arial"/>
          <w:sz w:val="21"/>
          <w:szCs w:val="21"/>
          <w:color w:val="auto"/>
        </w:rPr>
        <w:t>”) and MHDH USA Inc., a Delaware corporation (“</w:t>
      </w:r>
      <w:r>
        <w:rPr>
          <w:rFonts w:ascii="Arial" w:cs="Arial" w:eastAsia="Arial" w:hAnsi="Arial"/>
          <w:sz w:val="21"/>
          <w:szCs w:val="21"/>
          <w:b w:val="1"/>
          <w:bCs w:val="1"/>
          <w:color w:val="auto"/>
        </w:rPr>
        <w:t>Monocl Blocker</w:t>
      </w:r>
      <w:r>
        <w:rPr>
          <w:rFonts w:ascii="Arial" w:cs="Arial" w:eastAsia="Arial" w:hAnsi="Arial"/>
          <w:sz w:val="21"/>
          <w:szCs w:val="21"/>
          <w:color w:val="auto"/>
        </w:rPr>
        <w:t>”) (each entity and person set forth in this clause</w:t>
      </w:r>
      <w:r>
        <w:rPr>
          <w:rFonts w:ascii="Arial" w:cs="Arial" w:eastAsia="Arial" w:hAnsi="Arial"/>
          <w:sz w:val="21"/>
          <w:szCs w:val="21"/>
          <w:b w:val="1"/>
          <w:bCs w:val="1"/>
          <w:color w:val="auto"/>
        </w:rPr>
        <w:t xml:space="preserve"> </w:t>
      </w:r>
      <w:r>
        <w:rPr>
          <w:rFonts w:ascii="Arial" w:cs="Arial" w:eastAsia="Arial" w:hAnsi="Arial"/>
          <w:sz w:val="21"/>
          <w:szCs w:val="21"/>
          <w:color w:val="auto"/>
        </w:rPr>
        <w:t>(c), a “</w:t>
      </w:r>
      <w:r>
        <w:rPr>
          <w:rFonts w:ascii="Arial" w:cs="Arial" w:eastAsia="Arial" w:hAnsi="Arial"/>
          <w:sz w:val="21"/>
          <w:szCs w:val="21"/>
          <w:b w:val="1"/>
          <w:bCs w:val="1"/>
          <w:color w:val="auto"/>
        </w:rPr>
        <w:t>Pre-IPO Equityholder</w:t>
      </w:r>
      <w:r>
        <w:rPr>
          <w:rFonts w:ascii="Arial" w:cs="Arial" w:eastAsia="Arial" w:hAnsi="Arial"/>
          <w:sz w:val="21"/>
          <w:szCs w:val="21"/>
          <w:color w:val="auto"/>
        </w:rPr>
        <w:t>” and, together, the “</w:t>
      </w:r>
      <w:r>
        <w:rPr>
          <w:rFonts w:ascii="Arial" w:cs="Arial" w:eastAsia="Arial" w:hAnsi="Arial"/>
          <w:sz w:val="21"/>
          <w:szCs w:val="21"/>
          <w:b w:val="1"/>
          <w:bCs w:val="1"/>
          <w:color w:val="auto"/>
        </w:rPr>
        <w:t>Pre-IPO Equityholders</w:t>
      </w:r>
      <w:r>
        <w:rPr>
          <w:rFonts w:ascii="Arial" w:cs="Arial" w:eastAsia="Arial" w:hAnsi="Arial"/>
          <w:sz w:val="21"/>
          <w:szCs w:val="2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color w:val="auto"/>
        </w:rPr>
        <w:t>WHEREAS, the Board of Directors of Pubco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to effect an underwritten initial public offering (the “</w:t>
      </w:r>
      <w:r>
        <w:rPr>
          <w:rFonts w:ascii="Arial" w:cs="Arial" w:eastAsia="Arial" w:hAnsi="Arial"/>
          <w:sz w:val="22"/>
          <w:szCs w:val="22"/>
          <w:b w:val="1"/>
          <w:bCs w:val="1"/>
          <w:color w:val="auto"/>
        </w:rPr>
        <w:t>IPO</w:t>
      </w:r>
      <w:r>
        <w:rPr>
          <w:rFonts w:ascii="Arial" w:cs="Arial" w:eastAsia="Arial" w:hAnsi="Arial"/>
          <w:sz w:val="22"/>
          <w:szCs w:val="22"/>
          <w:color w:val="auto"/>
        </w:rPr>
        <w:t>”) of Pubco’s Class A Common Stock (as defined below);</w:t>
      </w:r>
    </w:p>
    <w:p>
      <w:pPr>
        <w:spacing w:after="0" w:line="168" w:lineRule="exact"/>
        <w:rPr>
          <w:sz w:val="20"/>
          <w:szCs w:val="20"/>
          <w:color w:val="auto"/>
        </w:rPr>
      </w:pPr>
    </w:p>
    <w:p>
      <w:pPr>
        <w:jc w:val="both"/>
        <w:ind w:right="20" w:firstLine="749"/>
        <w:spacing w:after="0" w:line="358" w:lineRule="auto"/>
        <w:rPr>
          <w:sz w:val="20"/>
          <w:szCs w:val="20"/>
          <w:color w:val="auto"/>
        </w:rPr>
      </w:pPr>
      <w:r>
        <w:rPr>
          <w:rFonts w:ascii="Arial" w:cs="Arial" w:eastAsia="Arial" w:hAnsi="Arial"/>
          <w:sz w:val="19"/>
          <w:szCs w:val="19"/>
          <w:color w:val="auto"/>
        </w:rPr>
        <w:t>WHEREAS, the parties hereto desire to enter into the Reorganization Documents (as defined below) and effect the other Reorganization Transactions (as defined below) to facilitate completion of, or otherwise in connection with, the IPO.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OPERATIVE TERMS:</w:t>
      </w:r>
    </w:p>
    <w:p>
      <w:pPr>
        <w:spacing w:after="0" w:line="23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NOW, THEREFORE, in consideration of the foregoing recitals and of the mutual promises hereinafter set forth, the parties hereto hereby agree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23"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Certain Defined Terms</w:t>
      </w:r>
      <w:r>
        <w:rPr>
          <w:rFonts w:ascii="Arial" w:cs="Arial" w:eastAsia="Arial" w:hAnsi="Arial"/>
          <w:sz w:val="19"/>
          <w:szCs w:val="19"/>
          <w:color w:val="auto"/>
        </w:rPr>
        <w:t>. As used herein, the following terms shall have the following meanings:</w:t>
      </w:r>
    </w:p>
    <w:p>
      <w:pPr>
        <w:spacing w:after="0" w:line="233" w:lineRule="exact"/>
        <w:rPr>
          <w:sz w:val="20"/>
          <w:szCs w:val="20"/>
          <w:color w:val="auto"/>
        </w:rPr>
      </w:pPr>
    </w:p>
    <w:p>
      <w:pPr>
        <w:ind w:firstLine="1505"/>
        <w:spacing w:after="0" w:line="282" w:lineRule="auto"/>
        <w:tabs>
          <w:tab w:leader="none" w:pos="192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other day on which commercial banks in New York, New York are authorized or required by applicable law to close.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7" w:name="page158"/>
    <w:bookmarkEnd w:id="157"/>
    <w:p>
      <w:pPr>
        <w:ind w:firstLine="1505"/>
        <w:spacing w:after="0" w:line="282" w:lineRule="auto"/>
        <w:tabs>
          <w:tab w:leader="none" w:pos="19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Class A Common Stock</w:t>
      </w:r>
      <w:r>
        <w:rPr>
          <w:rFonts w:ascii="Arial" w:cs="Arial" w:eastAsia="Arial" w:hAnsi="Arial"/>
          <w:sz w:val="22"/>
          <w:szCs w:val="22"/>
          <w:color w:val="auto"/>
        </w:rPr>
        <w:t>” means the Class A Common Stock, par value $0.001 per share, of Pubco, having the rights set forth in the Amended and Restated Certificate of Incorporation.</w:t>
      </w:r>
    </w:p>
    <w:p>
      <w:pPr>
        <w:spacing w:after="0" w:line="161" w:lineRule="exact"/>
        <w:rPr>
          <w:rFonts w:ascii="Arial" w:cs="Arial" w:eastAsia="Arial" w:hAnsi="Arial"/>
          <w:sz w:val="22"/>
          <w:szCs w:val="22"/>
          <w:color w:val="auto"/>
        </w:rPr>
      </w:pPr>
    </w:p>
    <w:p>
      <w:pPr>
        <w:ind w:firstLine="1505"/>
        <w:spacing w:after="0" w:line="282" w:lineRule="auto"/>
        <w:tabs>
          <w:tab w:leader="none" w:pos="19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Common Stock</w:t>
      </w:r>
      <w:r>
        <w:rPr>
          <w:rFonts w:ascii="Arial" w:cs="Arial" w:eastAsia="Arial" w:hAnsi="Arial"/>
          <w:sz w:val="22"/>
          <w:szCs w:val="22"/>
          <w:color w:val="auto"/>
        </w:rPr>
        <w:t>” means the Class B Common Stock, par value $0.00001 per share, of Pubco, having the rights set forth in the Amended and Restated Certificate of Incorporation.</w:t>
      </w:r>
    </w:p>
    <w:p>
      <w:pPr>
        <w:spacing w:after="0" w:line="161" w:lineRule="exact"/>
        <w:rPr>
          <w:rFonts w:ascii="Arial" w:cs="Arial" w:eastAsia="Arial" w:hAnsi="Arial"/>
          <w:sz w:val="22"/>
          <w:szCs w:val="22"/>
          <w:color w:val="auto"/>
        </w:rPr>
      </w:pPr>
    </w:p>
    <w:p>
      <w:pPr>
        <w:ind w:right="20" w:firstLine="1505"/>
        <w:spacing w:after="0" w:line="282" w:lineRule="auto"/>
        <w:tabs>
          <w:tab w:leader="none" w:pos="19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Continuing LLC Member</w:t>
      </w:r>
      <w:r>
        <w:rPr>
          <w:rFonts w:ascii="Arial" w:cs="Arial" w:eastAsia="Arial" w:hAnsi="Arial"/>
          <w:sz w:val="22"/>
          <w:szCs w:val="22"/>
          <w:color w:val="auto"/>
        </w:rPr>
        <w:t>” means each Pre-IPO Equityholder that will directly hold LLC Units following the Reorganization Transactions other than Management Holdings.</w:t>
      </w:r>
    </w:p>
    <w:p>
      <w:pPr>
        <w:spacing w:after="0" w:line="161" w:lineRule="exact"/>
        <w:rPr>
          <w:rFonts w:ascii="Arial" w:cs="Arial" w:eastAsia="Arial" w:hAnsi="Arial"/>
          <w:sz w:val="22"/>
          <w:szCs w:val="22"/>
          <w:color w:val="auto"/>
        </w:rPr>
      </w:pPr>
    </w:p>
    <w:p>
      <w:pPr>
        <w:ind w:left="1940" w:hanging="435"/>
        <w:spacing w:after="0"/>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 Closing</w:t>
      </w:r>
      <w:r>
        <w:rPr>
          <w:rFonts w:ascii="Arial" w:cs="Arial" w:eastAsia="Arial" w:hAnsi="Arial"/>
          <w:sz w:val="22"/>
          <w:szCs w:val="22"/>
          <w:color w:val="auto"/>
        </w:rPr>
        <w:t>” means the initial closing of the sale of the Class A Common Stock in the IPO.</w:t>
      </w:r>
    </w:p>
    <w:p>
      <w:pPr>
        <w:spacing w:after="0" w:line="233" w:lineRule="exact"/>
        <w:rPr>
          <w:rFonts w:ascii="Arial" w:cs="Arial" w:eastAsia="Arial" w:hAnsi="Arial"/>
          <w:sz w:val="22"/>
          <w:szCs w:val="22"/>
          <w:color w:val="auto"/>
        </w:rPr>
      </w:pPr>
    </w:p>
    <w:p>
      <w:pPr>
        <w:ind w:left="1940" w:hanging="435"/>
        <w:spacing w:after="0"/>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 Closing Date</w:t>
      </w:r>
      <w:r>
        <w:rPr>
          <w:rFonts w:ascii="Arial" w:cs="Arial" w:eastAsia="Arial" w:hAnsi="Arial"/>
          <w:sz w:val="22"/>
          <w:szCs w:val="22"/>
          <w:color w:val="auto"/>
        </w:rPr>
        <w:t>” means the date of the IPO Closing.</w:t>
      </w:r>
    </w:p>
    <w:p>
      <w:pPr>
        <w:spacing w:after="0" w:line="233" w:lineRule="exact"/>
        <w:rPr>
          <w:rFonts w:ascii="Arial" w:cs="Arial" w:eastAsia="Arial" w:hAnsi="Arial"/>
          <w:sz w:val="22"/>
          <w:szCs w:val="22"/>
          <w:color w:val="auto"/>
        </w:rPr>
      </w:pPr>
    </w:p>
    <w:p>
      <w:pPr>
        <w:ind w:left="1940" w:hanging="435"/>
        <w:spacing w:after="0"/>
        <w:tabs>
          <w:tab w:leader="none" w:pos="19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LLC Units</w:t>
      </w:r>
      <w:r>
        <w:rPr>
          <w:rFonts w:ascii="Arial" w:cs="Arial" w:eastAsia="Arial" w:hAnsi="Arial"/>
          <w:sz w:val="19"/>
          <w:szCs w:val="19"/>
          <w:color w:val="auto"/>
        </w:rPr>
        <w:t>” has the meaning given to such term in the Second Amended and Restated LLC Agreement.</w:t>
      </w:r>
    </w:p>
    <w:p>
      <w:pPr>
        <w:spacing w:after="0" w:line="267" w:lineRule="exact"/>
        <w:rPr>
          <w:rFonts w:ascii="Arial" w:cs="Arial" w:eastAsia="Arial" w:hAnsi="Arial"/>
          <w:sz w:val="19"/>
          <w:szCs w:val="19"/>
          <w:color w:val="auto"/>
        </w:rPr>
      </w:pPr>
    </w:p>
    <w:p>
      <w:pPr>
        <w:ind w:left="1940" w:hanging="435"/>
        <w:spacing w:after="0"/>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Holdings Members</w:t>
      </w:r>
      <w:r>
        <w:rPr>
          <w:rFonts w:ascii="Arial" w:cs="Arial" w:eastAsia="Arial" w:hAnsi="Arial"/>
          <w:sz w:val="22"/>
          <w:szCs w:val="22"/>
          <w:color w:val="auto"/>
        </w:rPr>
        <w:t>” means the members of Management Holdings.</w:t>
      </w:r>
    </w:p>
    <w:p>
      <w:pPr>
        <w:spacing w:after="0" w:line="233" w:lineRule="exact"/>
        <w:rPr>
          <w:rFonts w:ascii="Arial" w:cs="Arial" w:eastAsia="Arial" w:hAnsi="Arial"/>
          <w:sz w:val="22"/>
          <w:szCs w:val="22"/>
          <w:color w:val="auto"/>
        </w:rPr>
      </w:pPr>
    </w:p>
    <w:p>
      <w:pPr>
        <w:jc w:val="both"/>
        <w:ind w:firstLine="1505"/>
        <w:spacing w:after="0" w:line="274" w:lineRule="auto"/>
        <w:tabs>
          <w:tab w:leader="none" w:pos="192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 Agreement</w:t>
      </w:r>
      <w:r>
        <w:rPr>
          <w:rFonts w:ascii="Arial" w:cs="Arial" w:eastAsia="Arial" w:hAnsi="Arial"/>
          <w:sz w:val="21"/>
          <w:szCs w:val="21"/>
          <w:color w:val="auto"/>
        </w:rPr>
        <w:t xml:space="preserve">” means that certain Merger Agreement, attached hereto </w:t>
      </w:r>
      <w:r>
        <w:rPr>
          <w:rFonts w:ascii="Arial" w:cs="Arial" w:eastAsia="Arial" w:hAnsi="Arial"/>
          <w:sz w:val="21"/>
          <w:szCs w:val="21"/>
          <w:b w:val="1"/>
          <w:bCs w:val="1"/>
          <w:color w:val="auto"/>
        </w:rPr>
        <w:t>Exhibit A</w:t>
      </w:r>
      <w:r>
        <w:rPr>
          <w:rFonts w:ascii="Arial" w:cs="Arial" w:eastAsia="Arial" w:hAnsi="Arial"/>
          <w:sz w:val="21"/>
          <w:szCs w:val="21"/>
          <w:color w:val="auto"/>
        </w:rPr>
        <w:t>, dated as of the date hereof, by and among Pubco, Definitive Merger Sub 1, Inc., a wholly owned subsidiary of Pubco (“</w:t>
      </w:r>
      <w:r>
        <w:rPr>
          <w:rFonts w:ascii="Arial" w:cs="Arial" w:eastAsia="Arial" w:hAnsi="Arial"/>
          <w:sz w:val="21"/>
          <w:szCs w:val="21"/>
          <w:u w:val="single" w:color="auto"/>
          <w:color w:val="auto"/>
        </w:rPr>
        <w:t>Definitive Merger Sub</w:t>
      </w:r>
      <w:r>
        <w:rPr>
          <w:rFonts w:ascii="Arial" w:cs="Arial" w:eastAsia="Arial" w:hAnsi="Arial"/>
          <w:sz w:val="21"/>
          <w:szCs w:val="21"/>
          <w:color w:val="auto"/>
        </w:rPr>
        <w:t xml:space="preserve"> </w:t>
      </w:r>
      <w:r>
        <w:rPr>
          <w:rFonts w:ascii="Arial" w:cs="Arial" w:eastAsia="Arial" w:hAnsi="Arial"/>
          <w:sz w:val="21"/>
          <w:szCs w:val="21"/>
          <w:u w:val="single" w:color="auto"/>
          <w:color w:val="auto"/>
        </w:rPr>
        <w:t>1</w:t>
      </w:r>
      <w:r>
        <w:rPr>
          <w:rFonts w:ascii="Arial" w:cs="Arial" w:eastAsia="Arial" w:hAnsi="Arial"/>
          <w:sz w:val="21"/>
          <w:szCs w:val="21"/>
          <w:color w:val="auto"/>
        </w:rPr>
        <w:t>”), Definitive Merger Sub 2, Inc., a wholly owned subsidiary of Pubco (“</w:t>
      </w:r>
      <w:r>
        <w:rPr>
          <w:rFonts w:ascii="Arial" w:cs="Arial" w:eastAsia="Arial" w:hAnsi="Arial"/>
          <w:sz w:val="21"/>
          <w:szCs w:val="21"/>
          <w:u w:val="single" w:color="auto"/>
          <w:color w:val="auto"/>
        </w:rPr>
        <w:t>Definitive Merger Sub 2</w:t>
      </w:r>
      <w:r>
        <w:rPr>
          <w:rFonts w:ascii="Arial" w:cs="Arial" w:eastAsia="Arial" w:hAnsi="Arial"/>
          <w:sz w:val="21"/>
          <w:szCs w:val="21"/>
          <w:color w:val="auto"/>
        </w:rPr>
        <w:t>”), Definitive Merger Sub 3, Inc., a wholly owned subsidiary of Pubco (“</w:t>
      </w:r>
      <w:r>
        <w:rPr>
          <w:rFonts w:ascii="Arial" w:cs="Arial" w:eastAsia="Arial" w:hAnsi="Arial"/>
          <w:sz w:val="21"/>
          <w:szCs w:val="21"/>
          <w:u w:val="single" w:color="auto"/>
          <w:color w:val="auto"/>
        </w:rPr>
        <w:t>Definitive Merger Sub 3</w:t>
      </w:r>
      <w:r>
        <w:rPr>
          <w:rFonts w:ascii="Arial" w:cs="Arial" w:eastAsia="Arial" w:hAnsi="Arial"/>
          <w:sz w:val="21"/>
          <w:szCs w:val="21"/>
          <w:color w:val="auto"/>
        </w:rPr>
        <w:t>”), Definitive Merger Sub 4, Inc., a wholly owned subsidiary of Pubco (“</w:t>
      </w:r>
      <w:r>
        <w:rPr>
          <w:rFonts w:ascii="Arial" w:cs="Arial" w:eastAsia="Arial" w:hAnsi="Arial"/>
          <w:sz w:val="21"/>
          <w:szCs w:val="21"/>
          <w:u w:val="single" w:color="auto"/>
          <w:color w:val="auto"/>
        </w:rPr>
        <w:t>Definitive Merger Sub 4</w:t>
      </w:r>
      <w:r>
        <w:rPr>
          <w:rFonts w:ascii="Arial" w:cs="Arial" w:eastAsia="Arial" w:hAnsi="Arial"/>
          <w:sz w:val="21"/>
          <w:szCs w:val="21"/>
          <w:color w:val="auto"/>
        </w:rPr>
        <w:t>”), Advent Blocker, the stockholders of AIDH Blocker, Spectrum Blocker, SE VII DHC AIV Feeder, LP, the sole stockholder of Spectrum Blocker, 22C Blocker, 22C Capital I-A, L.P., the sole equityholder of 22C Blocker, Monocl Blocker and MHDH AB, the sole stockholder of Moncol Blocker.</w:t>
      </w:r>
    </w:p>
    <w:p>
      <w:pPr>
        <w:spacing w:after="0" w:line="176" w:lineRule="exact"/>
        <w:rPr>
          <w:rFonts w:ascii="Arial" w:cs="Arial" w:eastAsia="Arial" w:hAnsi="Arial"/>
          <w:sz w:val="21"/>
          <w:szCs w:val="21"/>
          <w:color w:val="auto"/>
        </w:rPr>
      </w:pPr>
    </w:p>
    <w:p>
      <w:pPr>
        <w:ind w:firstLine="1505"/>
        <w:spacing w:after="0" w:line="282" w:lineRule="auto"/>
        <w:tabs>
          <w:tab w:leader="none" w:pos="19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limited liability company, trust, estate, joint venture, governmental authority or other entity.</w:t>
      </w:r>
    </w:p>
    <w:p>
      <w:pPr>
        <w:spacing w:after="0" w:line="161" w:lineRule="exact"/>
        <w:rPr>
          <w:rFonts w:ascii="Arial" w:cs="Arial" w:eastAsia="Arial" w:hAnsi="Arial"/>
          <w:sz w:val="22"/>
          <w:szCs w:val="22"/>
          <w:color w:val="auto"/>
        </w:rPr>
      </w:pPr>
    </w:p>
    <w:p>
      <w:pPr>
        <w:ind w:firstLine="1505"/>
        <w:spacing w:after="0" w:line="282" w:lineRule="auto"/>
        <w:tabs>
          <w:tab w:leader="none" w:pos="19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Prior LLC Agreement</w:t>
      </w:r>
      <w:r>
        <w:rPr>
          <w:rFonts w:ascii="Arial" w:cs="Arial" w:eastAsia="Arial" w:hAnsi="Arial"/>
          <w:sz w:val="22"/>
          <w:szCs w:val="22"/>
          <w:color w:val="auto"/>
        </w:rPr>
        <w:t>” means the Amended and Restated Limited Liability Company Agreement of the Company, dated as of July 16, 2019, as amended.</w:t>
      </w:r>
    </w:p>
    <w:p>
      <w:pPr>
        <w:spacing w:after="0" w:line="161" w:lineRule="exact"/>
        <w:rPr>
          <w:rFonts w:ascii="Arial" w:cs="Arial" w:eastAsia="Arial" w:hAnsi="Arial"/>
          <w:sz w:val="22"/>
          <w:szCs w:val="22"/>
          <w:color w:val="auto"/>
        </w:rPr>
      </w:pPr>
    </w:p>
    <w:p>
      <w:pPr>
        <w:ind w:firstLine="1505"/>
        <w:spacing w:after="0" w:line="282" w:lineRule="auto"/>
        <w:tabs>
          <w:tab w:leader="none" w:pos="192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 Documents</w:t>
      </w:r>
      <w:r>
        <w:rPr>
          <w:rFonts w:ascii="Arial" w:cs="Arial" w:eastAsia="Arial" w:hAnsi="Arial"/>
          <w:sz w:val="22"/>
          <w:szCs w:val="22"/>
          <w:color w:val="auto"/>
        </w:rPr>
        <w:t>” means each of the documents attached as an exhibit hereto and all other agreements and documents entered into in connection with the Reorganization Transactions.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8" w:name="page159"/>
    <w:bookmarkEnd w:id="158"/>
    <w:p>
      <w:pPr>
        <w:ind w:left="760"/>
        <w:spacing w:after="0"/>
        <w:tabs>
          <w:tab w:leader="none" w:pos="2040" w:val="left"/>
          <w:tab w:leader="none" w:pos="6580" w:val="left"/>
        </w:tabs>
        <w:rPr>
          <w:sz w:val="20"/>
          <w:szCs w:val="20"/>
          <w:color w:val="auto"/>
        </w:rPr>
      </w:pPr>
      <w:r>
        <w:rPr>
          <w:rFonts w:ascii="Arial" w:cs="Arial" w:eastAsia="Arial" w:hAnsi="Arial"/>
          <w:sz w:val="22"/>
          <w:szCs w:val="22"/>
          <w:b w:val="1"/>
          <w:bCs w:val="1"/>
          <w:color w:val="auto"/>
        </w:rPr>
        <w:t>Section 1.2</w:t>
        <w:tab/>
        <w:t xml:space="preserve">Terms Defined Elsewhere in this Agreement </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Other capitalized terms used in this Agreement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360" w:type="dxa"/>
            <w:vAlign w:val="bottom"/>
          </w:tcPr>
          <w:p>
            <w:pPr>
              <w:spacing w:after="0"/>
              <w:rPr>
                <w:sz w:val="20"/>
                <w:szCs w:val="20"/>
                <w:color w:val="auto"/>
              </w:rPr>
            </w:pPr>
            <w:r>
              <w:rPr>
                <w:rFonts w:ascii="Arial" w:cs="Arial" w:eastAsia="Arial" w:hAnsi="Arial"/>
                <w:sz w:val="22"/>
                <w:szCs w:val="22"/>
                <w:color w:val="auto"/>
              </w:rPr>
              <w:t>defined elsewhere in this Agreement, as specified below:</w:t>
            </w:r>
          </w:p>
        </w:tc>
        <w:tc>
          <w:tcPr>
            <w:tcW w:w="3860" w:type="dxa"/>
            <w:vAlign w:val="bottom"/>
          </w:tcPr>
          <w:p>
            <w:pPr>
              <w:spacing w:after="0"/>
              <w:rPr>
                <w:sz w:val="23"/>
                <w:szCs w:val="23"/>
                <w:color w:val="auto"/>
              </w:rPr>
            </w:pPr>
          </w:p>
        </w:tc>
      </w:tr>
      <w:tr>
        <w:trPr>
          <w:trHeight w:val="549"/>
        </w:trPr>
        <w:tc>
          <w:tcPr>
            <w:tcW w:w="7360" w:type="dxa"/>
            <w:vAlign w:val="bottom"/>
          </w:tcPr>
          <w:p>
            <w:pPr>
              <w:ind w:left="20"/>
              <w:spacing w:after="0"/>
              <w:rPr>
                <w:sz w:val="20"/>
                <w:szCs w:val="20"/>
                <w:color w:val="auto"/>
              </w:rPr>
            </w:pPr>
            <w:r>
              <w:rPr>
                <w:rFonts w:ascii="Arial" w:cs="Arial" w:eastAsia="Arial" w:hAnsi="Arial"/>
                <w:sz w:val="22"/>
                <w:szCs w:val="22"/>
                <w:color w:val="auto"/>
              </w:rPr>
              <w:t>Amended and Restated Certificate of Incorporation</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2.1(a)(i)</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Code</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4.13(b)</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Definitive Merger Sub 1</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1.1(i)</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Definitive Merger Sub 2</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1.1(i)</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Definitive Merger Sub 3</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1.1(i)</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Definitive Merger Sub 4</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1.1(i)</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Reorganization Transaction(s)</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2.1</w:t>
            </w:r>
          </w:p>
        </w:tc>
      </w:tr>
      <w:tr>
        <w:trPr>
          <w:trHeight w:val="297"/>
        </w:trPr>
        <w:tc>
          <w:tcPr>
            <w:tcW w:w="7360" w:type="dxa"/>
            <w:vAlign w:val="bottom"/>
          </w:tcPr>
          <w:p>
            <w:pPr>
              <w:ind w:left="20"/>
              <w:spacing w:after="0"/>
              <w:rPr>
                <w:sz w:val="20"/>
                <w:szCs w:val="20"/>
                <w:color w:val="auto"/>
              </w:rPr>
            </w:pPr>
            <w:r>
              <w:rPr>
                <w:rFonts w:ascii="Arial" w:cs="Arial" w:eastAsia="Arial" w:hAnsi="Arial"/>
                <w:sz w:val="22"/>
                <w:szCs w:val="22"/>
                <w:color w:val="auto"/>
              </w:rPr>
              <w:t>Second Amended and Restated LLC Agreement</w:t>
            </w:r>
          </w:p>
        </w:tc>
        <w:tc>
          <w:tcPr>
            <w:tcW w:w="3860" w:type="dxa"/>
            <w:vAlign w:val="bottom"/>
          </w:tcPr>
          <w:p>
            <w:pPr>
              <w:jc w:val="right"/>
              <w:spacing w:after="0"/>
              <w:rPr>
                <w:sz w:val="20"/>
                <w:szCs w:val="20"/>
                <w:color w:val="auto"/>
              </w:rPr>
            </w:pPr>
            <w:r>
              <w:rPr>
                <w:rFonts w:ascii="Arial" w:cs="Arial" w:eastAsia="Arial" w:hAnsi="Arial"/>
                <w:sz w:val="22"/>
                <w:szCs w:val="22"/>
                <w:color w:val="auto"/>
              </w:rPr>
              <w:t>Section 2.1(b)(i)</w:t>
            </w:r>
          </w:p>
        </w:tc>
      </w:tr>
    </w:tbl>
    <w:p>
      <w:pPr>
        <w:spacing w:after="0" w:line="27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9"/>
          <w:szCs w:val="19"/>
          <w:b w:val="1"/>
          <w:bCs w:val="1"/>
          <w:color w:val="auto"/>
        </w:rPr>
        <w:t>Section 1.3 Other Definitional and Interpretative Provisions</w:t>
      </w:r>
      <w:r>
        <w:rPr>
          <w:rFonts w:ascii="Arial" w:cs="Arial" w:eastAsia="Arial" w:hAnsi="Arial"/>
          <w:sz w:val="19"/>
          <w:szCs w:val="19"/>
          <w:color w:val="auto"/>
        </w:rPr>
        <w:t>. The words “hereof,” “herein” and “hereunder” and</w:t>
      </w:r>
      <w:r>
        <w:rPr>
          <w:rFonts w:ascii="Arial" w:cs="Arial" w:eastAsia="Arial" w:hAnsi="Arial"/>
          <w:sz w:val="19"/>
          <w:szCs w:val="19"/>
          <w:b w:val="1"/>
          <w:bCs w:val="1"/>
          <w:color w:val="auto"/>
        </w:rPr>
        <w:t xml:space="preserve"> </w:t>
      </w:r>
      <w:r>
        <w:rPr>
          <w:rFonts w:ascii="Arial" w:cs="Arial" w:eastAsia="Arial" w:hAnsi="Arial"/>
          <w:sz w:val="19"/>
          <w:szCs w:val="19"/>
          <w:color w:val="auto"/>
        </w:rPr>
        <w:t>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REORGANIZATION TRANSACTIONS</w:t>
      </w:r>
    </w:p>
    <w:p>
      <w:pPr>
        <w:spacing w:after="0" w:line="223"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b w:val="1"/>
          <w:bCs w:val="1"/>
          <w:color w:val="auto"/>
        </w:rPr>
        <w:t xml:space="preserve">Section 2.1 Reorganization Transactions. </w:t>
      </w:r>
      <w:r>
        <w:rPr>
          <w:rFonts w:ascii="Arial" w:cs="Arial" w:eastAsia="Arial" w:hAnsi="Arial"/>
          <w:sz w:val="22"/>
          <w:szCs w:val="22"/>
          <w:color w:val="auto"/>
        </w:rPr>
        <w:t>Subject to the terms and conditions hereinafter set forth, and on the basis</w:t>
      </w:r>
      <w:r>
        <w:rPr>
          <w:rFonts w:ascii="Arial" w:cs="Arial" w:eastAsia="Arial" w:hAnsi="Arial"/>
          <w:sz w:val="22"/>
          <w:szCs w:val="22"/>
          <w:b w:val="1"/>
          <w:bCs w:val="1"/>
          <w:color w:val="auto"/>
        </w:rPr>
        <w:t xml:space="preserve"> </w:t>
      </w:r>
      <w:r>
        <w:rPr>
          <w:rFonts w:ascii="Arial" w:cs="Arial" w:eastAsia="Arial" w:hAnsi="Arial"/>
          <w:sz w:val="22"/>
          <w:szCs w:val="22"/>
          <w:color w:val="auto"/>
        </w:rPr>
        <w:t>of and in reliance upon the representations, warranties, covenants and agreements set forth herein, the parties hereto shall take the actions described in this Section 2.1, or cause such actions to take place (each, a “</w:t>
      </w:r>
      <w:r>
        <w:rPr>
          <w:rFonts w:ascii="Arial" w:cs="Arial" w:eastAsia="Arial" w:hAnsi="Arial"/>
          <w:sz w:val="22"/>
          <w:szCs w:val="22"/>
          <w:b w:val="1"/>
          <w:bCs w:val="1"/>
          <w:color w:val="auto"/>
        </w:rPr>
        <w:t>Reorganization Transaction</w:t>
      </w:r>
      <w:r>
        <w:rPr>
          <w:rFonts w:ascii="Arial" w:cs="Arial" w:eastAsia="Arial" w:hAnsi="Arial"/>
          <w:sz w:val="22"/>
          <w:szCs w:val="22"/>
          <w:color w:val="auto"/>
        </w:rPr>
        <w:t>” and, collectively, the “</w:t>
      </w:r>
      <w:r>
        <w:rPr>
          <w:rFonts w:ascii="Arial" w:cs="Arial" w:eastAsia="Arial" w:hAnsi="Arial"/>
          <w:sz w:val="22"/>
          <w:szCs w:val="22"/>
          <w:b w:val="1"/>
          <w:bCs w:val="1"/>
          <w:color w:val="auto"/>
        </w:rPr>
        <w:t>Reorganization Transactions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-217170</wp:posOffset>
            </wp:positionV>
            <wp:extent cx="6515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9"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On the date hereof, the applicable parties shall take the actions set forth below (or cause such actions 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take place):</w:t>
      </w:r>
    </w:p>
    <w:p>
      <w:pPr>
        <w:spacing w:after="0" w:line="229" w:lineRule="exact"/>
        <w:rPr>
          <w:sz w:val="20"/>
          <w:szCs w:val="20"/>
          <w:color w:val="auto"/>
        </w:rPr>
      </w:pPr>
    </w:p>
    <w:p>
      <w:pPr>
        <w:ind w:left="760" w:firstLine="1494"/>
        <w:spacing w:after="0" w:line="276" w:lineRule="auto"/>
        <w:tabs>
          <w:tab w:leader="none" w:pos="254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Pubco shall adopt and file with the Secretary of State of the State of Delaware an Amended and Restated Certificate of Incorporation of Pubco, in substantially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9" w:name="page160"/>
    <w:bookmarkEnd w:id="159"/>
    <w:p>
      <w:pPr>
        <w:ind w:left="760" w:right="20"/>
        <w:spacing w:after="0" w:line="282" w:lineRule="auto"/>
        <w:rPr>
          <w:sz w:val="20"/>
          <w:szCs w:val="20"/>
          <w:color w:val="auto"/>
        </w:rPr>
      </w:pPr>
      <w:r>
        <w:rPr>
          <w:rFonts w:ascii="Arial" w:cs="Arial" w:eastAsia="Arial" w:hAnsi="Arial"/>
          <w:sz w:val="22"/>
          <w:szCs w:val="22"/>
          <w:color w:val="auto"/>
        </w:rPr>
        <w:t xml:space="preserve">the form attached hereto as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Amended and Restated Certificate of Incorporation</w:t>
      </w:r>
      <w:r>
        <w:rPr>
          <w:rFonts w:ascii="Arial" w:cs="Arial" w:eastAsia="Arial" w:hAnsi="Arial"/>
          <w:sz w:val="22"/>
          <w:szCs w:val="22"/>
          <w:color w:val="auto"/>
        </w:rPr>
        <w:t>”), with such changes or modifications as approved by the Board.</w:t>
      </w:r>
    </w:p>
    <w:p>
      <w:pPr>
        <w:spacing w:after="0" w:line="168" w:lineRule="exact"/>
        <w:rPr>
          <w:sz w:val="20"/>
          <w:szCs w:val="20"/>
          <w:color w:val="auto"/>
        </w:rPr>
      </w:pPr>
    </w:p>
    <w:p>
      <w:pPr>
        <w:ind w:left="760" w:right="40" w:firstLine="1494"/>
        <w:spacing w:after="0" w:line="276" w:lineRule="auto"/>
        <w:tabs>
          <w:tab w:leader="none" w:pos="2689"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Pubco shall adopt Amended and Restated Bylaws of Pubco in substantially the form attached hereto as </w:t>
      </w:r>
      <w:r>
        <w:rPr>
          <w:rFonts w:ascii="Arial" w:cs="Arial" w:eastAsia="Arial" w:hAnsi="Arial"/>
          <w:sz w:val="22"/>
          <w:szCs w:val="22"/>
          <w:b w:val="1"/>
          <w:bCs w:val="1"/>
          <w:color w:val="auto"/>
        </w:rPr>
        <w:t>Exhibit C</w:t>
      </w:r>
      <w:r>
        <w:rPr>
          <w:rFonts w:ascii="Arial" w:cs="Arial" w:eastAsia="Arial" w:hAnsi="Arial"/>
          <w:sz w:val="22"/>
          <w:szCs w:val="22"/>
          <w:color w:val="auto"/>
        </w:rPr>
        <w:t>, with such changes or modifications as approved by the Board.</w:t>
      </w:r>
    </w:p>
    <w:p>
      <w:pPr>
        <w:spacing w:after="0" w:line="174" w:lineRule="exact"/>
        <w:rPr>
          <w:rFonts w:ascii="Arial" w:cs="Arial" w:eastAsia="Arial" w:hAnsi="Arial"/>
          <w:sz w:val="22"/>
          <w:szCs w:val="22"/>
          <w:color w:val="auto"/>
        </w:rPr>
      </w:pPr>
    </w:p>
    <w:p>
      <w:pPr>
        <w:ind w:right="20" w:firstLine="1505"/>
        <w:spacing w:after="0" w:line="276" w:lineRule="auto"/>
        <w:tabs>
          <w:tab w:leader="none" w:pos="192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On the date hereof, the applicable parties shall take the actions set forth below (or cause such actions to take place), which shall, in each case, be effective in the following order (except as set forth below):</w:t>
      </w:r>
    </w:p>
    <w:p>
      <w:pPr>
        <w:spacing w:after="0" w:line="168" w:lineRule="exact"/>
        <w:rPr>
          <w:rFonts w:ascii="Arial" w:cs="Arial" w:eastAsia="Arial" w:hAnsi="Arial"/>
          <w:sz w:val="22"/>
          <w:szCs w:val="22"/>
          <w:color w:val="auto"/>
        </w:rPr>
      </w:pPr>
    </w:p>
    <w:p>
      <w:pPr>
        <w:jc w:val="both"/>
        <w:ind w:left="760" w:firstLine="1494"/>
        <w:spacing w:after="0" w:line="261" w:lineRule="auto"/>
        <w:tabs>
          <w:tab w:leader="none" w:pos="2529" w:val="left"/>
        </w:tabs>
        <w:numPr>
          <w:ilvl w:val="1"/>
          <w:numId w:val="141"/>
        </w:numPr>
        <w:rPr>
          <w:rFonts w:ascii="Arial" w:cs="Arial" w:eastAsia="Arial" w:hAnsi="Arial"/>
          <w:sz w:val="22"/>
          <w:szCs w:val="22"/>
          <w:color w:val="auto"/>
        </w:rPr>
      </w:pPr>
      <w:r>
        <w:rPr>
          <w:rFonts w:ascii="Arial" w:cs="Arial" w:eastAsia="Arial" w:hAnsi="Arial"/>
          <w:sz w:val="22"/>
          <w:szCs w:val="22"/>
          <w:b w:val="1"/>
          <w:bCs w:val="1"/>
          <w:color w:val="auto"/>
        </w:rPr>
        <w:t>Company LLC Agreement</w:t>
      </w:r>
      <w:r>
        <w:rPr>
          <w:rFonts w:ascii="Arial" w:cs="Arial" w:eastAsia="Arial" w:hAnsi="Arial"/>
          <w:sz w:val="22"/>
          <w:szCs w:val="22"/>
          <w:color w:val="auto"/>
        </w:rPr>
        <w:t>. The Company, Pubco and the requisite Pre-IPO Equityholders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 and restate the Prior LLC Agreement in substantially the form attached hereto as </w:t>
      </w:r>
      <w:r>
        <w:rPr>
          <w:rFonts w:ascii="Arial" w:cs="Arial" w:eastAsia="Arial" w:hAnsi="Arial"/>
          <w:sz w:val="22"/>
          <w:szCs w:val="22"/>
          <w:b w:val="1"/>
          <w:bCs w:val="1"/>
          <w:color w:val="auto"/>
        </w:rPr>
        <w:t>Exhibit D</w:t>
      </w:r>
      <w:r>
        <w:rPr>
          <w:rFonts w:ascii="Arial" w:cs="Arial" w:eastAsia="Arial" w:hAnsi="Arial"/>
          <w:sz w:val="22"/>
          <w:szCs w:val="22"/>
          <w:color w:val="auto"/>
        </w:rPr>
        <w:t xml:space="preserve"> (the “</w:t>
      </w:r>
      <w:r>
        <w:rPr>
          <w:rFonts w:ascii="Arial" w:cs="Arial" w:eastAsia="Arial" w:hAnsi="Arial"/>
          <w:sz w:val="22"/>
          <w:szCs w:val="22"/>
          <w:b w:val="1"/>
          <w:bCs w:val="1"/>
          <w:color w:val="auto"/>
        </w:rPr>
        <w:t>Second</w:t>
      </w:r>
      <w:r>
        <w:rPr>
          <w:rFonts w:ascii="Arial" w:cs="Arial" w:eastAsia="Arial" w:hAnsi="Arial"/>
          <w:sz w:val="22"/>
          <w:szCs w:val="22"/>
          <w:color w:val="auto"/>
        </w:rPr>
        <w:t xml:space="preserve"> </w:t>
      </w:r>
      <w:r>
        <w:rPr>
          <w:rFonts w:ascii="Arial" w:cs="Arial" w:eastAsia="Arial" w:hAnsi="Arial"/>
          <w:sz w:val="22"/>
          <w:szCs w:val="22"/>
          <w:b w:val="1"/>
          <w:bCs w:val="1"/>
          <w:color w:val="auto"/>
        </w:rPr>
        <w:t>Amended and Restated LLC Agreement</w:t>
      </w:r>
      <w:r>
        <w:rPr>
          <w:rFonts w:ascii="Arial" w:cs="Arial" w:eastAsia="Arial" w:hAnsi="Arial"/>
          <w:sz w:val="22"/>
          <w:szCs w:val="22"/>
          <w:color w:val="auto"/>
        </w:rPr>
        <w:t>”), with such changes or modifications as approved by the Board,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Pubco will be admitted as the managing member of the Company and all of the equity interests of the Company immediately prior to the execution of the Second Amended and Restated LLC Agreement will be exchanged for LLC Units.</w:t>
      </w:r>
    </w:p>
    <w:p>
      <w:pPr>
        <w:spacing w:after="0" w:line="185" w:lineRule="exact"/>
        <w:rPr>
          <w:sz w:val="20"/>
          <w:szCs w:val="20"/>
          <w:color w:val="auto"/>
        </w:rPr>
      </w:pPr>
    </w:p>
    <w:p>
      <w:pPr>
        <w:jc w:val="both"/>
        <w:ind w:left="760" w:firstLine="1494"/>
        <w:spacing w:after="0" w:line="313" w:lineRule="auto"/>
        <w:tabs>
          <w:tab w:leader="none" w:pos="2716" w:val="left"/>
        </w:tabs>
        <w:numPr>
          <w:ilvl w:val="0"/>
          <w:numId w:val="142"/>
        </w:numPr>
        <w:rPr>
          <w:rFonts w:ascii="Arial" w:cs="Arial" w:eastAsia="Arial" w:hAnsi="Arial"/>
          <w:sz w:val="19"/>
          <w:szCs w:val="19"/>
          <w:color w:val="auto"/>
        </w:rPr>
      </w:pPr>
      <w:r>
        <w:rPr>
          <w:rFonts w:ascii="Arial" w:cs="Arial" w:eastAsia="Arial" w:hAnsi="Arial"/>
          <w:sz w:val="19"/>
          <w:szCs w:val="19"/>
          <w:b w:val="1"/>
          <w:bCs w:val="1"/>
          <w:color w:val="auto"/>
        </w:rPr>
        <w:t>Management Holdings LLC Agreement</w:t>
      </w:r>
      <w:r>
        <w:rPr>
          <w:rFonts w:ascii="Arial" w:cs="Arial" w:eastAsia="Arial" w:hAnsi="Arial"/>
          <w:sz w:val="19"/>
          <w:szCs w:val="19"/>
          <w:color w:val="auto"/>
        </w:rPr>
        <w:t>. Management Holdings shall amend and restate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Amended &amp; Restated Limited Liability Company Agreement, dated as of July 16, 2019, of Management Holdings LLC, in substantially the form attached hereto as </w:t>
      </w:r>
      <w:r>
        <w:rPr>
          <w:rFonts w:ascii="Arial" w:cs="Arial" w:eastAsia="Arial" w:hAnsi="Arial"/>
          <w:sz w:val="19"/>
          <w:szCs w:val="19"/>
          <w:b w:val="1"/>
          <w:bCs w:val="1"/>
          <w:color w:val="auto"/>
        </w:rPr>
        <w:t>Exhibit E</w:t>
      </w:r>
      <w:r>
        <w:rPr>
          <w:rFonts w:ascii="Arial" w:cs="Arial" w:eastAsia="Arial" w:hAnsi="Arial"/>
          <w:sz w:val="19"/>
          <w:szCs w:val="19"/>
          <w:color w:val="auto"/>
        </w:rPr>
        <w:t>, pursuant to which Pubco will be admitted as the managing member of the Management Holdings and all of the equity interests of Management Holdings immediately prior to such amendment and restatement will be exchanged for new LLC Units of Management Holdings.</w:t>
      </w:r>
    </w:p>
    <w:p>
      <w:pPr>
        <w:spacing w:after="0" w:line="141" w:lineRule="exact"/>
        <w:rPr>
          <w:rFonts w:ascii="Arial" w:cs="Arial" w:eastAsia="Arial" w:hAnsi="Arial"/>
          <w:sz w:val="19"/>
          <w:szCs w:val="19"/>
          <w:color w:val="auto"/>
        </w:rPr>
      </w:pPr>
    </w:p>
    <w:p>
      <w:pPr>
        <w:jc w:val="both"/>
        <w:ind w:left="760" w:firstLine="1494"/>
        <w:spacing w:after="0" w:line="264" w:lineRule="auto"/>
        <w:tabs>
          <w:tab w:leader="none" w:pos="2689"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Spectrum Distribution Agreement</w:t>
      </w:r>
      <w:r>
        <w:rPr>
          <w:rFonts w:ascii="Arial" w:cs="Arial" w:eastAsia="Arial" w:hAnsi="Arial"/>
          <w:sz w:val="22"/>
          <w:szCs w:val="22"/>
          <w:color w:val="auto"/>
        </w:rPr>
        <w:t>. Spectrum Partnership and Spectrum Blocker shall enter into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Distribution Agreement in substantially the form attached hereto as </w:t>
      </w:r>
      <w:r>
        <w:rPr>
          <w:rFonts w:ascii="Arial" w:cs="Arial" w:eastAsia="Arial" w:hAnsi="Arial"/>
          <w:sz w:val="22"/>
          <w:szCs w:val="22"/>
          <w:b w:val="1"/>
          <w:bCs w:val="1"/>
          <w:color w:val="auto"/>
        </w:rPr>
        <w:t>Exhibit F</w:t>
      </w:r>
      <w:r>
        <w:rPr>
          <w:rFonts w:ascii="Arial" w:cs="Arial" w:eastAsia="Arial" w:hAnsi="Arial"/>
          <w:sz w:val="22"/>
          <w:szCs w:val="22"/>
          <w:color w:val="auto"/>
        </w:rPr>
        <w:t>, pursuant to which Spectrum Partnership shall distribute LLC Units to Spectrum Blocker in partial redemption of Spectrum Blocker’s interest in Spectrum Partnership.</w:t>
      </w:r>
    </w:p>
    <w:p>
      <w:pPr>
        <w:spacing w:after="0" w:line="182" w:lineRule="exact"/>
        <w:rPr>
          <w:rFonts w:ascii="Arial" w:cs="Arial" w:eastAsia="Arial" w:hAnsi="Arial"/>
          <w:sz w:val="22"/>
          <w:szCs w:val="22"/>
          <w:color w:val="auto"/>
        </w:rPr>
      </w:pPr>
    </w:p>
    <w:p>
      <w:pPr>
        <w:jc w:val="both"/>
        <w:ind w:left="760" w:firstLine="1494"/>
        <w:spacing w:after="0" w:line="261" w:lineRule="auto"/>
        <w:tabs>
          <w:tab w:leader="none" w:pos="2757"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22C Distribution and Contribution Agreement</w:t>
      </w:r>
      <w:r>
        <w:rPr>
          <w:rFonts w:ascii="Arial" w:cs="Arial" w:eastAsia="Arial" w:hAnsi="Arial"/>
          <w:sz w:val="22"/>
          <w:szCs w:val="22"/>
          <w:color w:val="auto"/>
        </w:rPr>
        <w:t>. 22C Aggregator, 22C Capital I, 22C</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Partnership and 22C Blocker shall enter into a Distribution and Contribution Agreement in substantially the form attached hereto as </w:t>
      </w:r>
      <w:r>
        <w:rPr>
          <w:rFonts w:ascii="Arial" w:cs="Arial" w:eastAsia="Arial" w:hAnsi="Arial"/>
          <w:sz w:val="22"/>
          <w:szCs w:val="22"/>
          <w:b w:val="1"/>
          <w:bCs w:val="1"/>
          <w:color w:val="auto"/>
        </w:rPr>
        <w:t>Exhibit G</w:t>
      </w:r>
      <w:r>
        <w:rPr>
          <w:rFonts w:ascii="Arial" w:cs="Arial" w:eastAsia="Arial" w:hAnsi="Arial"/>
          <w:sz w:val="22"/>
          <w:szCs w:val="22"/>
          <w:color w:val="auto"/>
        </w:rPr>
        <w:t>, pursuant to which (i) 22C Aggregator shall distribute LLC Units to 22C Capital I and 22C Partnership in complete liquidation of 22C Aggregator, (ii) 22C Partnership shall distribute the LLC Units it receives from 22C Aggregator to 22C Blocker and 22C GP in complete liquidation of 22C Partnership and (iii) 22C GP shall contribute the LLC Units it receives from 22C Partnership to 22C Newco.</w:t>
      </w:r>
    </w:p>
    <w:p>
      <w:pPr>
        <w:spacing w:after="0" w:line="185" w:lineRule="exact"/>
        <w:rPr>
          <w:rFonts w:ascii="Arial" w:cs="Arial" w:eastAsia="Arial" w:hAnsi="Arial"/>
          <w:sz w:val="22"/>
          <w:szCs w:val="22"/>
          <w:color w:val="auto"/>
        </w:rPr>
      </w:pPr>
    </w:p>
    <w:p>
      <w:pPr>
        <w:jc w:val="both"/>
        <w:ind w:left="760" w:firstLine="1494"/>
        <w:spacing w:after="0" w:line="264" w:lineRule="auto"/>
        <w:tabs>
          <w:tab w:leader="none" w:pos="2590"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Management Holdings Distribution Agreement</w:t>
      </w:r>
      <w:r>
        <w:rPr>
          <w:rFonts w:ascii="Arial" w:cs="Arial" w:eastAsia="Arial" w:hAnsi="Arial"/>
          <w:sz w:val="22"/>
          <w:szCs w:val="22"/>
          <w:color w:val="auto"/>
        </w:rPr>
        <w:t>. Management Holdings and Monocl Blocker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enter into a Distribution Agreement in substantially the form attached hereto as </w:t>
      </w:r>
      <w:r>
        <w:rPr>
          <w:rFonts w:ascii="Arial" w:cs="Arial" w:eastAsia="Arial" w:hAnsi="Arial"/>
          <w:sz w:val="22"/>
          <w:szCs w:val="22"/>
          <w:b w:val="1"/>
          <w:bCs w:val="1"/>
          <w:color w:val="auto"/>
        </w:rPr>
        <w:t>Exhibit H</w:t>
      </w:r>
      <w:r>
        <w:rPr>
          <w:rFonts w:ascii="Arial" w:cs="Arial" w:eastAsia="Arial" w:hAnsi="Arial"/>
          <w:sz w:val="22"/>
          <w:szCs w:val="22"/>
          <w:color w:val="auto"/>
        </w:rPr>
        <w:t>, pursuant to which Management Holdings shall distribute LLC Units to Monocl Blocker in complete redemption of Monocl Blocker’s interest in Management Holdings.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0" w:name="page161"/>
    <w:bookmarkEnd w:id="160"/>
    <w:p>
      <w:pPr>
        <w:jc w:val="both"/>
        <w:ind w:left="760" w:firstLine="1494"/>
        <w:spacing w:after="0" w:line="269" w:lineRule="auto"/>
        <w:tabs>
          <w:tab w:leader="none" w:pos="2689" w:val="left"/>
        </w:tabs>
        <w:numPr>
          <w:ilvl w:val="1"/>
          <w:numId w:val="143"/>
        </w:numPr>
        <w:rPr>
          <w:rFonts w:ascii="Arial" w:cs="Arial" w:eastAsia="Arial" w:hAnsi="Arial"/>
          <w:sz w:val="22"/>
          <w:szCs w:val="22"/>
          <w:color w:val="auto"/>
        </w:rPr>
      </w:pPr>
      <w:r>
        <w:rPr>
          <w:rFonts w:ascii="Arial" w:cs="Arial" w:eastAsia="Arial" w:hAnsi="Arial"/>
          <w:sz w:val="22"/>
          <w:szCs w:val="22"/>
          <w:b w:val="1"/>
          <w:bCs w:val="1"/>
          <w:color w:val="auto"/>
        </w:rPr>
        <w:t>Spectrum Mergers</w:t>
      </w:r>
      <w:r>
        <w:rPr>
          <w:rFonts w:ascii="Arial" w:cs="Arial" w:eastAsia="Arial" w:hAnsi="Arial"/>
          <w:sz w:val="22"/>
          <w:szCs w:val="22"/>
          <w:color w:val="auto"/>
        </w:rPr>
        <w:t>. Pursuant to the Merger Agreement, Definitive Merger Sub 1 shall merge with</w:t>
      </w:r>
      <w:r>
        <w:rPr>
          <w:rFonts w:ascii="Arial" w:cs="Arial" w:eastAsia="Arial" w:hAnsi="Arial"/>
          <w:sz w:val="22"/>
          <w:szCs w:val="22"/>
          <w:b w:val="1"/>
          <w:bCs w:val="1"/>
          <w:color w:val="auto"/>
        </w:rPr>
        <w:t xml:space="preserve"> </w:t>
      </w:r>
      <w:r>
        <w:rPr>
          <w:rFonts w:ascii="Arial" w:cs="Arial" w:eastAsia="Arial" w:hAnsi="Arial"/>
          <w:sz w:val="22"/>
          <w:szCs w:val="22"/>
          <w:color w:val="auto"/>
        </w:rPr>
        <w:t>and into Spectrum Blocker, with Spectrum Blocker surviving as a wholly owned subsidiary of Pubco, and Spectrum Blocker shall merge with and into Pubco, with Pubco surviving.</w:t>
      </w:r>
    </w:p>
    <w:p>
      <w:pPr>
        <w:spacing w:after="0" w:line="175" w:lineRule="exact"/>
        <w:rPr>
          <w:rFonts w:ascii="Arial" w:cs="Arial" w:eastAsia="Arial" w:hAnsi="Arial"/>
          <w:sz w:val="22"/>
          <w:szCs w:val="22"/>
          <w:color w:val="auto"/>
        </w:rPr>
      </w:pPr>
    </w:p>
    <w:p>
      <w:pPr>
        <w:jc w:val="both"/>
        <w:ind w:left="760" w:firstLine="1494"/>
        <w:spacing w:after="0" w:line="269" w:lineRule="auto"/>
        <w:tabs>
          <w:tab w:leader="none" w:pos="2689" w:val="left"/>
        </w:tabs>
        <w:numPr>
          <w:ilvl w:val="1"/>
          <w:numId w:val="143"/>
        </w:numPr>
        <w:rPr>
          <w:rFonts w:ascii="Arial" w:cs="Arial" w:eastAsia="Arial" w:hAnsi="Arial"/>
          <w:sz w:val="22"/>
          <w:szCs w:val="22"/>
          <w:color w:val="auto"/>
        </w:rPr>
      </w:pPr>
      <w:r>
        <w:rPr>
          <w:rFonts w:ascii="Arial" w:cs="Arial" w:eastAsia="Arial" w:hAnsi="Arial"/>
          <w:sz w:val="22"/>
          <w:szCs w:val="22"/>
          <w:b w:val="1"/>
          <w:bCs w:val="1"/>
          <w:color w:val="auto"/>
        </w:rPr>
        <w:t>Advent Mergers</w:t>
      </w:r>
      <w:r>
        <w:rPr>
          <w:rFonts w:ascii="Arial" w:cs="Arial" w:eastAsia="Arial" w:hAnsi="Arial"/>
          <w:sz w:val="22"/>
          <w:szCs w:val="22"/>
          <w:color w:val="auto"/>
        </w:rPr>
        <w:t>. Pursuant to the Merger Agreement, Definitive Merger Sub 2 shall merge with</w:t>
      </w:r>
      <w:r>
        <w:rPr>
          <w:rFonts w:ascii="Arial" w:cs="Arial" w:eastAsia="Arial" w:hAnsi="Arial"/>
          <w:sz w:val="22"/>
          <w:szCs w:val="22"/>
          <w:b w:val="1"/>
          <w:bCs w:val="1"/>
          <w:color w:val="auto"/>
        </w:rPr>
        <w:t xml:space="preserve"> </w:t>
      </w:r>
      <w:r>
        <w:rPr>
          <w:rFonts w:ascii="Arial" w:cs="Arial" w:eastAsia="Arial" w:hAnsi="Arial"/>
          <w:sz w:val="22"/>
          <w:szCs w:val="22"/>
          <w:color w:val="auto"/>
        </w:rPr>
        <w:t>and into Advent Blocker, with Advent Blocker surviving as a wholly owned subsidiary of Pubco, and Advent Blocker shall merge with and into Pubco, with Pubco surviving.</w:t>
      </w:r>
    </w:p>
    <w:p>
      <w:pPr>
        <w:spacing w:after="0" w:line="175" w:lineRule="exact"/>
        <w:rPr>
          <w:rFonts w:ascii="Arial" w:cs="Arial" w:eastAsia="Arial" w:hAnsi="Arial"/>
          <w:sz w:val="22"/>
          <w:szCs w:val="22"/>
          <w:color w:val="auto"/>
        </w:rPr>
      </w:pPr>
    </w:p>
    <w:p>
      <w:pPr>
        <w:jc w:val="both"/>
        <w:ind w:left="760" w:firstLine="1494"/>
        <w:spacing w:after="0" w:line="269" w:lineRule="auto"/>
        <w:tabs>
          <w:tab w:leader="none" w:pos="3121" w:val="left"/>
        </w:tabs>
        <w:numPr>
          <w:ilvl w:val="1"/>
          <w:numId w:val="143"/>
        </w:numPr>
        <w:rPr>
          <w:rFonts w:ascii="Arial" w:cs="Arial" w:eastAsia="Arial" w:hAnsi="Arial"/>
          <w:sz w:val="22"/>
          <w:szCs w:val="22"/>
          <w:color w:val="auto"/>
        </w:rPr>
      </w:pPr>
      <w:r>
        <w:rPr>
          <w:rFonts w:ascii="Arial" w:cs="Arial" w:eastAsia="Arial" w:hAnsi="Arial"/>
          <w:sz w:val="22"/>
          <w:szCs w:val="22"/>
          <w:b w:val="1"/>
          <w:bCs w:val="1"/>
          <w:color w:val="auto"/>
        </w:rPr>
        <w:t>22C Mergers</w:t>
      </w:r>
      <w:r>
        <w:rPr>
          <w:rFonts w:ascii="Arial" w:cs="Arial" w:eastAsia="Arial" w:hAnsi="Arial"/>
          <w:sz w:val="22"/>
          <w:szCs w:val="22"/>
          <w:color w:val="auto"/>
        </w:rPr>
        <w:t>. Pursuant to the Merger Agreement, Definitive Merger Sub 3 shall merge with</w:t>
      </w:r>
      <w:r>
        <w:rPr>
          <w:rFonts w:ascii="Arial" w:cs="Arial" w:eastAsia="Arial" w:hAnsi="Arial"/>
          <w:sz w:val="22"/>
          <w:szCs w:val="22"/>
          <w:b w:val="1"/>
          <w:bCs w:val="1"/>
          <w:color w:val="auto"/>
        </w:rPr>
        <w:t xml:space="preserve"> </w:t>
      </w:r>
      <w:r>
        <w:rPr>
          <w:rFonts w:ascii="Arial" w:cs="Arial" w:eastAsia="Arial" w:hAnsi="Arial"/>
          <w:sz w:val="22"/>
          <w:szCs w:val="22"/>
          <w:color w:val="auto"/>
        </w:rPr>
        <w:t>and into 22C Blocker, with 22C Blocker surviving as a wholly owned subsidiary of Pubco, and 22C Blocker shall merge with and into Pubco, with Pubco surviving.</w:t>
      </w:r>
    </w:p>
    <w:p>
      <w:pPr>
        <w:spacing w:after="0" w:line="175" w:lineRule="exact"/>
        <w:rPr>
          <w:rFonts w:ascii="Arial" w:cs="Arial" w:eastAsia="Arial" w:hAnsi="Arial"/>
          <w:sz w:val="22"/>
          <w:szCs w:val="22"/>
          <w:color w:val="auto"/>
        </w:rPr>
      </w:pPr>
    </w:p>
    <w:p>
      <w:pPr>
        <w:jc w:val="both"/>
        <w:ind w:left="760" w:firstLine="1494"/>
        <w:spacing w:after="0" w:line="269" w:lineRule="auto"/>
        <w:tabs>
          <w:tab w:leader="none" w:pos="2689" w:val="left"/>
        </w:tabs>
        <w:numPr>
          <w:ilvl w:val="1"/>
          <w:numId w:val="143"/>
        </w:numPr>
        <w:rPr>
          <w:rFonts w:ascii="Arial" w:cs="Arial" w:eastAsia="Arial" w:hAnsi="Arial"/>
          <w:sz w:val="22"/>
          <w:szCs w:val="22"/>
          <w:color w:val="auto"/>
        </w:rPr>
      </w:pPr>
      <w:r>
        <w:rPr>
          <w:rFonts w:ascii="Arial" w:cs="Arial" w:eastAsia="Arial" w:hAnsi="Arial"/>
          <w:sz w:val="22"/>
          <w:szCs w:val="22"/>
          <w:b w:val="1"/>
          <w:bCs w:val="1"/>
          <w:color w:val="auto"/>
        </w:rPr>
        <w:t>Monocl Mergers</w:t>
      </w:r>
      <w:r>
        <w:rPr>
          <w:rFonts w:ascii="Arial" w:cs="Arial" w:eastAsia="Arial" w:hAnsi="Arial"/>
          <w:sz w:val="22"/>
          <w:szCs w:val="22"/>
          <w:color w:val="auto"/>
        </w:rPr>
        <w:t>. Pursuant to the Merger Agreement, Definitive Merger Sub 4 shall merge with</w:t>
      </w:r>
      <w:r>
        <w:rPr>
          <w:rFonts w:ascii="Arial" w:cs="Arial" w:eastAsia="Arial" w:hAnsi="Arial"/>
          <w:sz w:val="22"/>
          <w:szCs w:val="22"/>
          <w:b w:val="1"/>
          <w:bCs w:val="1"/>
          <w:color w:val="auto"/>
        </w:rPr>
        <w:t xml:space="preserve"> </w:t>
      </w:r>
      <w:r>
        <w:rPr>
          <w:rFonts w:ascii="Arial" w:cs="Arial" w:eastAsia="Arial" w:hAnsi="Arial"/>
          <w:sz w:val="22"/>
          <w:szCs w:val="22"/>
          <w:color w:val="auto"/>
        </w:rPr>
        <w:t>and into Monocl Blocker, with Monocl Blocker surviving as a wholly owned subsidiary of Pubco, and Monocl Blocker shall merge with and into Pubco, with Pubco surviving.</w:t>
      </w:r>
    </w:p>
    <w:p>
      <w:pPr>
        <w:spacing w:after="0" w:line="175" w:lineRule="exact"/>
        <w:rPr>
          <w:rFonts w:ascii="Arial" w:cs="Arial" w:eastAsia="Arial" w:hAnsi="Arial"/>
          <w:sz w:val="22"/>
          <w:szCs w:val="22"/>
          <w:color w:val="auto"/>
        </w:rPr>
      </w:pPr>
    </w:p>
    <w:p>
      <w:pPr>
        <w:jc w:val="both"/>
        <w:ind w:left="760" w:firstLine="1494"/>
        <w:spacing w:after="0" w:line="260" w:lineRule="auto"/>
        <w:tabs>
          <w:tab w:leader="none" w:pos="2590" w:val="left"/>
        </w:tabs>
        <w:numPr>
          <w:ilvl w:val="1"/>
          <w:numId w:val="143"/>
        </w:numPr>
        <w:rPr>
          <w:rFonts w:ascii="Arial" w:cs="Arial" w:eastAsia="Arial" w:hAnsi="Arial"/>
          <w:sz w:val="22"/>
          <w:szCs w:val="22"/>
          <w:color w:val="auto"/>
        </w:rPr>
      </w:pPr>
      <w:r>
        <w:rPr>
          <w:rFonts w:ascii="Arial" w:cs="Arial" w:eastAsia="Arial" w:hAnsi="Arial"/>
          <w:sz w:val="22"/>
          <w:szCs w:val="22"/>
          <w:b w:val="1"/>
          <w:bCs w:val="1"/>
          <w:color w:val="auto"/>
        </w:rPr>
        <w:t>Class B Share Issuances</w:t>
      </w:r>
      <w:r>
        <w:rPr>
          <w:rFonts w:ascii="Arial" w:cs="Arial" w:eastAsia="Arial" w:hAnsi="Arial"/>
          <w:sz w:val="22"/>
          <w:szCs w:val="22"/>
          <w:color w:val="auto"/>
        </w:rPr>
        <w:t>. Pubco shall issue to (A) the Continuing LLC Member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Class B Common Stock equal to the total number of LLC Units that such Continuing LLC Member owns after the exchange of the Company’s existing equity interests into LLC Units as set forth in the Second Amended and Restated LLC Agreement and (B) the members of Management Holdings, a number of shares of Class B Common Stock equal to the total number of LLC Units that Management Holdings will hold on behalf of such Management Holdings Member after the exchange of the Company’s existing equity interests into LLC Units as set forth in the Second Amended and Restated LLC Agreement.</w:t>
      </w:r>
    </w:p>
    <w:p>
      <w:pPr>
        <w:spacing w:after="0" w:line="193" w:lineRule="exact"/>
        <w:rPr>
          <w:rFonts w:ascii="Arial" w:cs="Arial" w:eastAsia="Arial" w:hAnsi="Arial"/>
          <w:sz w:val="22"/>
          <w:szCs w:val="22"/>
          <w:color w:val="auto"/>
        </w:rPr>
      </w:pPr>
    </w:p>
    <w:p>
      <w:pPr>
        <w:ind w:left="1940" w:hanging="435"/>
        <w:spacing w:after="0"/>
        <w:tabs>
          <w:tab w:leader="none" w:pos="194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Additional documentation to be entered into in connection with the Reorganization Transactions:</w:t>
      </w:r>
    </w:p>
    <w:p>
      <w:pPr>
        <w:spacing w:after="0" w:line="238" w:lineRule="exact"/>
        <w:rPr>
          <w:rFonts w:ascii="Arial" w:cs="Arial" w:eastAsia="Arial" w:hAnsi="Arial"/>
          <w:sz w:val="21"/>
          <w:szCs w:val="21"/>
          <w:color w:val="auto"/>
        </w:rPr>
      </w:pPr>
    </w:p>
    <w:p>
      <w:pPr>
        <w:jc w:val="both"/>
        <w:ind w:left="760" w:firstLine="1494"/>
        <w:spacing w:after="0" w:line="330" w:lineRule="auto"/>
        <w:tabs>
          <w:tab w:leader="none" w:pos="2515" w:val="left"/>
        </w:tabs>
        <w:numPr>
          <w:ilvl w:val="1"/>
          <w:numId w:val="144"/>
        </w:numPr>
        <w:rPr>
          <w:rFonts w:ascii="Arial" w:cs="Arial" w:eastAsia="Arial" w:hAnsi="Arial"/>
          <w:sz w:val="19"/>
          <w:szCs w:val="19"/>
          <w:color w:val="auto"/>
        </w:rPr>
      </w:pPr>
      <w:r>
        <w:rPr>
          <w:rFonts w:ascii="Arial" w:cs="Arial" w:eastAsia="Arial" w:hAnsi="Arial"/>
          <w:sz w:val="19"/>
          <w:szCs w:val="19"/>
          <w:b w:val="1"/>
          <w:bCs w:val="1"/>
          <w:color w:val="auto"/>
        </w:rPr>
        <w:t>Tax Receivable Agreement</w:t>
      </w:r>
      <w:r>
        <w:rPr>
          <w:rFonts w:ascii="Arial" w:cs="Arial" w:eastAsia="Arial" w:hAnsi="Arial"/>
          <w:sz w:val="19"/>
          <w:szCs w:val="19"/>
          <w:color w:val="auto"/>
        </w:rPr>
        <w:t>. Pubco, the Company, the Continuing LLC Members, the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Holdings Members and certain investment entities affiliated with 22C Capital LLC and Advent International Corporation shall enter into a Tax Receivable Agreement in substantially the form attached hereto as </w:t>
      </w:r>
      <w:r>
        <w:rPr>
          <w:rFonts w:ascii="Arial" w:cs="Arial" w:eastAsia="Arial" w:hAnsi="Arial"/>
          <w:sz w:val="19"/>
          <w:szCs w:val="19"/>
          <w:b w:val="1"/>
          <w:bCs w:val="1"/>
          <w:color w:val="auto"/>
        </w:rPr>
        <w:t>Exhibit I</w:t>
      </w:r>
      <w:r>
        <w:rPr>
          <w:rFonts w:ascii="Arial" w:cs="Arial" w:eastAsia="Arial" w:hAnsi="Arial"/>
          <w:sz w:val="19"/>
          <w:szCs w:val="19"/>
          <w:color w:val="auto"/>
        </w:rPr>
        <w:t>.</w:t>
      </w:r>
    </w:p>
    <w:p>
      <w:pPr>
        <w:spacing w:after="0" w:line="124" w:lineRule="exact"/>
        <w:rPr>
          <w:rFonts w:ascii="Arial" w:cs="Arial" w:eastAsia="Arial" w:hAnsi="Arial"/>
          <w:sz w:val="19"/>
          <w:szCs w:val="19"/>
          <w:color w:val="auto"/>
        </w:rPr>
      </w:pPr>
    </w:p>
    <w:p>
      <w:pPr>
        <w:jc w:val="both"/>
        <w:ind w:left="760" w:firstLine="1494"/>
        <w:spacing w:after="0" w:line="269" w:lineRule="auto"/>
        <w:tabs>
          <w:tab w:leader="none" w:pos="2689" w:val="left"/>
        </w:tabs>
        <w:numPr>
          <w:ilvl w:val="1"/>
          <w:numId w:val="144"/>
        </w:numPr>
        <w:rPr>
          <w:rFonts w:ascii="Arial" w:cs="Arial" w:eastAsia="Arial" w:hAnsi="Arial"/>
          <w:sz w:val="22"/>
          <w:szCs w:val="22"/>
          <w:color w:val="auto"/>
        </w:rPr>
      </w:pPr>
      <w:r>
        <w:rPr>
          <w:rFonts w:ascii="Arial" w:cs="Arial" w:eastAsia="Arial" w:hAnsi="Arial"/>
          <w:sz w:val="22"/>
          <w:szCs w:val="22"/>
          <w:b w:val="1"/>
          <w:bCs w:val="1"/>
          <w:color w:val="auto"/>
        </w:rPr>
        <w:t>Subscription Agreement</w:t>
      </w:r>
      <w:r>
        <w:rPr>
          <w:rFonts w:ascii="Arial" w:cs="Arial" w:eastAsia="Arial" w:hAnsi="Arial"/>
          <w:sz w:val="22"/>
          <w:szCs w:val="22"/>
          <w:color w:val="auto"/>
        </w:rPr>
        <w:t>. The Company and Pubco shall enter into a Subscription Agreement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substantially the form attached hereto as </w:t>
      </w:r>
      <w:r>
        <w:rPr>
          <w:rFonts w:ascii="Arial" w:cs="Arial" w:eastAsia="Arial" w:hAnsi="Arial"/>
          <w:sz w:val="22"/>
          <w:szCs w:val="22"/>
          <w:b w:val="1"/>
          <w:bCs w:val="1"/>
          <w:color w:val="auto"/>
        </w:rPr>
        <w:t>Exhibit J</w:t>
      </w:r>
      <w:r>
        <w:rPr>
          <w:rFonts w:ascii="Arial" w:cs="Arial" w:eastAsia="Arial" w:hAnsi="Arial"/>
          <w:sz w:val="22"/>
          <w:szCs w:val="22"/>
          <w:color w:val="auto"/>
        </w:rPr>
        <w:t>, pursuant to which Pubco will contribute the a portion of the proceeds received in the IPO to the Company in exchange for LLC Units.</w:t>
      </w:r>
    </w:p>
    <w:p>
      <w:pPr>
        <w:spacing w:after="0" w:line="175" w:lineRule="exact"/>
        <w:rPr>
          <w:rFonts w:ascii="Arial" w:cs="Arial" w:eastAsia="Arial" w:hAnsi="Arial"/>
          <w:sz w:val="22"/>
          <w:szCs w:val="22"/>
          <w:color w:val="auto"/>
        </w:rPr>
      </w:pPr>
    </w:p>
    <w:p>
      <w:pPr>
        <w:jc w:val="both"/>
        <w:ind w:left="760" w:firstLine="1494"/>
        <w:spacing w:after="0" w:line="264" w:lineRule="auto"/>
        <w:tabs>
          <w:tab w:leader="none" w:pos="2730" w:val="left"/>
        </w:tabs>
        <w:numPr>
          <w:ilvl w:val="1"/>
          <w:numId w:val="144"/>
        </w:numPr>
        <w:rPr>
          <w:rFonts w:ascii="Arial" w:cs="Arial" w:eastAsia="Arial" w:hAnsi="Arial"/>
          <w:sz w:val="22"/>
          <w:szCs w:val="22"/>
          <w:color w:val="auto"/>
        </w:rPr>
      </w:pPr>
      <w:r>
        <w:rPr>
          <w:rFonts w:ascii="Arial" w:cs="Arial" w:eastAsia="Arial" w:hAnsi="Arial"/>
          <w:sz w:val="22"/>
          <w:szCs w:val="22"/>
          <w:b w:val="1"/>
          <w:bCs w:val="1"/>
          <w:color w:val="auto"/>
        </w:rPr>
        <w:t>Other Agreements</w:t>
      </w:r>
      <w:r>
        <w:rPr>
          <w:rFonts w:ascii="Arial" w:cs="Arial" w:eastAsia="Arial" w:hAnsi="Arial"/>
          <w:sz w:val="22"/>
          <w:szCs w:val="22"/>
          <w:color w:val="auto"/>
        </w:rPr>
        <w:t>. (A) Advent International GPE IX Limited Partnership (“</w:t>
      </w:r>
      <w:r>
        <w:rPr>
          <w:rFonts w:ascii="Arial" w:cs="Arial" w:eastAsia="Arial" w:hAnsi="Arial"/>
          <w:sz w:val="22"/>
          <w:szCs w:val="22"/>
          <w:b w:val="1"/>
          <w:bCs w:val="1"/>
          <w:color w:val="auto"/>
        </w:rPr>
        <w:t>Advent</w:t>
      </w:r>
      <w:r>
        <w:rPr>
          <w:rFonts w:ascii="Arial" w:cs="Arial" w:eastAsia="Arial" w:hAnsi="Arial"/>
          <w:sz w:val="22"/>
          <w:szCs w:val="22"/>
          <w:color w:val="auto"/>
        </w:rPr>
        <w:t>”)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Pubco shall enter into a Nominating Agreement in substantially the form attached hereto as </w:t>
      </w:r>
      <w:r>
        <w:rPr>
          <w:rFonts w:ascii="Arial" w:cs="Arial" w:eastAsia="Arial" w:hAnsi="Arial"/>
          <w:sz w:val="22"/>
          <w:szCs w:val="22"/>
          <w:b w:val="1"/>
          <w:bCs w:val="1"/>
          <w:color w:val="auto"/>
        </w:rPr>
        <w:t>Exhibit K</w:t>
      </w:r>
      <w:r>
        <w:rPr>
          <w:rFonts w:ascii="Arial" w:cs="Arial" w:eastAsia="Arial" w:hAnsi="Arial"/>
          <w:sz w:val="22"/>
          <w:szCs w:val="22"/>
          <w:color w:val="auto"/>
        </w:rPr>
        <w:t xml:space="preserve">, (B) Spectrum Partnership and Pubco shall enter into a Nominating Agreement in substantially the form attached hereto as </w:t>
      </w:r>
      <w:r>
        <w:rPr>
          <w:rFonts w:ascii="Arial" w:cs="Arial" w:eastAsia="Arial" w:hAnsi="Arial"/>
          <w:sz w:val="22"/>
          <w:szCs w:val="22"/>
          <w:b w:val="1"/>
          <w:bCs w:val="1"/>
          <w:color w:val="auto"/>
        </w:rPr>
        <w:t>Exhibit L</w:t>
      </w:r>
      <w:r>
        <w:rPr>
          <w:rFonts w:ascii="Arial" w:cs="Arial" w:eastAsia="Arial" w:hAnsi="Arial"/>
          <w:sz w:val="22"/>
          <w:szCs w:val="22"/>
          <w:color w:val="auto"/>
        </w:rPr>
        <w:t xml:space="preserve"> and (C) Jason Krantz and Pubco shall enter into a Nominating Agreement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1" w:name="page162"/>
    <w:bookmarkEnd w:id="161"/>
    <w:p>
      <w:pPr>
        <w:ind w:left="760"/>
        <w:spacing w:after="0" w:line="282" w:lineRule="auto"/>
        <w:rPr>
          <w:sz w:val="20"/>
          <w:szCs w:val="20"/>
          <w:color w:val="auto"/>
        </w:rPr>
      </w:pPr>
      <w:r>
        <w:rPr>
          <w:rFonts w:ascii="Arial" w:cs="Arial" w:eastAsia="Arial" w:hAnsi="Arial"/>
          <w:sz w:val="22"/>
          <w:szCs w:val="22"/>
          <w:color w:val="auto"/>
        </w:rPr>
        <w:t xml:space="preserve">substantially the form attached hereto as </w:t>
      </w:r>
      <w:r>
        <w:rPr>
          <w:rFonts w:ascii="Arial" w:cs="Arial" w:eastAsia="Arial" w:hAnsi="Arial"/>
          <w:sz w:val="22"/>
          <w:szCs w:val="22"/>
          <w:b w:val="1"/>
          <w:bCs w:val="1"/>
          <w:color w:val="auto"/>
        </w:rPr>
        <w:t>Exhibit M</w:t>
      </w:r>
      <w:r>
        <w:rPr>
          <w:rFonts w:ascii="Arial" w:cs="Arial" w:eastAsia="Arial" w:hAnsi="Arial"/>
          <w:sz w:val="22"/>
          <w:szCs w:val="22"/>
          <w:color w:val="auto"/>
        </w:rPr>
        <w:t xml:space="preserve">. Pubco and certain stockholders of Pubco shall enter into a Registration Rights Agreement in substantially the form attached hereto as </w:t>
      </w:r>
      <w:r>
        <w:rPr>
          <w:rFonts w:ascii="Arial" w:cs="Arial" w:eastAsia="Arial" w:hAnsi="Arial"/>
          <w:sz w:val="22"/>
          <w:szCs w:val="22"/>
          <w:b w:val="1"/>
          <w:bCs w:val="1"/>
          <w:color w:val="auto"/>
        </w:rPr>
        <w:t>Exhibit N</w:t>
      </w:r>
      <w:r>
        <w:rPr>
          <w:rFonts w:ascii="Arial" w:cs="Arial" w:eastAsia="Arial" w:hAnsi="Arial"/>
          <w:sz w:val="22"/>
          <w:szCs w:val="22"/>
          <w:color w:val="auto"/>
        </w:rPr>
        <w:t>.</w:t>
      </w:r>
    </w:p>
    <w:p>
      <w:pPr>
        <w:spacing w:after="0" w:line="162"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Consent to Reorganization Transactions</w:t>
      </w:r>
      <w:r>
        <w:rPr>
          <w:rFonts w:ascii="Arial" w:cs="Arial" w:eastAsia="Arial" w:hAnsi="Arial"/>
          <w:sz w:val="19"/>
          <w:szCs w:val="19"/>
          <w:color w:val="auto"/>
        </w:rPr>
        <w:t>.</w:t>
      </w:r>
    </w:p>
    <w:p>
      <w:pPr>
        <w:spacing w:after="0" w:line="239" w:lineRule="exact"/>
        <w:rPr>
          <w:sz w:val="20"/>
          <w:szCs w:val="20"/>
          <w:color w:val="auto"/>
        </w:rPr>
      </w:pPr>
    </w:p>
    <w:p>
      <w:pPr>
        <w:jc w:val="both"/>
        <w:ind w:firstLine="1505"/>
        <w:spacing w:after="0" w:line="262" w:lineRule="auto"/>
        <w:tabs>
          <w:tab w:leader="none" w:pos="192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acknowledges, agrees and consents to all of the Reorganization Transactions. Each of the parties hereto shall take all action necessary or appropriate in order to effect, or cause to be effected, to the extent within its control, each of the Reorganization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that nothing herein requires Pubco or the Company to consummate the IPO.</w:t>
      </w:r>
    </w:p>
    <w:p>
      <w:pPr>
        <w:spacing w:after="0" w:line="191" w:lineRule="exact"/>
        <w:rPr>
          <w:rFonts w:ascii="Arial" w:cs="Arial" w:eastAsia="Arial" w:hAnsi="Arial"/>
          <w:sz w:val="22"/>
          <w:szCs w:val="22"/>
          <w:color w:val="auto"/>
        </w:rPr>
      </w:pPr>
    </w:p>
    <w:p>
      <w:pPr>
        <w:jc w:val="both"/>
        <w:ind w:firstLine="1505"/>
        <w:spacing w:after="0" w:line="279" w:lineRule="auto"/>
        <w:tabs>
          <w:tab w:leader="none" w:pos="1929" w:val="left"/>
        </w:tabs>
        <w:numPr>
          <w:ilvl w:val="0"/>
          <w:numId w:val="145"/>
        </w:numPr>
        <w:rPr>
          <w:rFonts w:ascii="Arial" w:cs="Arial" w:eastAsia="Arial" w:hAnsi="Arial"/>
          <w:sz w:val="21"/>
          <w:szCs w:val="21"/>
          <w:color w:val="auto"/>
        </w:rPr>
      </w:pPr>
      <w:r>
        <w:rPr>
          <w:rFonts w:ascii="Arial" w:cs="Arial" w:eastAsia="Arial" w:hAnsi="Arial"/>
          <w:sz w:val="21"/>
          <w:szCs w:val="21"/>
          <w:color w:val="auto"/>
        </w:rPr>
        <w:t>Each Pre-IPO Equityholder shall deliver to the Company or Pubco, as the case may be, promptly upon request (and in any event prior to the IPO Closing Date), duly executed versions of each of the Reorganization Documents to which it is a party, together with any other documents and instruments reasonably requested by either the Company or Pubco to be executed and delivered in connection with the Reorganization Transactions.</w:t>
      </w:r>
    </w:p>
    <w:p>
      <w:pPr>
        <w:spacing w:after="0" w:line="167"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No Liabilities in Event of Termination; Certain Covenants</w:t>
      </w:r>
      <w:r>
        <w:rPr>
          <w:rFonts w:ascii="Arial" w:cs="Arial" w:eastAsia="Arial" w:hAnsi="Arial"/>
          <w:sz w:val="19"/>
          <w:szCs w:val="19"/>
          <w:color w:val="auto"/>
        </w:rPr>
        <w:t>.</w:t>
      </w:r>
    </w:p>
    <w:p>
      <w:pPr>
        <w:spacing w:after="0" w:line="239" w:lineRule="exact"/>
        <w:rPr>
          <w:sz w:val="20"/>
          <w:szCs w:val="20"/>
          <w:color w:val="auto"/>
        </w:rPr>
      </w:pPr>
    </w:p>
    <w:p>
      <w:pPr>
        <w:jc w:val="both"/>
        <w:ind w:firstLine="1505"/>
        <w:spacing w:after="0" w:line="308" w:lineRule="auto"/>
        <w:tabs>
          <w:tab w:leader="none" w:pos="192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In the event that (i) the IPO is abandoned by Pubco or (ii) the IPO Closing Date does not occur by the date that is six (6) months after the date of this Agreement, then (A) this Agreement and the other Reorganization Documents shall automatically terminate and be of no further force or effect except for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(B) there shall be no liability on the part of any of the parties hereto, except termination will not relieve any party hereto from liability for any breach of this Agreement or a Reorganization Document prior to the date of such termination in which case any and all remedies available to the other parties either in law or equity shall be preserved and survive the termination of this Agreement.</w:t>
      </w:r>
    </w:p>
    <w:p>
      <w:pPr>
        <w:spacing w:after="0" w:line="153" w:lineRule="exact"/>
        <w:rPr>
          <w:rFonts w:ascii="Arial" w:cs="Arial" w:eastAsia="Arial" w:hAnsi="Arial"/>
          <w:sz w:val="19"/>
          <w:szCs w:val="19"/>
          <w:color w:val="auto"/>
        </w:rPr>
      </w:pPr>
    </w:p>
    <w:p>
      <w:pPr>
        <w:ind w:firstLine="1505"/>
        <w:spacing w:after="0" w:line="273" w:lineRule="auto"/>
        <w:tabs>
          <w:tab w:leader="none" w:pos="192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 the event that this Agreement is terminated for any reason after the consummation of any Reorganization Transaction, the parties agree, as applicable, to cooperate and work in good faith to execute and deliver such agreements and consents and amend such documents and to effect such transactions or actions as may be necessary to re-establish the rights, preferences and privileges that the parties hereto had prior to the consummation of the Reorganization Transactions, or any part thereof, including voting any and all securities owned by such party in favor of any amendment to any organizational document and in favor of any transaction or action necessary to re-establish such rights, powers and privileges and causing to be filed all necessary documents with any governmental authority necessary to reestablish such rights, preferences and privileges, in each case as reasonably directed by the Company.</w:t>
      </w:r>
    </w:p>
    <w:p>
      <w:pPr>
        <w:spacing w:after="0" w:line="178" w:lineRule="exact"/>
        <w:rPr>
          <w:rFonts w:ascii="Arial" w:cs="Arial" w:eastAsia="Arial" w:hAnsi="Arial"/>
          <w:sz w:val="21"/>
          <w:szCs w:val="21"/>
          <w:color w:val="auto"/>
        </w:rPr>
      </w:pPr>
    </w:p>
    <w:p>
      <w:pPr>
        <w:jc w:val="both"/>
        <w:ind w:firstLine="1505"/>
        <w:spacing w:after="0" w:line="276" w:lineRule="auto"/>
        <w:tabs>
          <w:tab w:leader="none" w:pos="192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For the avoidance of doubt, each party acknowledges and agrees that until the consummation of the Reorganization Transactions: (i) the Pre-IPO Equityholders shall continue to own, directly or indirectly, the units of the Company that it owns prior to the consummation of the Reorganization Transactions subject to all of the existing agreements, restrictions and obligations to which the Pre-IPO Equityholders are a party or otherwise bound, and (ii) the rights of the parties hereto under the Prior LLC Agreement and any other agreements governing capital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2" w:name="page163"/>
    <w:bookmarkEnd w:id="162"/>
    <w:p>
      <w:pPr>
        <w:spacing w:after="0" w:line="276" w:lineRule="auto"/>
        <w:rPr>
          <w:sz w:val="20"/>
          <w:szCs w:val="20"/>
          <w:color w:val="auto"/>
        </w:rPr>
      </w:pPr>
      <w:r>
        <w:rPr>
          <w:rFonts w:ascii="Arial" w:cs="Arial" w:eastAsia="Arial" w:hAnsi="Arial"/>
          <w:sz w:val="22"/>
          <w:szCs w:val="22"/>
          <w:color w:val="auto"/>
        </w:rPr>
        <w:t>stock or equity interests of the Company shall not be affected, and all such agreements shall remain in full force and effect and unmodified.</w:t>
      </w:r>
    </w:p>
    <w:p>
      <w:pPr>
        <w:spacing w:after="0" w:line="174" w:lineRule="exact"/>
        <w:rPr>
          <w:sz w:val="20"/>
          <w:szCs w:val="20"/>
          <w:color w:val="auto"/>
        </w:rPr>
      </w:pPr>
    </w:p>
    <w:p>
      <w:pPr>
        <w:jc w:val="both"/>
        <w:ind w:firstLine="1505"/>
        <w:spacing w:after="0" w:line="260" w:lineRule="auto"/>
        <w:tabs>
          <w:tab w:leader="none" w:pos="192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Each Pre-IPO Equityholder acknowledges and agrees that none of Pubco, the Company or any other party hereto shall be required to disclose the following information to such Pre-IPO Equityholder, and may redact this information from any copy of a Reorganization Document provided to such Pre-IPO Equityholder: the number of LLC Units and shares of Class B Common Stock acquired by another Pre-IPO Equityholder in the Reorganization Transactions, except for any such information that is made publicly available by Pubco or the Company, or is required to be made publicly available under applicable law, in connection with the IPO.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Each party hereto hereby represents and warrants to all of the other parties hereto as follows:</w:t>
      </w:r>
    </w:p>
    <w:p>
      <w:pPr>
        <w:spacing w:after="0" w:line="22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b w:val="1"/>
          <w:bCs w:val="1"/>
          <w:color w:val="auto"/>
        </w:rPr>
        <w:t xml:space="preserve">Section 3.1 </w:t>
      </w:r>
      <w:r>
        <w:rPr>
          <w:rFonts w:ascii="Arial" w:cs="Arial" w:eastAsia="Arial" w:hAnsi="Arial"/>
          <w:sz w:val="22"/>
          <w:szCs w:val="22"/>
          <w:color w:val="auto"/>
        </w:rPr>
        <w:t>The execution, delivery and performance by such party of this Agreement and of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Reorganization Documents, to the extent a party thereto, has been duly authorized by all necessary action. If such party is not an individual, such party is duly organized, validly existing and in good standing under the laws of its jurisdiction of organization or incorporation.</w:t>
      </w:r>
    </w:p>
    <w:p>
      <w:pPr>
        <w:spacing w:after="0" w:line="18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 xml:space="preserve">Section 3.2 </w:t>
      </w:r>
      <w:r>
        <w:rPr>
          <w:rFonts w:ascii="Arial" w:cs="Arial" w:eastAsia="Arial" w:hAnsi="Arial"/>
          <w:sz w:val="22"/>
          <w:szCs w:val="22"/>
          <w:color w:val="auto"/>
        </w:rPr>
        <w:t>Such party has the requisite power, authority and legal right to execute and deliver this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applicable Reorganization Documents, to the extent a party thereto, and to consummate the transactions contemplated hereby and thereby, as the case may be.</w:t>
      </w:r>
    </w:p>
    <w:p>
      <w:pPr>
        <w:spacing w:after="0" w:line="17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Section 3.3 </w:t>
      </w:r>
      <w:r>
        <w:rPr>
          <w:rFonts w:ascii="Arial" w:cs="Arial" w:eastAsia="Arial" w:hAnsi="Arial"/>
          <w:sz w:val="22"/>
          <w:szCs w:val="22"/>
          <w:color w:val="auto"/>
        </w:rPr>
        <w:t>This Agreement and each of the Reorganization Documents to which it is a party has been (or when</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will be) duly executed and delivered by such party and constitutes the legal, valid and binding obligation of such party, enforceable against such party in accordance with its terms, subject to (a) the effects of bankruptcy, insolvency, fraudulent conveyance, reorganization, moratorium and other similar laws relating to or affecting creditors’ rights generally, (b) general equitable principles (whether considered in a proceeding in equity or at law) and (c) an implied covenant of good faith and fair dealing.</w:t>
      </w:r>
    </w:p>
    <w:p>
      <w:pPr>
        <w:spacing w:after="0" w:line="185"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9"/>
          <w:szCs w:val="19"/>
          <w:b w:val="1"/>
          <w:bCs w:val="1"/>
          <w:color w:val="auto"/>
        </w:rPr>
        <w:t xml:space="preserve">Section 3.4 </w:t>
      </w:r>
      <w:r>
        <w:rPr>
          <w:rFonts w:ascii="Arial" w:cs="Arial" w:eastAsia="Arial" w:hAnsi="Arial"/>
          <w:sz w:val="19"/>
          <w:szCs w:val="19"/>
          <w:color w:val="auto"/>
        </w:rPr>
        <w:t>Neither the execution, delivery and performance by such party of this Agreement and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Reorganization Documents, to the extent a party thereto, nor the consummation by such party of the transactions contemplated hereby or thereby, nor compliance by such party with the terms and provisions hereof or thereof, will, directly or indirectly (with or without notice or lapse of time or both), (i) if such party is not an individual, contravene or conflict with, or result in a breach or termination of, or constitute a default under (or with notice or lapse of time or both, result in the breach or termination of or constitute a default under) the organizational documents of such party, (ii) constitute a violation by such party of any existing requirement of law applicable to such party or any of its properties, rights or assets or (iii) require the consent or approval of any Person, except, in the case of clauses (ii) and (iii), as would not reasonably be expected to result in, individually or in the aggregate, a material adverse effect on the ability of such party to consummate the transactions contemplated by this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b w:val="1"/>
          <w:bCs w:val="1"/>
          <w:color w:val="auto"/>
        </w:rPr>
        <w:t xml:space="preserve">Section 4.1 Amendments and Waivers </w:t>
      </w:r>
      <w:r>
        <w:rPr>
          <w:rFonts w:ascii="Arial" w:cs="Arial" w:eastAsia="Arial" w:hAnsi="Arial"/>
          <w:sz w:val="21"/>
          <w:szCs w:val="21"/>
          <w:color w:val="auto"/>
        </w:rPr>
        <w:t>. This Agreement (including its Exhibits) may be modified, amended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waived only with the written approval of Pubco (as approved by the Board), Advent Blocker and Spectrum Partnership. All parties to this Agreement shall be bound by any modification, amendment or waiver effected in accordance with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whether or not such party has consented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 amendment or modification that would affect any other party in a manner materially and disproportionately adverse to such party shall be effective against such party so materially and adversely affected only with the prior written consent of such party, such consent not to be unreasonably withheld, conditioned or delayed.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8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nothing in this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be deemed to contradict the provisions of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68" w:lineRule="exact"/>
        <w:rPr>
          <w:sz w:val="20"/>
          <w:szCs w:val="20"/>
          <w:color w:val="auto"/>
        </w:rPr>
      </w:pPr>
    </w:p>
    <w:p>
      <w:pPr>
        <w:jc w:val="both"/>
        <w:ind w:right="20" w:firstLine="749"/>
        <w:spacing w:after="0" w:line="330" w:lineRule="auto"/>
        <w:rPr>
          <w:sz w:val="20"/>
          <w:szCs w:val="20"/>
          <w:color w:val="auto"/>
        </w:rPr>
      </w:pPr>
      <w:r>
        <w:rPr>
          <w:rFonts w:ascii="Arial" w:cs="Arial" w:eastAsia="Arial" w:hAnsi="Arial"/>
          <w:sz w:val="19"/>
          <w:szCs w:val="19"/>
          <w:b w:val="1"/>
          <w:bCs w:val="1"/>
          <w:color w:val="auto"/>
        </w:rPr>
        <w:t>Section 4.2 Assignment</w:t>
      </w:r>
      <w:r>
        <w:rPr>
          <w:rFonts w:ascii="Arial" w:cs="Arial" w:eastAsia="Arial" w:hAnsi="Arial"/>
          <w:sz w:val="19"/>
          <w:szCs w:val="19"/>
          <w:color w:val="auto"/>
        </w:rPr>
        <w:t>. Neither this Agreement nor any of the rights or obligations hereunder shall be assigned by</w:t>
      </w:r>
      <w:r>
        <w:rPr>
          <w:rFonts w:ascii="Arial" w:cs="Arial" w:eastAsia="Arial" w:hAnsi="Arial"/>
          <w:sz w:val="19"/>
          <w:szCs w:val="19"/>
          <w:b w:val="1"/>
          <w:bCs w:val="1"/>
          <w:color w:val="auto"/>
        </w:rPr>
        <w:t xml:space="preserve"> </w:t>
      </w:r>
      <w:r>
        <w:rPr>
          <w:rFonts w:ascii="Arial" w:cs="Arial" w:eastAsia="Arial" w:hAnsi="Arial"/>
          <w:sz w:val="19"/>
          <w:szCs w:val="19"/>
          <w:color w:val="auto"/>
        </w:rPr>
        <w:t>any party hereto without the prior written consent of Pubco. Subject to the preceding sentence, this Agreement will be binding upon, inure to the benefit of and be enforceable by the parties and their respective successors and permitted assigns.</w:t>
      </w:r>
    </w:p>
    <w:p>
      <w:pPr>
        <w:spacing w:after="0" w:line="12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2"/>
          <w:szCs w:val="22"/>
          <w:b w:val="1"/>
          <w:bCs w:val="1"/>
          <w:color w:val="auto"/>
        </w:rPr>
        <w:t>Section 4.3 Notices</w:t>
      </w:r>
      <w:r>
        <w:rPr>
          <w:rFonts w:ascii="Arial" w:cs="Arial" w:eastAsia="Arial" w:hAnsi="Arial"/>
          <w:sz w:val="22"/>
          <w:szCs w:val="22"/>
          <w:color w:val="auto"/>
        </w:rPr>
        <w:t>. All notices, requests and other communications to any party hereunder shall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facsimile transmission and electronic mail (“e-mail”) transmission, so long as a receipt of such e-mail is requested and not received by automated response). All such notices, requests and other communications shall be deemed received on the date of receipt by the recipient thereof if received prior to 5:00 p.m. local time on a Business Day in the place of receipt. Otherwise, any such notice, request or communication shall be deemed to have been received on the next succeeding Business Day in the place of receipt. All such notices, requests and other communications to any party hereunder shall be given to such party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4" w:name="page165"/>
    <w:bookmarkEnd w:id="164"/>
    <w:p>
      <w:pPr>
        <w:ind w:left="760"/>
        <w:spacing w:after="0"/>
        <w:rPr>
          <w:sz w:val="20"/>
          <w:szCs w:val="20"/>
          <w:color w:val="auto"/>
        </w:rPr>
      </w:pPr>
      <w:r>
        <w:rPr>
          <w:rFonts w:ascii="Arial" w:cs="Arial" w:eastAsia="Arial" w:hAnsi="Arial"/>
          <w:sz w:val="22"/>
          <w:szCs w:val="22"/>
          <w:color w:val="auto"/>
        </w:rPr>
        <w:t>If to Pubco or the Company:</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 AIDH TopCo, LLC</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550 Cochituate Rd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Framingham, MA 01701</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Chief Legal Officer</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dsamuels@definitivehc.com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copies (which shall not constitute actual notice) to:</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100 Federal Street</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Boston, MA 02110</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Marilyn French Shaw; Alexander D. Lynch</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Email: marilynfrench.shaw@weil.com; alex.lynch@weil.com;</w:t>
      </w:r>
    </w:p>
    <w:p>
      <w:pPr>
        <w:spacing w:after="0" w:line="229" w:lineRule="exact"/>
        <w:rPr>
          <w:sz w:val="20"/>
          <w:szCs w:val="20"/>
          <w:color w:val="auto"/>
        </w:rPr>
      </w:pPr>
    </w:p>
    <w:p>
      <w:pPr>
        <w:ind w:left="760" w:right="20"/>
        <w:spacing w:after="0" w:line="276" w:lineRule="auto"/>
        <w:rPr>
          <w:sz w:val="20"/>
          <w:szCs w:val="20"/>
          <w:color w:val="auto"/>
        </w:rPr>
      </w:pPr>
      <w:r>
        <w:rPr>
          <w:rFonts w:ascii="Arial" w:cs="Arial" w:eastAsia="Arial" w:hAnsi="Arial"/>
          <w:sz w:val="22"/>
          <w:szCs w:val="22"/>
          <w:u w:val="single" w:color="auto"/>
          <w:color w:val="auto"/>
        </w:rPr>
        <w:t>If to a Pre-IPO Equityholder</w:t>
      </w:r>
      <w:r>
        <w:rPr>
          <w:rFonts w:ascii="Arial" w:cs="Arial" w:eastAsia="Arial" w:hAnsi="Arial"/>
          <w:sz w:val="22"/>
          <w:szCs w:val="22"/>
          <w:color w:val="auto"/>
        </w:rPr>
        <w:t>, to the notice address for such Person provided under the terms of the Prior LLC Agreement or such address provided in writing to the Company.</w:t>
      </w:r>
    </w:p>
    <w:p>
      <w:pPr>
        <w:spacing w:after="0" w:line="168"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b w:val="1"/>
          <w:bCs w:val="1"/>
          <w:color w:val="auto"/>
        </w:rPr>
        <w:t xml:space="preserve">Section 4.4 Further Assurances </w:t>
      </w:r>
      <w:r>
        <w:rPr>
          <w:rFonts w:ascii="Arial" w:cs="Arial" w:eastAsia="Arial" w:hAnsi="Arial"/>
          <w:sz w:val="22"/>
          <w:szCs w:val="22"/>
          <w:color w:val="auto"/>
        </w:rPr>
        <w:t>. Each party to this Agreement, at any time and from time to time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request of either Pubco or the Company, shall promptly execute and deliver, or cause to be executed and delivered, all such further instruments and take all such further actions as may be reasonably necessary or appropriate to confirm or carry out the purposes and intent of this Agreement.</w:t>
      </w:r>
    </w:p>
    <w:p>
      <w:pPr>
        <w:spacing w:after="0" w:line="18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21"/>
          <w:szCs w:val="21"/>
          <w:b w:val="1"/>
          <w:bCs w:val="1"/>
          <w:color w:val="auto"/>
        </w:rPr>
        <w:t>Section 4.5 Entire Agreement</w:t>
      </w:r>
      <w:r>
        <w:rPr>
          <w:rFonts w:ascii="Arial" w:cs="Arial" w:eastAsia="Arial" w:hAnsi="Arial"/>
          <w:sz w:val="21"/>
          <w:szCs w:val="21"/>
          <w:color w:val="auto"/>
        </w:rPr>
        <w:t>. Except as otherwise expressly set forth herein, this Agreement, together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Reorganization Documents,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6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b w:val="1"/>
          <w:bCs w:val="1"/>
          <w:color w:val="auto"/>
        </w:rPr>
        <w:t>Section 4.6 Governing Law</w:t>
      </w:r>
      <w:r>
        <w:rPr>
          <w:rFonts w:ascii="Arial" w:cs="Arial" w:eastAsia="Arial" w:hAnsi="Arial"/>
          <w:sz w:val="22"/>
          <w:szCs w:val="22"/>
          <w:color w:val="auto"/>
        </w:rPr>
        <w:t>. This Agreement shall be governed by, construed and enforced in accordance with the law</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Delaware, without regard to the conflicts of law rules of such state.</w:t>
      </w:r>
    </w:p>
    <w:p>
      <w:pPr>
        <w:spacing w:after="0" w:line="16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1"/>
          <w:szCs w:val="21"/>
          <w:b w:val="1"/>
          <w:bCs w:val="1"/>
          <w:color w:val="auto"/>
        </w:rPr>
        <w:t>Section 4.7 Jurisdiction</w:t>
      </w:r>
      <w:r>
        <w:rPr>
          <w:rFonts w:ascii="Arial" w:cs="Arial" w:eastAsia="Arial" w:hAnsi="Arial"/>
          <w:sz w:val="21"/>
          <w:szCs w:val="21"/>
          <w:color w:val="auto"/>
        </w:rPr>
        <w:t>. The parties hereto agree that any suit, action or proceeding seeking to enforce any provision</w:t>
      </w:r>
      <w:r>
        <w:rPr>
          <w:rFonts w:ascii="Arial" w:cs="Arial" w:eastAsia="Arial" w:hAnsi="Arial"/>
          <w:sz w:val="21"/>
          <w:szCs w:val="21"/>
          <w:b w:val="1"/>
          <w:bCs w:val="1"/>
          <w:color w:val="auto"/>
        </w:rPr>
        <w:t xml:space="preserve"> </w:t>
      </w:r>
      <w:r>
        <w:rPr>
          <w:rFonts w:ascii="Arial" w:cs="Arial" w:eastAsia="Arial" w:hAnsi="Arial"/>
          <w:sz w:val="21"/>
          <w:szCs w:val="21"/>
          <w:color w:val="auto"/>
        </w:rPr>
        <w:t>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65" w:name="page166"/>
    <w:bookmarkEnd w:id="165"/>
    <w:p>
      <w:pPr>
        <w:jc w:val="both"/>
        <w:spacing w:after="0" w:line="276" w:lineRule="auto"/>
        <w:rPr>
          <w:sz w:val="20"/>
          <w:szCs w:val="20"/>
          <w:color w:val="auto"/>
        </w:rPr>
      </w:pPr>
      <w:r>
        <w:rPr>
          <w:rFonts w:ascii="Arial" w:cs="Arial" w:eastAsia="Arial" w:hAnsi="Arial"/>
          <w:sz w:val="22"/>
          <w:szCs w:val="22"/>
          <w:color w:val="auto"/>
        </w:rPr>
        <w:t>limiting the foregoing, each party agrees that service of process on such party as provided in Section 4.3 shall be deemed effective service of process on such party</w:t>
      </w:r>
    </w:p>
    <w:p>
      <w:pPr>
        <w:spacing w:after="0" w:line="16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Section 4.8 WAIVER OF JURY TRIAL</w:t>
      </w:r>
      <w:r>
        <w:rPr>
          <w:rFonts w:ascii="Arial" w:cs="Arial" w:eastAsia="Arial" w:hAnsi="Arial"/>
          <w:sz w:val="22"/>
          <w:szCs w:val="22"/>
          <w:color w:val="auto"/>
        </w:rPr>
        <w:t>. EACH OF THE PARTIES HERETO HEREBY IRREVOCABLY WAIVES</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RIGHT TO TRIAL BY JURY IN ANY LEGAL PROCEEDING ARISING OUT OF OR RELATED TO THIS AGREEMENT OR THE TRANSACTIONS CONTEMPLATED HEREBY.</w:t>
      </w:r>
    </w:p>
    <w:p>
      <w:pPr>
        <w:spacing w:after="0" w:line="17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b w:val="1"/>
          <w:bCs w:val="1"/>
          <w:color w:val="auto"/>
        </w:rPr>
        <w:t>Section 4.9 Severability</w:t>
      </w:r>
      <w:r>
        <w:rPr>
          <w:rFonts w:ascii="Arial" w:cs="Arial" w:eastAsia="Arial" w:hAnsi="Arial"/>
          <w:sz w:val="21"/>
          <w:szCs w:val="21"/>
          <w:color w:val="auto"/>
        </w:rPr>
        <w:t>. The provisions of this Agreement shall be deemed severable and the invalidity or</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7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1"/>
          <w:szCs w:val="21"/>
          <w:b w:val="1"/>
          <w:bCs w:val="1"/>
          <w:color w:val="auto"/>
        </w:rPr>
        <w:t>Section 4.10 Enforcement</w:t>
      </w:r>
      <w:r>
        <w:rPr>
          <w:rFonts w:ascii="Arial" w:cs="Arial" w:eastAsia="Arial" w:hAnsi="Arial"/>
          <w:sz w:val="21"/>
          <w:szCs w:val="21"/>
          <w:color w:val="auto"/>
        </w:rPr>
        <w:t>. Each party hereto acknowledges that money damages would not be an adequate remedy in</w:t>
      </w:r>
      <w:r>
        <w:rPr>
          <w:rFonts w:ascii="Arial" w:cs="Arial" w:eastAsia="Arial" w:hAnsi="Arial"/>
          <w:sz w:val="21"/>
          <w:szCs w:val="21"/>
          <w:b w:val="1"/>
          <w:bCs w:val="1"/>
          <w:color w:val="auto"/>
        </w:rPr>
        <w:t xml:space="preserve"> </w:t>
      </w:r>
      <w:r>
        <w:rPr>
          <w:rFonts w:ascii="Arial" w:cs="Arial" w:eastAsia="Arial" w:hAnsi="Arial"/>
          <w:sz w:val="21"/>
          <w:szCs w:val="21"/>
          <w:color w:val="auto"/>
        </w:rPr>
        <w:t>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16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Section 4.11 Counterparts; Facsimile Signatures</w:t>
      </w:r>
      <w:r>
        <w:rPr>
          <w:rFonts w:ascii="Arial" w:cs="Arial" w:eastAsia="Arial" w:hAnsi="Arial"/>
          <w:sz w:val="22"/>
          <w:szCs w:val="22"/>
          <w:color w:val="auto"/>
        </w:rPr>
        <w:t>. This Agreement may be executed in any number of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shall be an original, but all of which together shall constitute one instrument. This Agreement may be executed by facsimile, e-mail or .pdf format signature(s).</w:t>
      </w:r>
    </w:p>
    <w:p>
      <w:pPr>
        <w:spacing w:after="0" w:line="17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b w:val="1"/>
          <w:bCs w:val="1"/>
          <w:color w:val="auto"/>
        </w:rPr>
        <w:t>Section 4.12 Expenses</w:t>
      </w:r>
      <w:r>
        <w:rPr>
          <w:rFonts w:ascii="Arial" w:cs="Arial" w:eastAsia="Arial" w:hAnsi="Arial"/>
          <w:sz w:val="21"/>
          <w:szCs w:val="21"/>
          <w:color w:val="auto"/>
        </w:rPr>
        <w:t>. The Company shall pay all transaction costs associated with the Reorganization Transactions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extent such costs are incurred for the benefit of all Pre-IPO Equityholders (including those incurred by the Company), as reasonably determined by the Company. Expenses incurred by any Pre-IPO Equityholders on its own behalf (including the fees and disbursements of counsel, advisors and other Persons retained by such Pre-IPO Equityholder) will not be considered costs incurred for the benefit of all Pre-IPO Equityholders and, unless otherwise agreed by the Company, will be the responsibility of such Pre-IPO Equityholder.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AIDH TOPCO,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880" w:type="dxa"/>
        <w:tblCellMar>
          <w:top w:w="0" w:type="dxa"/>
          <w:left w:w="0" w:type="dxa"/>
          <w:bottom w:w="0" w:type="dxa"/>
          <w:right w:w="0" w:type="dxa"/>
        </w:tblCellMar>
      </w:tblP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ind w:left="20"/>
              <w:spacing w:after="0"/>
              <w:rPr>
                <w:sz w:val="20"/>
                <w:szCs w:val="20"/>
                <w:color w:val="auto"/>
              </w:rPr>
            </w:pPr>
            <w:r>
              <w:rPr>
                <w:rFonts w:ascii="Arial" w:cs="Arial" w:eastAsia="Arial" w:hAnsi="Arial"/>
                <w:sz w:val="22"/>
                <w:szCs w:val="22"/>
                <w:color w:val="auto"/>
              </w:rPr>
              <w:t>/s/ Jason Krantz</w:t>
            </w:r>
          </w:p>
        </w:tc>
        <w:tc>
          <w:tcPr>
            <w:tcW w:w="0" w:type="dxa"/>
            <w:vAlign w:val="bottom"/>
          </w:tcPr>
          <w:p>
            <w:pPr>
              <w:spacing w:after="0"/>
              <w:rPr>
                <w:sz w:val="1"/>
                <w:szCs w:val="1"/>
                <w:color w:val="auto"/>
              </w:rPr>
            </w:pPr>
          </w:p>
        </w:tc>
      </w:tr>
      <w:tr>
        <w:trPr>
          <w:trHeight w:val="273"/>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00" w:type="dxa"/>
            <w:vAlign w:val="bottom"/>
            <w:vMerge w:val="continue"/>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22"/>
                <w:szCs w:val="22"/>
                <w:color w:val="auto"/>
              </w:rPr>
              <w:t>Jason Krantz</w:t>
            </w:r>
          </w:p>
        </w:tc>
        <w:tc>
          <w:tcPr>
            <w:tcW w:w="0" w:type="dxa"/>
            <w:vAlign w:val="bottom"/>
          </w:tcPr>
          <w:p>
            <w:pPr>
              <w:spacing w:after="0"/>
              <w:rPr>
                <w:sz w:val="1"/>
                <w:szCs w:val="1"/>
                <w:color w:val="auto"/>
              </w:rPr>
            </w:pP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20"/>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880" w:type="dxa"/>
        <w:tblCellMar>
          <w:top w:w="0" w:type="dxa"/>
          <w:left w:w="0" w:type="dxa"/>
          <w:bottom w:w="0" w:type="dxa"/>
          <w:right w:w="0" w:type="dxa"/>
        </w:tblCellMar>
      </w:tblP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ind w:left="20"/>
              <w:spacing w:after="0"/>
              <w:rPr>
                <w:sz w:val="20"/>
                <w:szCs w:val="20"/>
                <w:color w:val="auto"/>
              </w:rPr>
            </w:pPr>
            <w:r>
              <w:rPr>
                <w:rFonts w:ascii="Arial" w:cs="Arial" w:eastAsia="Arial" w:hAnsi="Arial"/>
                <w:sz w:val="22"/>
                <w:szCs w:val="22"/>
                <w:color w:val="auto"/>
              </w:rPr>
              <w:t>/s/ Jason Krantz</w:t>
            </w:r>
          </w:p>
        </w:tc>
        <w:tc>
          <w:tcPr>
            <w:tcW w:w="0" w:type="dxa"/>
            <w:vAlign w:val="bottom"/>
          </w:tcPr>
          <w:p>
            <w:pPr>
              <w:spacing w:after="0"/>
              <w:rPr>
                <w:sz w:val="1"/>
                <w:szCs w:val="1"/>
                <w:color w:val="auto"/>
              </w:rPr>
            </w:pPr>
          </w:p>
        </w:tc>
      </w:tr>
      <w:tr>
        <w:trPr>
          <w:trHeight w:val="273"/>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00" w:type="dxa"/>
            <w:vAlign w:val="bottom"/>
            <w:vMerge w:val="continue"/>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22"/>
                <w:szCs w:val="22"/>
                <w:color w:val="auto"/>
              </w:rPr>
              <w:t>Jason Krantz</w:t>
            </w:r>
          </w:p>
        </w:tc>
        <w:tc>
          <w:tcPr>
            <w:tcW w:w="0" w:type="dxa"/>
            <w:vAlign w:val="bottom"/>
          </w:tcPr>
          <w:p>
            <w:pPr>
              <w:spacing w:after="0"/>
              <w:rPr>
                <w:sz w:val="1"/>
                <w:szCs w:val="1"/>
                <w:color w:val="auto"/>
              </w:rPr>
            </w:pP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20"/>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PRE-IPO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AIDH HOLDINGS,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880" w:type="dxa"/>
        <w:tblCellMar>
          <w:top w:w="0" w:type="dxa"/>
          <w:left w:w="0" w:type="dxa"/>
          <w:bottom w:w="0" w:type="dxa"/>
          <w:right w:w="0" w:type="dxa"/>
        </w:tblCellMar>
      </w:tblP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ind w:left="20"/>
              <w:spacing w:after="0"/>
              <w:rPr>
                <w:sz w:val="20"/>
                <w:szCs w:val="20"/>
                <w:color w:val="auto"/>
              </w:rPr>
            </w:pPr>
            <w:r>
              <w:rPr>
                <w:rFonts w:ascii="Arial" w:cs="Arial" w:eastAsia="Arial" w:hAnsi="Arial"/>
                <w:sz w:val="22"/>
                <w:szCs w:val="22"/>
                <w:color w:val="auto"/>
              </w:rPr>
              <w:t>/s/ James Westra</w:t>
            </w:r>
          </w:p>
        </w:tc>
        <w:tc>
          <w:tcPr>
            <w:tcW w:w="0" w:type="dxa"/>
            <w:vAlign w:val="bottom"/>
          </w:tcPr>
          <w:p>
            <w:pPr>
              <w:spacing w:after="0"/>
              <w:rPr>
                <w:sz w:val="1"/>
                <w:szCs w:val="1"/>
                <w:color w:val="auto"/>
              </w:rPr>
            </w:pPr>
          </w:p>
        </w:tc>
      </w:tr>
      <w:tr>
        <w:trPr>
          <w:trHeight w:val="273"/>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00" w:type="dxa"/>
            <w:vAlign w:val="bottom"/>
            <w:vMerge w:val="continue"/>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22"/>
                <w:szCs w:val="22"/>
                <w:color w:val="auto"/>
              </w:rPr>
              <w:t>James Westra</w:t>
            </w:r>
          </w:p>
        </w:tc>
        <w:tc>
          <w:tcPr>
            <w:tcW w:w="0" w:type="dxa"/>
            <w:vAlign w:val="bottom"/>
          </w:tcPr>
          <w:p>
            <w:pPr>
              <w:spacing w:after="0"/>
              <w:rPr>
                <w:sz w:val="1"/>
                <w:szCs w:val="1"/>
                <w:color w:val="auto"/>
              </w:rPr>
            </w:pP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20"/>
              <w:spacing w:after="0"/>
              <w:rPr>
                <w:sz w:val="20"/>
                <w:szCs w:val="20"/>
                <w:color w:val="auto"/>
              </w:rPr>
            </w:pPr>
            <w:r>
              <w:rPr>
                <w:rFonts w:ascii="Arial" w:cs="Arial" w:eastAsia="Arial" w:hAnsi="Arial"/>
                <w:sz w:val="22"/>
                <w:szCs w:val="22"/>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AIDH MANAGEMENT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880" w:type="dxa"/>
        <w:tblCellMar>
          <w:top w:w="0" w:type="dxa"/>
          <w:left w:w="0" w:type="dxa"/>
          <w:bottom w:w="0" w:type="dxa"/>
          <w:right w:w="0" w:type="dxa"/>
        </w:tblCellMar>
      </w:tblP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ind w:left="20"/>
              <w:spacing w:after="0"/>
              <w:rPr>
                <w:sz w:val="20"/>
                <w:szCs w:val="20"/>
                <w:color w:val="auto"/>
              </w:rPr>
            </w:pPr>
            <w:r>
              <w:rPr>
                <w:rFonts w:ascii="Arial" w:cs="Arial" w:eastAsia="Arial" w:hAnsi="Arial"/>
                <w:sz w:val="22"/>
                <w:szCs w:val="22"/>
                <w:color w:val="auto"/>
              </w:rPr>
              <w:t>/s/ Jason Krantz</w:t>
            </w:r>
          </w:p>
        </w:tc>
        <w:tc>
          <w:tcPr>
            <w:tcW w:w="0" w:type="dxa"/>
            <w:vAlign w:val="bottom"/>
          </w:tcPr>
          <w:p>
            <w:pPr>
              <w:spacing w:after="0"/>
              <w:rPr>
                <w:sz w:val="1"/>
                <w:szCs w:val="1"/>
                <w:color w:val="auto"/>
              </w:rPr>
            </w:pPr>
          </w:p>
        </w:tc>
      </w:tr>
      <w:tr>
        <w:trPr>
          <w:trHeight w:val="274"/>
        </w:trPr>
        <w:tc>
          <w:tcPr>
            <w:tcW w:w="10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00" w:type="dxa"/>
            <w:vAlign w:val="bottom"/>
            <w:vMerge w:val="continue"/>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22"/>
                <w:szCs w:val="22"/>
                <w:color w:val="auto"/>
              </w:rPr>
              <w:t>Jason Krantz</w:t>
            </w:r>
          </w:p>
        </w:tc>
        <w:tc>
          <w:tcPr>
            <w:tcW w:w="0" w:type="dxa"/>
            <w:vAlign w:val="bottom"/>
          </w:tcPr>
          <w:p>
            <w:pPr>
              <w:spacing w:after="0"/>
              <w:rPr>
                <w:sz w:val="1"/>
                <w:szCs w:val="1"/>
                <w:color w:val="auto"/>
              </w:rPr>
            </w:pP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20"/>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0480"/>
          </w:cols>
          <w:pgMar w:left="1080" w:top="402" w:right="339" w:bottom="0" w:gutter="0" w:footer="0" w:header="0"/>
        </w:sectPr>
      </w:pPr>
    </w:p>
    <w:bookmarkStart w:id="167" w:name="page168"/>
    <w:bookmarkEnd w:id="167"/>
    <w:p>
      <w:pPr>
        <w:spacing w:after="0" w:line="96"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46355</wp:posOffset>
            </wp:positionV>
            <wp:extent cx="35490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Jason Krantz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11</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8" w:name="page169"/>
    <w:bookmarkEnd w:id="168"/>
    <w:p>
      <w:pPr>
        <w:ind w:left="4520"/>
        <w:spacing w:after="0"/>
        <w:rPr>
          <w:sz w:val="20"/>
          <w:szCs w:val="20"/>
          <w:color w:val="auto"/>
        </w:rPr>
      </w:pPr>
      <w:r>
        <w:rPr>
          <w:rFonts w:ascii="Arial" w:cs="Arial" w:eastAsia="Arial" w:hAnsi="Arial"/>
          <w:sz w:val="22"/>
          <w:szCs w:val="22"/>
          <w:color w:val="auto"/>
        </w:rPr>
        <w:t>MHDH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Björn Carlsson</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Björn Carlsson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SE VIAA DHC AIV, L.P.</w:t>
      </w:r>
    </w:p>
    <w:p>
      <w:pPr>
        <w:sectPr>
          <w:pgSz w:w="11900" w:h="16838" w:orient="portrait"/>
          <w:cols w:equalWidth="0" w:num="1">
            <w:col w:w="10100"/>
          </w:cols>
          <w:pgMar w:left="1440" w:top="712" w:right="359"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right="280"/>
        <w:spacing w:after="0" w:line="276" w:lineRule="auto"/>
        <w:rPr>
          <w:sz w:val="20"/>
          <w:szCs w:val="20"/>
          <w:color w:val="auto"/>
        </w:rPr>
      </w:pPr>
      <w:r>
        <w:rPr>
          <w:rFonts w:ascii="Arial" w:cs="Arial" w:eastAsia="Arial" w:hAnsi="Arial"/>
          <w:sz w:val="22"/>
          <w:szCs w:val="22"/>
          <w:color w:val="auto"/>
        </w:rPr>
        <w:t>Spectrum Equity Associates VII, L.P., its General Partner</w:t>
      </w:r>
    </w:p>
    <w:p>
      <w:pPr>
        <w:spacing w:after="0" w:line="200" w:lineRule="exact"/>
        <w:rPr>
          <w:sz w:val="20"/>
          <w:szCs w:val="20"/>
          <w:color w:val="auto"/>
        </w:rPr>
      </w:pPr>
    </w:p>
    <w:p>
      <w:pPr>
        <w:sectPr>
          <w:pgSz w:w="11900" w:h="16838" w:orient="portrait"/>
          <w:cols w:equalWidth="0" w:num="2">
            <w:col w:w="4820" w:space="720"/>
            <w:col w:w="4560"/>
          </w:cols>
          <w:pgMar w:left="1440" w:top="712" w:right="359" w:bottom="788" w:gutter="0" w:footer="0" w:header="0"/>
          <w:type w:val="continuous"/>
        </w:sectPr>
      </w:pPr>
    </w:p>
    <w:p>
      <w:pPr>
        <w:spacing w:after="0" w:line="352"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color w:val="auto"/>
        </w:rPr>
        <w:t>SEA VII Management, LLC, its General Partner</w:t>
      </w:r>
    </w:p>
    <w:p>
      <w:pPr>
        <w:spacing w:after="0" w:line="200" w:lineRule="exact"/>
        <w:rPr>
          <w:sz w:val="20"/>
          <w:szCs w:val="20"/>
          <w:color w:val="auto"/>
        </w:rPr>
      </w:pPr>
    </w:p>
    <w:p>
      <w:pPr>
        <w:sectPr>
          <w:pgSz w:w="11900" w:h="16838" w:orient="portrait"/>
          <w:cols w:equalWidth="0" w:num="2">
            <w:col w:w="4820" w:space="720"/>
            <w:col w:w="4560"/>
          </w:cols>
          <w:pgMar w:left="1440" w:top="712" w:right="359" w:bottom="7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Mitchell</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Christopher Mitchell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SPECTRUM VII INVESTMENT MANAGERS’ FUND, L.P.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SEA VII Management,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Mitchell</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Christopher Mitchell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0100"/>
          </w:cols>
          <w:pgMar w:left="1440" w:top="712" w:right="359" w:bottom="788" w:gutter="0" w:footer="0" w:header="0"/>
          <w:type w:val="continuous"/>
        </w:sectPr>
      </w:pPr>
    </w:p>
    <w:bookmarkStart w:id="169" w:name="page170"/>
    <w:bookmarkEnd w:id="169"/>
    <w:p>
      <w:pPr>
        <w:ind w:left="5640"/>
        <w:spacing w:after="0"/>
        <w:rPr>
          <w:sz w:val="20"/>
          <w:szCs w:val="20"/>
          <w:color w:val="auto"/>
        </w:rPr>
      </w:pPr>
      <w:r>
        <w:rPr>
          <w:rFonts w:ascii="Arial" w:cs="Arial" w:eastAsia="Arial" w:hAnsi="Arial"/>
          <w:sz w:val="22"/>
          <w:szCs w:val="22"/>
          <w:color w:val="auto"/>
        </w:rPr>
        <w:t>SPECTRUM VII CO-INVESTMENT FUND,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SEA VII Management,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520" w:type="dxa"/>
        <w:tblCellMar>
          <w:top w:w="0" w:type="dxa"/>
          <w:left w:w="0" w:type="dxa"/>
          <w:bottom w:w="0" w:type="dxa"/>
          <w:right w:w="0" w:type="dxa"/>
        </w:tblCellMar>
      </w:tblPr>
      <w:tr>
        <w:trPr>
          <w:trHeight w:val="285"/>
        </w:trPr>
        <w:tc>
          <w:tcPr>
            <w:tcW w:w="1120" w:type="dxa"/>
            <w:vAlign w:val="bottom"/>
          </w:tcPr>
          <w:p>
            <w:pPr>
              <w:ind w:left="120"/>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Mitchell</w:t>
            </w:r>
          </w:p>
        </w:tc>
      </w:tr>
      <w:tr>
        <w:trPr>
          <w:trHeight w:val="537"/>
        </w:trPr>
        <w:tc>
          <w:tcPr>
            <w:tcW w:w="1120" w:type="dxa"/>
            <w:vAlign w:val="bottom"/>
          </w:tcPr>
          <w:p>
            <w:pPr>
              <w:ind w:left="120"/>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Christopher Mitchell</w:t>
            </w:r>
          </w:p>
        </w:tc>
      </w:tr>
      <w:tr>
        <w:trPr>
          <w:trHeight w:val="567"/>
        </w:trPr>
        <w:tc>
          <w:tcPr>
            <w:tcW w:w="1120" w:type="dxa"/>
            <w:vAlign w:val="bottom"/>
          </w:tcPr>
          <w:p>
            <w:pPr>
              <w:ind w:left="120"/>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783"/>
        </w:trPr>
        <w:tc>
          <w:tcPr>
            <w:tcW w:w="1120" w:type="dxa"/>
            <w:vAlign w:val="bottom"/>
          </w:tcPr>
          <w:p>
            <w:pPr>
              <w:jc w:val="right"/>
              <w:ind w:right="792"/>
              <w:spacing w:after="0"/>
              <w:rPr>
                <w:sz w:val="20"/>
                <w:szCs w:val="20"/>
                <w:color w:val="auto"/>
              </w:rPr>
            </w:pPr>
            <w:r>
              <w:rPr>
                <w:rFonts w:ascii="Arial" w:cs="Arial" w:eastAsia="Arial" w:hAnsi="Arial"/>
                <w:sz w:val="22"/>
                <w:szCs w:val="22"/>
                <w:color w:val="auto"/>
                <w:w w:val="81"/>
              </w:rPr>
              <w:t>12</w:t>
            </w:r>
          </w:p>
        </w:tc>
        <w:tc>
          <w:tcPr>
            <w:tcW w:w="4580" w:type="dxa"/>
            <w:vAlign w:val="bottom"/>
          </w:tcPr>
          <w:p>
            <w:pPr>
              <w:spacing w:after="0"/>
              <w:rPr>
                <w:sz w:val="24"/>
                <w:szCs w:val="24"/>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70" w:name="page171"/>
    <w:bookmarkEnd w:id="170"/>
    <w:p>
      <w:pPr>
        <w:ind w:left="4520"/>
        <w:spacing w:after="0"/>
        <w:rPr>
          <w:sz w:val="20"/>
          <w:szCs w:val="20"/>
          <w:color w:val="auto"/>
        </w:rPr>
      </w:pPr>
      <w:r>
        <w:rPr>
          <w:rFonts w:ascii="Arial" w:cs="Arial" w:eastAsia="Arial" w:hAnsi="Arial"/>
          <w:sz w:val="22"/>
          <w:szCs w:val="22"/>
          <w:color w:val="auto"/>
        </w:rPr>
        <w:t>SE VIAA DHC AIV,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SE VII DHC AIV Feeder, L.P., its Sole Shareholder</w:t>
      </w:r>
    </w:p>
    <w:p>
      <w:pPr>
        <w:sectPr>
          <w:pgSz w:w="11900" w:h="16838" w:orient="portrait"/>
          <w:cols w:equalWidth="0" w:num="1">
            <w:col w:w="10100"/>
          </w:cols>
          <w:pgMar w:left="1440" w:top="71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80"/>
        <w:spacing w:after="0" w:line="276" w:lineRule="auto"/>
        <w:rPr>
          <w:sz w:val="20"/>
          <w:szCs w:val="20"/>
          <w:color w:val="auto"/>
        </w:rPr>
      </w:pPr>
      <w:r>
        <w:rPr>
          <w:rFonts w:ascii="Arial" w:cs="Arial" w:eastAsia="Arial" w:hAnsi="Arial"/>
          <w:sz w:val="22"/>
          <w:szCs w:val="22"/>
          <w:color w:val="auto"/>
        </w:rPr>
        <w:t>Spectrum Equity Associates VII, L.P., its General Partner</w:t>
      </w:r>
    </w:p>
    <w:p>
      <w:pPr>
        <w:spacing w:after="0" w:line="200" w:lineRule="exact"/>
        <w:rPr>
          <w:sz w:val="20"/>
          <w:szCs w:val="20"/>
          <w:color w:val="auto"/>
        </w:rPr>
      </w:pPr>
    </w:p>
    <w:p>
      <w:pPr>
        <w:sectPr>
          <w:pgSz w:w="11900" w:h="16838" w:orient="portrait"/>
          <w:cols w:equalWidth="0" w:num="2">
            <w:col w:w="4820" w:space="720"/>
            <w:col w:w="4560"/>
          </w:cols>
          <w:pgMar w:left="1440" w:top="712" w:right="359" w:bottom="0" w:gutter="0" w:footer="0" w:header="0"/>
          <w:type w:val="continuous"/>
        </w:sectPr>
      </w:pPr>
    </w:p>
    <w:p>
      <w:pPr>
        <w:spacing w:after="0" w:line="352"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color w:val="auto"/>
        </w:rPr>
        <w:t>SEA VII Management, LLC, its General Partner</w:t>
      </w:r>
    </w:p>
    <w:p>
      <w:pPr>
        <w:spacing w:after="0" w:line="200" w:lineRule="exact"/>
        <w:rPr>
          <w:sz w:val="20"/>
          <w:szCs w:val="20"/>
          <w:color w:val="auto"/>
        </w:rPr>
      </w:pPr>
    </w:p>
    <w:p>
      <w:pPr>
        <w:sectPr>
          <w:pgSz w:w="11900" w:h="16838" w:orient="portrait"/>
          <w:cols w:equalWidth="0" w:num="2">
            <w:col w:w="4820" w:space="720"/>
            <w:col w:w="4560"/>
          </w:cols>
          <w:pgMar w:left="1440" w:top="712"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Mitchell</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Christopher Mitchell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22C AIDH TOPCO AGGREGATOR,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LLC,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00"/>
          </w:cols>
          <w:pgMar w:left="1440" w:top="712" w:right="359" w:bottom="0" w:gutter="0" w:footer="0" w:header="0"/>
          <w:type w:val="continuous"/>
        </w:sectPr>
      </w:pPr>
    </w:p>
    <w:bookmarkStart w:id="171" w:name="page172"/>
    <w:bookmarkEnd w:id="171"/>
    <w:p>
      <w:pPr>
        <w:spacing w:after="0"/>
        <w:rPr>
          <w:sz w:val="20"/>
          <w:szCs w:val="20"/>
          <w:color w:val="auto"/>
        </w:rPr>
      </w:pPr>
      <w:r>
        <w:rPr>
          <w:rFonts w:ascii="Arial" w:cs="Arial" w:eastAsia="Arial" w:hAnsi="Arial"/>
          <w:sz w:val="12"/>
          <w:szCs w:val="12"/>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7" w:right="1440" w:bottom="1440" w:gutter="0" w:footer="0" w:header="0"/>
        </w:sectPr>
      </w:pPr>
    </w:p>
    <w:bookmarkStart w:id="172" w:name="page173"/>
    <w:bookmarkEnd w:id="172"/>
    <w:p>
      <w:pPr>
        <w:ind w:left="5640"/>
        <w:spacing w:after="0"/>
        <w:rPr>
          <w:sz w:val="20"/>
          <w:szCs w:val="20"/>
          <w:color w:val="auto"/>
        </w:rPr>
      </w:pPr>
      <w:r>
        <w:rPr>
          <w:rFonts w:ascii="Arial" w:cs="Arial" w:eastAsia="Arial" w:hAnsi="Arial"/>
          <w:sz w:val="22"/>
          <w:szCs w:val="22"/>
          <w:color w:val="auto"/>
        </w:rPr>
        <w:t>22C AIDH TOPCO CP,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5520" w:type="dxa"/>
        <w:tblCellMar>
          <w:top w:w="0" w:type="dxa"/>
          <w:left w:w="0" w:type="dxa"/>
          <w:bottom w:w="0" w:type="dxa"/>
          <w:right w:w="0" w:type="dxa"/>
        </w:tblCellMar>
      </w:tblPr>
      <w:tr>
        <w:trPr>
          <w:trHeight w:val="274"/>
        </w:trPr>
        <w:tc>
          <w:tcPr>
            <w:tcW w:w="1120" w:type="dxa"/>
            <w:vAlign w:val="bottom"/>
          </w:tcPr>
          <w:p>
            <w:pPr>
              <w:ind w:left="120"/>
              <w:spacing w:after="0"/>
              <w:rPr>
                <w:sz w:val="20"/>
                <w:szCs w:val="20"/>
                <w:color w:val="auto"/>
              </w:rPr>
            </w:pPr>
            <w:r>
              <w:rPr>
                <w:rFonts w:ascii="Arial" w:cs="Arial" w:eastAsia="Arial" w:hAnsi="Arial"/>
                <w:sz w:val="22"/>
                <w:szCs w:val="22"/>
                <w:color w:val="auto"/>
              </w:rPr>
              <w:t>By:</w:t>
            </w:r>
          </w:p>
        </w:tc>
        <w:tc>
          <w:tcPr>
            <w:tcW w:w="4580" w:type="dxa"/>
            <w:vAlign w:val="bottom"/>
          </w:tcPr>
          <w:p>
            <w:pPr>
              <w:ind w:left="20"/>
              <w:spacing w:after="0"/>
              <w:rPr>
                <w:sz w:val="20"/>
                <w:szCs w:val="20"/>
                <w:color w:val="auto"/>
              </w:rPr>
            </w:pPr>
            <w:r>
              <w:rPr>
                <w:rFonts w:ascii="Arial" w:cs="Arial" w:eastAsia="Arial" w:hAnsi="Arial"/>
                <w:sz w:val="22"/>
                <w:szCs w:val="22"/>
                <w:color w:val="auto"/>
                <w:w w:val="94"/>
              </w:rPr>
              <w:t>22C Capital GP I MM LLC, its Managing Member</w:t>
            </w:r>
          </w:p>
        </w:tc>
      </w:tr>
      <w:tr>
        <w:trPr>
          <w:trHeight w:val="1144"/>
        </w:trPr>
        <w:tc>
          <w:tcPr>
            <w:tcW w:w="1120" w:type="dxa"/>
            <w:vAlign w:val="bottom"/>
          </w:tcPr>
          <w:p>
            <w:pPr>
              <w:ind w:left="120"/>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7"/>
        </w:trPr>
        <w:tc>
          <w:tcPr>
            <w:tcW w:w="1120" w:type="dxa"/>
            <w:vAlign w:val="bottom"/>
          </w:tcPr>
          <w:p>
            <w:pPr>
              <w:ind w:left="120"/>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120" w:type="dxa"/>
            <w:vAlign w:val="bottom"/>
          </w:tcPr>
          <w:p>
            <w:pPr>
              <w:ind w:left="120"/>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1144"/>
        </w:trPr>
        <w:tc>
          <w:tcPr>
            <w:tcW w:w="1120" w:type="dxa"/>
            <w:vAlign w:val="bottom"/>
          </w:tcPr>
          <w:p>
            <w:pPr>
              <w:ind w:left="120"/>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37"/>
        </w:trPr>
        <w:tc>
          <w:tcPr>
            <w:tcW w:w="1120" w:type="dxa"/>
            <w:vAlign w:val="bottom"/>
          </w:tcPr>
          <w:p>
            <w:pPr>
              <w:ind w:left="120"/>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120" w:type="dxa"/>
            <w:vAlign w:val="bottom"/>
          </w:tcPr>
          <w:p>
            <w:pPr>
              <w:ind w:left="120"/>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850"/>
        </w:trPr>
        <w:tc>
          <w:tcPr>
            <w:tcW w:w="1120" w:type="dxa"/>
            <w:vAlign w:val="bottom"/>
          </w:tcPr>
          <w:p>
            <w:pPr>
              <w:spacing w:after="0"/>
              <w:rPr>
                <w:sz w:val="20"/>
                <w:szCs w:val="20"/>
                <w:color w:val="auto"/>
              </w:rPr>
            </w:pPr>
            <w:r>
              <w:rPr>
                <w:rFonts w:ascii="Arial" w:cs="Arial" w:eastAsia="Arial" w:hAnsi="Arial"/>
                <w:sz w:val="22"/>
                <w:szCs w:val="22"/>
                <w:color w:val="auto"/>
              </w:rPr>
              <w:t>14</w:t>
            </w:r>
          </w:p>
        </w:tc>
        <w:tc>
          <w:tcPr>
            <w:tcW w:w="4580" w:type="dxa"/>
            <w:vAlign w:val="bottom"/>
          </w:tcPr>
          <w:p>
            <w:pPr>
              <w:spacing w:after="0"/>
              <w:rPr>
                <w:sz w:val="24"/>
                <w:szCs w:val="24"/>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5" w:right="359" w:bottom="1440" w:gutter="0" w:footer="0" w:header="0"/>
        </w:sectPr>
      </w:pPr>
    </w:p>
    <w:bookmarkStart w:id="173" w:name="page174"/>
    <w:bookmarkEnd w:id="173"/>
    <w:p>
      <w:pPr>
        <w:ind w:left="4520"/>
        <w:spacing w:after="0"/>
        <w:rPr>
          <w:sz w:val="20"/>
          <w:szCs w:val="20"/>
          <w:color w:val="auto"/>
        </w:rPr>
      </w:pPr>
      <w:r>
        <w:rPr>
          <w:rFonts w:ascii="Arial" w:cs="Arial" w:eastAsia="Arial" w:hAnsi="Arial"/>
          <w:sz w:val="22"/>
          <w:szCs w:val="22"/>
          <w:color w:val="auto"/>
        </w:rPr>
        <w:t>22C AIDH TOPCO BLOCKER,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I-A, L.P.,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22C CAPITAL I-A,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ectPr>
          <w:pgSz w:w="11900" w:h="16838" w:orient="portrait"/>
          <w:cols w:equalWidth="0" w:num="1">
            <w:col w:w="10100"/>
          </w:cols>
          <w:pgMar w:left="1440" w:top="712" w:right="359" w:bottom="518" w:gutter="0" w:footer="0" w:header="0"/>
        </w:sectPr>
      </w:pPr>
    </w:p>
    <w:bookmarkStart w:id="174" w:name="page175"/>
    <w:bookmarkEnd w:id="174"/>
    <w:p>
      <w:pPr>
        <w:spacing w:after="0" w:line="1" w:lineRule="exact"/>
        <w:rPr>
          <w:sz w:val="20"/>
          <w:szCs w:val="20"/>
          <w:color w:val="auto"/>
        </w:rPr>
      </w:pPr>
    </w:p>
    <w:tbl>
      <w:tblPr>
        <w:tblLayout w:type="fixed"/>
        <w:tblInd w:w="5520" w:type="dxa"/>
        <w:tblCellMar>
          <w:top w:w="0" w:type="dxa"/>
          <w:left w:w="0" w:type="dxa"/>
          <w:bottom w:w="0" w:type="dxa"/>
          <w:right w:w="0" w:type="dxa"/>
        </w:tblCellMar>
      </w:tblPr>
      <w:tr>
        <w:trPr>
          <w:trHeight w:val="285"/>
        </w:trPr>
        <w:tc>
          <w:tcPr>
            <w:tcW w:w="1120" w:type="dxa"/>
            <w:vAlign w:val="bottom"/>
          </w:tcPr>
          <w:p>
            <w:pPr>
              <w:ind w:left="120"/>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10"/>
        </w:trPr>
        <w:tc>
          <w:tcPr>
            <w:tcW w:w="1120" w:type="dxa"/>
            <w:vAlign w:val="bottom"/>
          </w:tcPr>
          <w:p>
            <w:pPr>
              <w:ind w:left="120"/>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120" w:type="dxa"/>
            <w:vAlign w:val="bottom"/>
          </w:tcPr>
          <w:p>
            <w:pPr>
              <w:ind w:left="120"/>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850"/>
        </w:trPr>
        <w:tc>
          <w:tcPr>
            <w:tcW w:w="1120" w:type="dxa"/>
            <w:vAlign w:val="bottom"/>
          </w:tcPr>
          <w:p>
            <w:pPr>
              <w:jc w:val="right"/>
              <w:ind w:right="792"/>
              <w:spacing w:after="0"/>
              <w:rPr>
                <w:sz w:val="20"/>
                <w:szCs w:val="20"/>
                <w:color w:val="auto"/>
              </w:rPr>
            </w:pPr>
            <w:r>
              <w:rPr>
                <w:rFonts w:ascii="Arial" w:cs="Arial" w:eastAsia="Arial" w:hAnsi="Arial"/>
                <w:sz w:val="22"/>
                <w:szCs w:val="22"/>
                <w:color w:val="auto"/>
                <w:w w:val="81"/>
              </w:rPr>
              <w:t>15</w:t>
            </w:r>
          </w:p>
        </w:tc>
        <w:tc>
          <w:tcPr>
            <w:tcW w:w="4580" w:type="dxa"/>
            <w:vAlign w:val="bottom"/>
          </w:tcPr>
          <w:p>
            <w:pPr>
              <w:spacing w:after="0"/>
              <w:rPr>
                <w:sz w:val="24"/>
                <w:szCs w:val="24"/>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75" w:name="page176"/>
    <w:bookmarkEnd w:id="175"/>
    <w:p>
      <w:pPr>
        <w:ind w:left="4520"/>
        <w:spacing w:after="0"/>
        <w:rPr>
          <w:sz w:val="20"/>
          <w:szCs w:val="20"/>
          <w:color w:val="auto"/>
        </w:rPr>
      </w:pPr>
      <w:r>
        <w:rPr>
          <w:rFonts w:ascii="Arial" w:cs="Arial" w:eastAsia="Arial" w:hAnsi="Arial"/>
          <w:sz w:val="22"/>
          <w:szCs w:val="22"/>
          <w:color w:val="auto"/>
        </w:rPr>
        <w:t>22C CAPITAL GP I,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22C CAPITAL I,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5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ectPr>
          <w:pgSz w:w="11900" w:h="16838" w:orient="portrait"/>
          <w:cols w:equalWidth="0" w:num="1">
            <w:col w:w="10100"/>
          </w:cols>
          <w:pgMar w:left="1440" w:top="712" w:right="359" w:bottom="518" w:gutter="0" w:footer="0" w:header="0"/>
        </w:sectPr>
      </w:pPr>
    </w:p>
    <w:bookmarkStart w:id="176" w:name="page177"/>
    <w:bookmarkEnd w:id="176"/>
    <w:p>
      <w:pPr>
        <w:jc w:val="right"/>
        <w:ind w:right="4399"/>
        <w:spacing w:after="0"/>
        <w:rPr>
          <w:sz w:val="20"/>
          <w:szCs w:val="20"/>
          <w:color w:val="auto"/>
        </w:rPr>
      </w:pPr>
      <w:r>
        <w:rPr>
          <w:rFonts w:ascii="Arial" w:cs="Arial" w:eastAsia="Arial" w:hAnsi="Arial"/>
          <w:sz w:val="22"/>
          <w:szCs w:val="22"/>
          <w:color w:val="auto"/>
        </w:rPr>
        <w:t>16</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177" w:name="page178"/>
    <w:bookmarkEnd w:id="177"/>
    <w:p>
      <w:pPr>
        <w:ind w:left="5640"/>
        <w:spacing w:after="0"/>
        <w:rPr>
          <w:sz w:val="20"/>
          <w:szCs w:val="20"/>
          <w:color w:val="auto"/>
        </w:rPr>
      </w:pPr>
      <w:r>
        <w:rPr>
          <w:rFonts w:ascii="Arial" w:cs="Arial" w:eastAsia="Arial" w:hAnsi="Arial"/>
          <w:sz w:val="22"/>
          <w:szCs w:val="22"/>
          <w:color w:val="auto"/>
        </w:rPr>
        <w:t>22C AIDH AIV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GP I,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5640"/>
        <w:spacing w:after="0"/>
        <w:tabs>
          <w:tab w:leader="none" w:pos="6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22C Capital GP I MM LLC, 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Randall Winn</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David Randall Winn</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Eric J. Edell</w:t>
            </w:r>
          </w:p>
        </w:tc>
      </w:tr>
      <w:tr>
        <w:trPr>
          <w:trHeight w:val="53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580" w:type="dxa"/>
            <w:vAlign w:val="bottom"/>
          </w:tcPr>
          <w:p>
            <w:pPr>
              <w:ind w:left="20"/>
              <w:spacing w:after="0"/>
              <w:rPr>
                <w:sz w:val="20"/>
                <w:szCs w:val="20"/>
                <w:color w:val="auto"/>
              </w:rPr>
            </w:pPr>
            <w:r>
              <w:rPr>
                <w:rFonts w:ascii="Arial" w:cs="Arial" w:eastAsia="Arial" w:hAnsi="Arial"/>
                <w:sz w:val="22"/>
                <w:szCs w:val="22"/>
                <w:color w:val="auto"/>
              </w:rPr>
              <w:t>Eric J. Edell</w:t>
            </w:r>
          </w:p>
        </w:tc>
      </w:tr>
      <w:tr>
        <w:trPr>
          <w:trHeight w:val="56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ind w:left="20"/>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178" w:name="page179"/>
    <w:bookmarkEnd w:id="178"/>
    <w:p>
      <w:pPr>
        <w:jc w:val="center"/>
        <w:ind w:right="-1100"/>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MERGER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18</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sectPr>
      </w:pPr>
    </w:p>
    <w:bookmarkStart w:id="179" w:name="page180"/>
    <w:bookmarkEnd w:id="179"/>
    <w:p>
      <w:pPr>
        <w:jc w:val="center"/>
        <w:ind w:right="-1100"/>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AMENDED AND RESTATED CERTIFICATE OF INCORPORATION</w:t>
      </w:r>
    </w:p>
    <w:p>
      <w:pPr>
        <w:spacing w:after="0" w:line="251"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19</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0" w:name="page181"/>
    <w:bookmarkEnd w:id="180"/>
    <w:p>
      <w:pPr>
        <w:jc w:val="center"/>
        <w:ind w:right="-1100"/>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AMENDED AND RESTATED BYLAWS</w:t>
      </w:r>
    </w:p>
    <w:p>
      <w:pPr>
        <w:spacing w:after="0" w:line="251"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20</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1" w:name="page182"/>
    <w:bookmarkEnd w:id="181"/>
    <w:p>
      <w:pPr>
        <w:jc w:val="center"/>
        <w:ind w:right="-1120"/>
        <w:spacing w:after="0"/>
        <w:rPr>
          <w:sz w:val="20"/>
          <w:szCs w:val="20"/>
          <w:color w:val="auto"/>
        </w:rPr>
      </w:pPr>
      <w:r>
        <w:rPr>
          <w:rFonts w:ascii="Arial" w:cs="Arial" w:eastAsia="Arial" w:hAnsi="Arial"/>
          <w:sz w:val="22"/>
          <w:szCs w:val="22"/>
          <w:b w:val="1"/>
          <w:bCs w:val="1"/>
          <w:color w:val="auto"/>
        </w:rPr>
        <w:t>EXHIBIT D</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color w:val="auto"/>
        </w:rPr>
        <w:t>SECOND AMENDED AND RESTATED LLC AGREEMENT</w:t>
      </w:r>
    </w:p>
    <w:p>
      <w:pPr>
        <w:spacing w:after="0" w:line="251"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21</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2" w:name="page183"/>
    <w:bookmarkEnd w:id="182"/>
    <w:p>
      <w:pPr>
        <w:jc w:val="center"/>
        <w:ind w:right="-1100"/>
        <w:spacing w:after="0"/>
        <w:rPr>
          <w:sz w:val="20"/>
          <w:szCs w:val="20"/>
          <w:color w:val="auto"/>
        </w:rPr>
      </w:pPr>
      <w:r>
        <w:rPr>
          <w:rFonts w:ascii="Arial" w:cs="Arial" w:eastAsia="Arial" w:hAnsi="Arial"/>
          <w:sz w:val="22"/>
          <w:szCs w:val="22"/>
          <w:b w:val="1"/>
          <w:bCs w:val="1"/>
          <w:color w:val="auto"/>
        </w:rPr>
        <w:t>EXHIBIT E</w:t>
      </w:r>
    </w:p>
    <w:p>
      <w:pPr>
        <w:spacing w:after="0" w:line="233"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MANAGEMENT HOLDINGS LLC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22</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3" w:name="page184"/>
    <w:bookmarkEnd w:id="183"/>
    <w:p>
      <w:pPr>
        <w:jc w:val="center"/>
        <w:ind w:right="-1120"/>
        <w:spacing w:after="0"/>
        <w:rPr>
          <w:sz w:val="20"/>
          <w:szCs w:val="20"/>
          <w:color w:val="auto"/>
        </w:rPr>
      </w:pPr>
      <w:r>
        <w:rPr>
          <w:rFonts w:ascii="Arial" w:cs="Arial" w:eastAsia="Arial" w:hAnsi="Arial"/>
          <w:sz w:val="22"/>
          <w:szCs w:val="22"/>
          <w:b w:val="1"/>
          <w:bCs w:val="1"/>
          <w:color w:val="auto"/>
        </w:rPr>
        <w:t>EXHIBIT F</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SPECTRUM DISTRBITUTION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23</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4" w:name="page185"/>
    <w:bookmarkEnd w:id="184"/>
    <w:p>
      <w:pPr>
        <w:jc w:val="center"/>
        <w:ind w:right="-1100"/>
        <w:spacing w:after="0"/>
        <w:rPr>
          <w:sz w:val="20"/>
          <w:szCs w:val="20"/>
          <w:color w:val="auto"/>
        </w:rPr>
      </w:pPr>
      <w:r>
        <w:rPr>
          <w:rFonts w:ascii="Arial" w:cs="Arial" w:eastAsia="Arial" w:hAnsi="Arial"/>
          <w:sz w:val="22"/>
          <w:szCs w:val="22"/>
          <w:b w:val="1"/>
          <w:bCs w:val="1"/>
          <w:color w:val="auto"/>
        </w:rPr>
        <w:t>EXHIBIT G</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22C DISTRBITUTION AND CONTRIBUTION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24</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5" w:name="page186"/>
    <w:bookmarkEnd w:id="185"/>
    <w:p>
      <w:pPr>
        <w:jc w:val="center"/>
        <w:ind w:right="-1120"/>
        <w:spacing w:after="0"/>
        <w:rPr>
          <w:sz w:val="20"/>
          <w:szCs w:val="20"/>
          <w:color w:val="auto"/>
        </w:rPr>
      </w:pPr>
      <w:r>
        <w:rPr>
          <w:rFonts w:ascii="Arial" w:cs="Arial" w:eastAsia="Arial" w:hAnsi="Arial"/>
          <w:sz w:val="22"/>
          <w:szCs w:val="22"/>
          <w:b w:val="1"/>
          <w:bCs w:val="1"/>
          <w:color w:val="auto"/>
        </w:rPr>
        <w:t>EXHIBIT H</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MANAGEMENT HOLDINGS DISTRBITUTION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25</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6" w:name="page187"/>
    <w:bookmarkEnd w:id="186"/>
    <w:p>
      <w:pPr>
        <w:jc w:val="center"/>
        <w:ind w:right="-1100"/>
        <w:spacing w:after="0"/>
        <w:rPr>
          <w:sz w:val="20"/>
          <w:szCs w:val="20"/>
          <w:color w:val="auto"/>
        </w:rPr>
      </w:pPr>
      <w:r>
        <w:rPr>
          <w:rFonts w:ascii="Arial" w:cs="Arial" w:eastAsia="Arial" w:hAnsi="Arial"/>
          <w:sz w:val="22"/>
          <w:szCs w:val="22"/>
          <w:b w:val="1"/>
          <w:bCs w:val="1"/>
          <w:color w:val="auto"/>
        </w:rPr>
        <w:t>EXHIBIT I</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color w:val="auto"/>
        </w:rPr>
        <w:t>TAX RECEIVABLE AGREEMENT</w:t>
      </w:r>
    </w:p>
    <w:p>
      <w:pPr>
        <w:spacing w:after="0" w:line="251"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26</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7" w:name="page188"/>
    <w:bookmarkEnd w:id="187"/>
    <w:p>
      <w:pPr>
        <w:jc w:val="center"/>
        <w:ind w:right="-1100"/>
        <w:spacing w:after="0"/>
        <w:rPr>
          <w:sz w:val="20"/>
          <w:szCs w:val="20"/>
          <w:color w:val="auto"/>
        </w:rPr>
      </w:pPr>
      <w:r>
        <w:rPr>
          <w:rFonts w:ascii="Arial" w:cs="Arial" w:eastAsia="Arial" w:hAnsi="Arial"/>
          <w:sz w:val="22"/>
          <w:szCs w:val="22"/>
          <w:b w:val="1"/>
          <w:bCs w:val="1"/>
          <w:color w:val="auto"/>
        </w:rPr>
        <w:t>EXHIBIT J</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color w:val="auto"/>
        </w:rPr>
        <w:t>SUBSCRIPTION AGREEMENT</w:t>
      </w:r>
    </w:p>
    <w:p>
      <w:pPr>
        <w:spacing w:after="0" w:line="251"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27</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8" w:name="page189"/>
    <w:bookmarkEnd w:id="188"/>
    <w:p>
      <w:pPr>
        <w:jc w:val="center"/>
        <w:ind w:right="-1100"/>
        <w:spacing w:after="0"/>
        <w:rPr>
          <w:sz w:val="20"/>
          <w:szCs w:val="20"/>
          <w:color w:val="auto"/>
        </w:rPr>
      </w:pPr>
      <w:r>
        <w:rPr>
          <w:rFonts w:ascii="Arial" w:cs="Arial" w:eastAsia="Arial" w:hAnsi="Arial"/>
          <w:sz w:val="22"/>
          <w:szCs w:val="22"/>
          <w:b w:val="1"/>
          <w:bCs w:val="1"/>
          <w:color w:val="auto"/>
        </w:rPr>
        <w:t>EXHIBIT K</w:t>
      </w:r>
    </w:p>
    <w:p>
      <w:pPr>
        <w:spacing w:after="0" w:line="233"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ADVENT NOMINATING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28</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89" w:name="page190"/>
    <w:bookmarkEnd w:id="189"/>
    <w:p>
      <w:pPr>
        <w:jc w:val="center"/>
        <w:ind w:right="-1120"/>
        <w:spacing w:after="0"/>
        <w:rPr>
          <w:sz w:val="20"/>
          <w:szCs w:val="20"/>
          <w:color w:val="auto"/>
        </w:rPr>
      </w:pPr>
      <w:r>
        <w:rPr>
          <w:rFonts w:ascii="Arial" w:cs="Arial" w:eastAsia="Arial" w:hAnsi="Arial"/>
          <w:sz w:val="22"/>
          <w:szCs w:val="22"/>
          <w:b w:val="1"/>
          <w:bCs w:val="1"/>
          <w:color w:val="auto"/>
        </w:rPr>
        <w:t>EXHIBIT L</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SPECTRUM NOMINATING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29</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90" w:name="page191"/>
    <w:bookmarkEnd w:id="190"/>
    <w:p>
      <w:pPr>
        <w:jc w:val="center"/>
        <w:ind w:right="-1120"/>
        <w:spacing w:after="0"/>
        <w:rPr>
          <w:sz w:val="20"/>
          <w:szCs w:val="20"/>
          <w:color w:val="auto"/>
        </w:rPr>
      </w:pPr>
      <w:r>
        <w:rPr>
          <w:rFonts w:ascii="Arial" w:cs="Arial" w:eastAsia="Arial" w:hAnsi="Arial"/>
          <w:sz w:val="22"/>
          <w:szCs w:val="22"/>
          <w:b w:val="1"/>
          <w:bCs w:val="1"/>
          <w:color w:val="auto"/>
        </w:rPr>
        <w:t>EXHIBIT M</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KRANTZ NOMINATING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30</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91" w:name="page192"/>
    <w:bookmarkEnd w:id="191"/>
    <w:p>
      <w:pPr>
        <w:jc w:val="center"/>
        <w:ind w:right="-1120"/>
        <w:spacing w:after="0"/>
        <w:rPr>
          <w:sz w:val="20"/>
          <w:szCs w:val="20"/>
          <w:color w:val="auto"/>
        </w:rPr>
      </w:pPr>
      <w:r>
        <w:rPr>
          <w:rFonts w:ascii="Arial" w:cs="Arial" w:eastAsia="Arial" w:hAnsi="Arial"/>
          <w:sz w:val="22"/>
          <w:szCs w:val="22"/>
          <w:b w:val="1"/>
          <w:bCs w:val="1"/>
          <w:color w:val="auto"/>
        </w:rPr>
        <w:t>EXHIBIT N</w:t>
      </w:r>
    </w:p>
    <w:p>
      <w:pPr>
        <w:spacing w:after="0" w:line="233"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REGISTRATION RIGHTS AGREEMENT</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31</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WEIL:\98112265\7\40590.0003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Definitive Healthcare Corp.</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the other parties hereto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September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363220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93" w:name="page194"/>
    <w:bookmarkEnd w:id="193"/>
    <w:tbl>
      <w:tblPr>
        <w:tblLayout w:type="fixed"/>
        <w:tblInd w:w="160" w:type="dxa"/>
        <w:tblCellMar>
          <w:top w:w="0" w:type="dxa"/>
          <w:left w:w="0" w:type="dxa"/>
          <w:bottom w:w="0" w:type="dxa"/>
          <w:right w:w="0" w:type="dxa"/>
        </w:tblCellMar>
      </w:tblPr>
      <w:tr>
        <w:trPr>
          <w:trHeight w:val="280"/>
        </w:trPr>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740" w:type="dxa"/>
            <w:vAlign w:val="bottom"/>
          </w:tcPr>
          <w:p>
            <w:pPr>
              <w:ind w:left="1160"/>
              <w:spacing w:after="0"/>
              <w:rPr>
                <w:sz w:val="20"/>
                <w:szCs w:val="20"/>
                <w:color w:val="auto"/>
              </w:rPr>
            </w:pPr>
            <w:r>
              <w:rPr>
                <w:rFonts w:ascii="Arial" w:cs="Arial" w:eastAsia="Arial" w:hAnsi="Arial"/>
                <w:sz w:val="22"/>
                <w:szCs w:val="22"/>
                <w:b w:val="1"/>
                <w:bCs w:val="1"/>
                <w:color w:val="auto"/>
              </w:rPr>
              <w:t>TABLE OF CONTENTS</w:t>
            </w:r>
          </w:p>
        </w:tc>
        <w:tc>
          <w:tcPr>
            <w:tcW w:w="1020" w:type="dxa"/>
            <w:vAlign w:val="bottom"/>
          </w:tcPr>
          <w:p>
            <w:pPr>
              <w:spacing w:after="0"/>
              <w:rPr>
                <w:sz w:val="24"/>
                <w:szCs w:val="24"/>
                <w:color w:val="auto"/>
              </w:rPr>
            </w:pPr>
          </w:p>
        </w:tc>
      </w:tr>
      <w:tr>
        <w:trPr>
          <w:trHeight w:val="513"/>
        </w:trPr>
        <w:tc>
          <w:tcPr>
            <w:tcW w:w="1480" w:type="dxa"/>
            <w:vAlign w:val="bottom"/>
          </w:tcPr>
          <w:p>
            <w:pPr>
              <w:spacing w:after="0"/>
              <w:rPr>
                <w:sz w:val="20"/>
                <w:szCs w:val="20"/>
                <w:color w:val="auto"/>
              </w:rPr>
            </w:pPr>
            <w:r>
              <w:rPr>
                <w:rFonts w:ascii="Arial" w:cs="Arial" w:eastAsia="Arial" w:hAnsi="Arial"/>
                <w:sz w:val="22"/>
                <w:szCs w:val="22"/>
                <w:color w:val="auto"/>
              </w:rPr>
              <w:t>Section 1.</w:t>
            </w:r>
          </w:p>
        </w:tc>
        <w:tc>
          <w:tcPr>
            <w:tcW w:w="8400" w:type="dxa"/>
            <w:vAlign w:val="bottom"/>
            <w:gridSpan w:val="2"/>
          </w:tcPr>
          <w:p>
            <w:pPr>
              <w:ind w:left="640"/>
              <w:spacing w:after="0"/>
              <w:rPr>
                <w:sz w:val="20"/>
                <w:szCs w:val="20"/>
                <w:color w:val="auto"/>
              </w:rPr>
            </w:pPr>
            <w:r>
              <w:rPr>
                <w:rFonts w:ascii="Arial" w:cs="Arial" w:eastAsia="Arial" w:hAnsi="Arial"/>
                <w:sz w:val="22"/>
                <w:szCs w:val="22"/>
                <w:color w:val="auto"/>
              </w:rPr>
              <w:t>Certain Definitions</w:t>
            </w:r>
          </w:p>
        </w:tc>
        <w:tc>
          <w:tcPr>
            <w:tcW w:w="10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rPr>
              <w:t>Section 2.</w:t>
            </w:r>
          </w:p>
        </w:tc>
        <w:tc>
          <w:tcPr>
            <w:tcW w:w="8400" w:type="dxa"/>
            <w:vAlign w:val="bottom"/>
            <w:gridSpan w:val="2"/>
          </w:tcPr>
          <w:p>
            <w:pPr>
              <w:ind w:left="640"/>
              <w:spacing w:after="0"/>
              <w:rPr>
                <w:sz w:val="20"/>
                <w:szCs w:val="20"/>
                <w:color w:val="auto"/>
              </w:rPr>
            </w:pPr>
            <w:r>
              <w:rPr>
                <w:rFonts w:ascii="Arial" w:cs="Arial" w:eastAsia="Arial" w:hAnsi="Arial"/>
                <w:sz w:val="22"/>
                <w:szCs w:val="22"/>
                <w:color w:val="auto"/>
              </w:rPr>
              <w:t>Registration Rights</w:t>
            </w:r>
          </w:p>
        </w:tc>
        <w:tc>
          <w:tcPr>
            <w:tcW w:w="10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2.1.</w:t>
            </w:r>
          </w:p>
        </w:tc>
        <w:tc>
          <w:tcPr>
            <w:tcW w:w="6740" w:type="dxa"/>
            <w:vAlign w:val="bottom"/>
          </w:tcPr>
          <w:p>
            <w:pPr>
              <w:ind w:left="340"/>
              <w:spacing w:after="0"/>
              <w:rPr>
                <w:sz w:val="20"/>
                <w:szCs w:val="20"/>
                <w:color w:val="auto"/>
              </w:rPr>
            </w:pPr>
            <w:r>
              <w:rPr>
                <w:rFonts w:ascii="Arial" w:cs="Arial" w:eastAsia="Arial" w:hAnsi="Arial"/>
                <w:sz w:val="22"/>
                <w:szCs w:val="22"/>
                <w:color w:val="auto"/>
              </w:rPr>
              <w:t>Demand Registrations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2.2.</w:t>
            </w:r>
          </w:p>
        </w:tc>
        <w:tc>
          <w:tcPr>
            <w:tcW w:w="6740" w:type="dxa"/>
            <w:vAlign w:val="bottom"/>
          </w:tcPr>
          <w:p>
            <w:pPr>
              <w:ind w:left="340"/>
              <w:spacing w:after="0"/>
              <w:rPr>
                <w:sz w:val="20"/>
                <w:szCs w:val="20"/>
                <w:color w:val="auto"/>
              </w:rPr>
            </w:pPr>
            <w:r>
              <w:rPr>
                <w:rFonts w:ascii="Arial" w:cs="Arial" w:eastAsia="Arial" w:hAnsi="Arial"/>
                <w:sz w:val="22"/>
                <w:szCs w:val="22"/>
                <w:color w:val="auto"/>
              </w:rPr>
              <w:t>Piggyback Registrations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2.3.</w:t>
            </w:r>
          </w:p>
        </w:tc>
        <w:tc>
          <w:tcPr>
            <w:tcW w:w="6740" w:type="dxa"/>
            <w:vAlign w:val="bottom"/>
          </w:tcPr>
          <w:p>
            <w:pPr>
              <w:ind w:left="340"/>
              <w:spacing w:after="0"/>
              <w:rPr>
                <w:sz w:val="20"/>
                <w:szCs w:val="20"/>
                <w:color w:val="auto"/>
              </w:rPr>
            </w:pPr>
            <w:r>
              <w:rPr>
                <w:rFonts w:ascii="Arial" w:cs="Arial" w:eastAsia="Arial" w:hAnsi="Arial"/>
                <w:sz w:val="22"/>
                <w:szCs w:val="22"/>
                <w:color w:val="auto"/>
              </w:rPr>
              <w:t>Holdback Agreements</w:t>
            </w: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2.4.</w:t>
            </w:r>
          </w:p>
        </w:tc>
        <w:tc>
          <w:tcPr>
            <w:tcW w:w="6740" w:type="dxa"/>
            <w:vAlign w:val="bottom"/>
          </w:tcPr>
          <w:p>
            <w:pPr>
              <w:ind w:left="340"/>
              <w:spacing w:after="0"/>
              <w:rPr>
                <w:sz w:val="20"/>
                <w:szCs w:val="20"/>
                <w:color w:val="auto"/>
              </w:rPr>
            </w:pPr>
            <w:r>
              <w:rPr>
                <w:rFonts w:ascii="Arial" w:cs="Arial" w:eastAsia="Arial" w:hAnsi="Arial"/>
                <w:sz w:val="22"/>
                <w:szCs w:val="22"/>
                <w:color w:val="auto"/>
              </w:rPr>
              <w:t>Registration Procedures</w:t>
            </w: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2.5.</w:t>
            </w:r>
          </w:p>
        </w:tc>
        <w:tc>
          <w:tcPr>
            <w:tcW w:w="6740" w:type="dxa"/>
            <w:vAlign w:val="bottom"/>
          </w:tcPr>
          <w:p>
            <w:pPr>
              <w:ind w:left="340"/>
              <w:spacing w:after="0"/>
              <w:rPr>
                <w:sz w:val="20"/>
                <w:szCs w:val="20"/>
                <w:color w:val="auto"/>
              </w:rPr>
            </w:pPr>
            <w:r>
              <w:rPr>
                <w:rFonts w:ascii="Arial" w:cs="Arial" w:eastAsia="Arial" w:hAnsi="Arial"/>
                <w:sz w:val="22"/>
                <w:szCs w:val="22"/>
                <w:color w:val="auto"/>
              </w:rPr>
              <w:t>Registration Expenses</w:t>
            </w:r>
          </w:p>
        </w:tc>
        <w:tc>
          <w:tcPr>
            <w:tcW w:w="10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2.6.</w:t>
            </w:r>
          </w:p>
        </w:tc>
        <w:tc>
          <w:tcPr>
            <w:tcW w:w="6740" w:type="dxa"/>
            <w:vAlign w:val="bottom"/>
          </w:tcPr>
          <w:p>
            <w:pPr>
              <w:ind w:left="340"/>
              <w:spacing w:after="0"/>
              <w:rPr>
                <w:sz w:val="20"/>
                <w:szCs w:val="20"/>
                <w:color w:val="auto"/>
              </w:rPr>
            </w:pPr>
            <w:r>
              <w:rPr>
                <w:rFonts w:ascii="Arial" w:cs="Arial" w:eastAsia="Arial" w:hAnsi="Arial"/>
                <w:sz w:val="22"/>
                <w:szCs w:val="22"/>
                <w:color w:val="auto"/>
              </w:rPr>
              <w:t>No Required Sale</w:t>
            </w: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2.7.</w:t>
            </w:r>
          </w:p>
        </w:tc>
        <w:tc>
          <w:tcPr>
            <w:tcW w:w="6740" w:type="dxa"/>
            <w:vAlign w:val="bottom"/>
          </w:tcPr>
          <w:p>
            <w:pPr>
              <w:ind w:left="340"/>
              <w:spacing w:after="0"/>
              <w:rPr>
                <w:sz w:val="20"/>
                <w:szCs w:val="20"/>
                <w:color w:val="auto"/>
              </w:rPr>
            </w:pPr>
            <w:r>
              <w:rPr>
                <w:rFonts w:ascii="Arial" w:cs="Arial" w:eastAsia="Arial" w:hAnsi="Arial"/>
                <w:sz w:val="22"/>
                <w:szCs w:val="22"/>
                <w:color w:val="auto"/>
              </w:rPr>
              <w:t>Indemnification</w:t>
            </w: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2.8.</w:t>
            </w:r>
          </w:p>
        </w:tc>
        <w:tc>
          <w:tcPr>
            <w:tcW w:w="6740" w:type="dxa"/>
            <w:vAlign w:val="bottom"/>
          </w:tcPr>
          <w:p>
            <w:pPr>
              <w:ind w:left="340"/>
              <w:spacing w:after="0"/>
              <w:rPr>
                <w:sz w:val="20"/>
                <w:szCs w:val="20"/>
                <w:color w:val="auto"/>
              </w:rPr>
            </w:pPr>
            <w:r>
              <w:rPr>
                <w:rFonts w:ascii="Arial" w:cs="Arial" w:eastAsia="Arial" w:hAnsi="Arial"/>
                <w:sz w:val="22"/>
                <w:szCs w:val="22"/>
                <w:color w:val="auto"/>
              </w:rPr>
              <w:t>Participation in Underwritten Registrations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2.9.</w:t>
            </w:r>
          </w:p>
        </w:tc>
        <w:tc>
          <w:tcPr>
            <w:tcW w:w="6740" w:type="dxa"/>
            <w:vAlign w:val="bottom"/>
          </w:tcPr>
          <w:p>
            <w:pPr>
              <w:ind w:left="340"/>
              <w:spacing w:after="0"/>
              <w:rPr>
                <w:sz w:val="20"/>
                <w:szCs w:val="20"/>
                <w:color w:val="auto"/>
              </w:rPr>
            </w:pPr>
            <w:r>
              <w:rPr>
                <w:rFonts w:ascii="Arial" w:cs="Arial" w:eastAsia="Arial" w:hAnsi="Arial"/>
                <w:sz w:val="22"/>
                <w:szCs w:val="22"/>
                <w:color w:val="auto"/>
              </w:rPr>
              <w:t>No Inconsistent Agreements</w:t>
            </w: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2.10.</w:t>
            </w:r>
          </w:p>
        </w:tc>
        <w:tc>
          <w:tcPr>
            <w:tcW w:w="6740" w:type="dxa"/>
            <w:vAlign w:val="bottom"/>
          </w:tcPr>
          <w:p>
            <w:pPr>
              <w:ind w:left="340"/>
              <w:spacing w:after="0"/>
              <w:rPr>
                <w:sz w:val="20"/>
                <w:szCs w:val="20"/>
                <w:color w:val="auto"/>
              </w:rPr>
            </w:pPr>
            <w:r>
              <w:rPr>
                <w:rFonts w:ascii="Arial" w:cs="Arial" w:eastAsia="Arial" w:hAnsi="Arial"/>
                <w:sz w:val="22"/>
                <w:szCs w:val="22"/>
                <w:color w:val="auto"/>
              </w:rPr>
              <w:t>Adjustments Affecting Registrable Securities</w:t>
            </w: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rPr>
              <w:t>Section 3.</w:t>
            </w:r>
          </w:p>
        </w:tc>
        <w:tc>
          <w:tcPr>
            <w:tcW w:w="1660" w:type="dxa"/>
            <w:vAlign w:val="bottom"/>
          </w:tcPr>
          <w:p>
            <w:pPr>
              <w:ind w:left="640"/>
              <w:spacing w:after="0"/>
              <w:rPr>
                <w:sz w:val="20"/>
                <w:szCs w:val="20"/>
                <w:color w:val="auto"/>
              </w:rPr>
            </w:pPr>
            <w:r>
              <w:rPr>
                <w:rFonts w:ascii="Arial" w:cs="Arial" w:eastAsia="Arial" w:hAnsi="Arial"/>
                <w:sz w:val="22"/>
                <w:szCs w:val="22"/>
                <w:color w:val="auto"/>
              </w:rPr>
              <w:t>General</w:t>
            </w:r>
          </w:p>
        </w:tc>
        <w:tc>
          <w:tcPr>
            <w:tcW w:w="6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3.1.</w:t>
            </w:r>
          </w:p>
        </w:tc>
        <w:tc>
          <w:tcPr>
            <w:tcW w:w="6740" w:type="dxa"/>
            <w:vAlign w:val="bottom"/>
          </w:tcPr>
          <w:p>
            <w:pPr>
              <w:ind w:left="340"/>
              <w:spacing w:after="0"/>
              <w:rPr>
                <w:sz w:val="20"/>
                <w:szCs w:val="20"/>
                <w:color w:val="auto"/>
              </w:rPr>
            </w:pPr>
            <w:r>
              <w:rPr>
                <w:rFonts w:ascii="Arial" w:cs="Arial" w:eastAsia="Arial" w:hAnsi="Arial"/>
                <w:sz w:val="22"/>
                <w:szCs w:val="22"/>
                <w:color w:val="auto"/>
              </w:rPr>
              <w:t>Rule 144 and Rule 144A</w:t>
            </w: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3.2.</w:t>
            </w:r>
          </w:p>
        </w:tc>
        <w:tc>
          <w:tcPr>
            <w:tcW w:w="6740" w:type="dxa"/>
            <w:vAlign w:val="bottom"/>
          </w:tcPr>
          <w:p>
            <w:pPr>
              <w:ind w:left="340"/>
              <w:spacing w:after="0"/>
              <w:rPr>
                <w:sz w:val="20"/>
                <w:szCs w:val="20"/>
                <w:color w:val="auto"/>
              </w:rPr>
            </w:pPr>
            <w:r>
              <w:rPr>
                <w:rFonts w:ascii="Arial" w:cs="Arial" w:eastAsia="Arial" w:hAnsi="Arial"/>
                <w:sz w:val="22"/>
                <w:szCs w:val="22"/>
                <w:color w:val="auto"/>
              </w:rPr>
              <w:t>Nominees for Beneficial Owners</w:t>
            </w: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3.3.</w:t>
            </w:r>
          </w:p>
        </w:tc>
        <w:tc>
          <w:tcPr>
            <w:tcW w:w="6740" w:type="dxa"/>
            <w:vAlign w:val="bottom"/>
          </w:tcPr>
          <w:p>
            <w:pPr>
              <w:ind w:left="340"/>
              <w:spacing w:after="0"/>
              <w:rPr>
                <w:sz w:val="20"/>
                <w:szCs w:val="20"/>
                <w:color w:val="auto"/>
              </w:rPr>
            </w:pPr>
            <w:r>
              <w:rPr>
                <w:rFonts w:ascii="Arial" w:cs="Arial" w:eastAsia="Arial" w:hAnsi="Arial"/>
                <w:sz w:val="22"/>
                <w:szCs w:val="22"/>
                <w:color w:val="auto"/>
              </w:rPr>
              <w:t>Amendments and Waivers</w:t>
            </w: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3.4.</w:t>
            </w:r>
          </w:p>
        </w:tc>
        <w:tc>
          <w:tcPr>
            <w:tcW w:w="6740" w:type="dxa"/>
            <w:vAlign w:val="bottom"/>
          </w:tcPr>
          <w:p>
            <w:pPr>
              <w:ind w:left="340"/>
              <w:spacing w:after="0"/>
              <w:rPr>
                <w:sz w:val="20"/>
                <w:szCs w:val="20"/>
                <w:color w:val="auto"/>
              </w:rPr>
            </w:pPr>
            <w:r>
              <w:rPr>
                <w:rFonts w:ascii="Arial" w:cs="Arial" w:eastAsia="Arial" w:hAnsi="Arial"/>
                <w:sz w:val="22"/>
                <w:szCs w:val="22"/>
                <w:color w:val="auto"/>
              </w:rPr>
              <w:t>Notices</w:t>
            </w: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3.5.</w:t>
            </w:r>
          </w:p>
        </w:tc>
        <w:tc>
          <w:tcPr>
            <w:tcW w:w="6740" w:type="dxa"/>
            <w:vAlign w:val="bottom"/>
          </w:tcPr>
          <w:p>
            <w:pPr>
              <w:ind w:left="340"/>
              <w:spacing w:after="0"/>
              <w:rPr>
                <w:sz w:val="20"/>
                <w:szCs w:val="20"/>
                <w:color w:val="auto"/>
              </w:rPr>
            </w:pPr>
            <w:r>
              <w:rPr>
                <w:rFonts w:ascii="Arial" w:cs="Arial" w:eastAsia="Arial" w:hAnsi="Arial"/>
                <w:sz w:val="22"/>
                <w:szCs w:val="22"/>
                <w:color w:val="auto"/>
              </w:rPr>
              <w:t>Successors and Assigns</w:t>
            </w:r>
          </w:p>
        </w:tc>
        <w:tc>
          <w:tcPr>
            <w:tcW w:w="10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3.6.</w:t>
            </w:r>
          </w:p>
        </w:tc>
        <w:tc>
          <w:tcPr>
            <w:tcW w:w="6740" w:type="dxa"/>
            <w:vAlign w:val="bottom"/>
          </w:tcPr>
          <w:p>
            <w:pPr>
              <w:ind w:left="340"/>
              <w:spacing w:after="0"/>
              <w:rPr>
                <w:sz w:val="20"/>
                <w:szCs w:val="20"/>
                <w:color w:val="auto"/>
              </w:rPr>
            </w:pPr>
            <w:r>
              <w:rPr>
                <w:rFonts w:ascii="Arial" w:cs="Arial" w:eastAsia="Arial" w:hAnsi="Arial"/>
                <w:sz w:val="22"/>
                <w:szCs w:val="22"/>
                <w:color w:val="auto"/>
              </w:rPr>
              <w:t>Entire Agreement</w:t>
            </w:r>
          </w:p>
        </w:tc>
        <w:tc>
          <w:tcPr>
            <w:tcW w:w="10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3.7.</w:t>
            </w:r>
          </w:p>
        </w:tc>
        <w:tc>
          <w:tcPr>
            <w:tcW w:w="6740" w:type="dxa"/>
            <w:vAlign w:val="bottom"/>
          </w:tcPr>
          <w:p>
            <w:pPr>
              <w:ind w:left="340"/>
              <w:spacing w:after="0"/>
              <w:rPr>
                <w:sz w:val="20"/>
                <w:szCs w:val="20"/>
                <w:color w:val="auto"/>
              </w:rPr>
            </w:pPr>
            <w:r>
              <w:rPr>
                <w:rFonts w:ascii="Arial" w:cs="Arial" w:eastAsia="Arial" w:hAnsi="Arial"/>
                <w:sz w:val="22"/>
                <w:szCs w:val="22"/>
                <w:color w:val="auto"/>
              </w:rPr>
              <w:t>Governing Law; Submission to Jurisdiction; Waiver of Jury Trial</w:t>
            </w:r>
          </w:p>
        </w:tc>
        <w:tc>
          <w:tcPr>
            <w:tcW w:w="10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3.8.</w:t>
            </w:r>
          </w:p>
        </w:tc>
        <w:tc>
          <w:tcPr>
            <w:tcW w:w="6740" w:type="dxa"/>
            <w:vAlign w:val="bottom"/>
          </w:tcPr>
          <w:p>
            <w:pPr>
              <w:ind w:left="340"/>
              <w:spacing w:after="0"/>
              <w:rPr>
                <w:sz w:val="20"/>
                <w:szCs w:val="20"/>
                <w:color w:val="auto"/>
              </w:rPr>
            </w:pPr>
            <w:r>
              <w:rPr>
                <w:rFonts w:ascii="Arial" w:cs="Arial" w:eastAsia="Arial" w:hAnsi="Arial"/>
                <w:sz w:val="22"/>
                <w:szCs w:val="22"/>
                <w:color w:val="auto"/>
              </w:rPr>
              <w:t>Interpretation; Construction</w:t>
            </w:r>
          </w:p>
        </w:tc>
        <w:tc>
          <w:tcPr>
            <w:tcW w:w="10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3.9.</w:t>
            </w:r>
          </w:p>
        </w:tc>
        <w:tc>
          <w:tcPr>
            <w:tcW w:w="6740" w:type="dxa"/>
            <w:vAlign w:val="bottom"/>
          </w:tcPr>
          <w:p>
            <w:pPr>
              <w:ind w:left="340"/>
              <w:spacing w:after="0"/>
              <w:rPr>
                <w:sz w:val="20"/>
                <w:szCs w:val="20"/>
                <w:color w:val="auto"/>
              </w:rPr>
            </w:pPr>
            <w:r>
              <w:rPr>
                <w:rFonts w:ascii="Arial" w:cs="Arial" w:eastAsia="Arial" w:hAnsi="Arial"/>
                <w:sz w:val="22"/>
                <w:szCs w:val="22"/>
                <w:color w:val="auto"/>
              </w:rPr>
              <w:t>Counterparts</w:t>
            </w:r>
          </w:p>
        </w:tc>
        <w:tc>
          <w:tcPr>
            <w:tcW w:w="10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3.10.</w:t>
            </w:r>
          </w:p>
        </w:tc>
        <w:tc>
          <w:tcPr>
            <w:tcW w:w="6740" w:type="dxa"/>
            <w:vAlign w:val="bottom"/>
          </w:tcPr>
          <w:p>
            <w:pPr>
              <w:ind w:left="340"/>
              <w:spacing w:after="0"/>
              <w:rPr>
                <w:sz w:val="20"/>
                <w:szCs w:val="20"/>
                <w:color w:val="auto"/>
              </w:rPr>
            </w:pPr>
            <w:r>
              <w:rPr>
                <w:rFonts w:ascii="Arial" w:cs="Arial" w:eastAsia="Arial" w:hAnsi="Arial"/>
                <w:sz w:val="22"/>
                <w:szCs w:val="22"/>
                <w:color w:val="auto"/>
              </w:rPr>
              <w:t>Severability</w:t>
            </w:r>
          </w:p>
        </w:tc>
        <w:tc>
          <w:tcPr>
            <w:tcW w:w="10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3.11.</w:t>
            </w:r>
          </w:p>
        </w:tc>
        <w:tc>
          <w:tcPr>
            <w:tcW w:w="6740" w:type="dxa"/>
            <w:vAlign w:val="bottom"/>
          </w:tcPr>
          <w:p>
            <w:pPr>
              <w:ind w:left="340"/>
              <w:spacing w:after="0"/>
              <w:rPr>
                <w:sz w:val="20"/>
                <w:szCs w:val="20"/>
                <w:color w:val="auto"/>
              </w:rPr>
            </w:pPr>
            <w:r>
              <w:rPr>
                <w:rFonts w:ascii="Arial" w:cs="Arial" w:eastAsia="Arial" w:hAnsi="Arial"/>
                <w:sz w:val="22"/>
                <w:szCs w:val="22"/>
                <w:color w:val="auto"/>
              </w:rPr>
              <w:t>Remedies</w:t>
            </w:r>
          </w:p>
        </w:tc>
        <w:tc>
          <w:tcPr>
            <w:tcW w:w="10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3.12.</w:t>
            </w:r>
          </w:p>
        </w:tc>
        <w:tc>
          <w:tcPr>
            <w:tcW w:w="6740" w:type="dxa"/>
            <w:vAlign w:val="bottom"/>
          </w:tcPr>
          <w:p>
            <w:pPr>
              <w:ind w:left="340"/>
              <w:spacing w:after="0"/>
              <w:rPr>
                <w:sz w:val="20"/>
                <w:szCs w:val="20"/>
                <w:color w:val="auto"/>
              </w:rPr>
            </w:pPr>
            <w:r>
              <w:rPr>
                <w:rFonts w:ascii="Arial" w:cs="Arial" w:eastAsia="Arial" w:hAnsi="Arial"/>
                <w:sz w:val="22"/>
                <w:szCs w:val="22"/>
                <w:color w:val="auto"/>
              </w:rPr>
              <w:t>Further Assurances</w:t>
            </w:r>
          </w:p>
        </w:tc>
        <w:tc>
          <w:tcPr>
            <w:tcW w:w="10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3.13.</w:t>
            </w:r>
          </w:p>
        </w:tc>
        <w:tc>
          <w:tcPr>
            <w:tcW w:w="6740" w:type="dxa"/>
            <w:vAlign w:val="bottom"/>
          </w:tcPr>
          <w:p>
            <w:pPr>
              <w:ind w:left="340"/>
              <w:spacing w:after="0"/>
              <w:rPr>
                <w:sz w:val="20"/>
                <w:szCs w:val="20"/>
                <w:color w:val="auto"/>
              </w:rPr>
            </w:pPr>
            <w:r>
              <w:rPr>
                <w:rFonts w:ascii="Arial" w:cs="Arial" w:eastAsia="Arial" w:hAnsi="Arial"/>
                <w:sz w:val="22"/>
                <w:szCs w:val="22"/>
                <w:color w:val="auto"/>
              </w:rPr>
              <w:t>Confidentiality</w:t>
            </w:r>
          </w:p>
        </w:tc>
        <w:tc>
          <w:tcPr>
            <w:tcW w:w="10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1480" w:type="dxa"/>
            <w:vAlign w:val="bottom"/>
          </w:tcPr>
          <w:p>
            <w:pPr>
              <w:spacing w:after="0"/>
              <w:rPr>
                <w:sz w:val="24"/>
                <w:szCs w:val="24"/>
                <w:color w:val="auto"/>
              </w:rPr>
            </w:pPr>
          </w:p>
        </w:tc>
        <w:tc>
          <w:tcPr>
            <w:tcW w:w="1660" w:type="dxa"/>
            <w:vAlign w:val="bottom"/>
          </w:tcPr>
          <w:p>
            <w:pPr>
              <w:ind w:left="700"/>
              <w:spacing w:after="0"/>
              <w:rPr>
                <w:sz w:val="20"/>
                <w:szCs w:val="20"/>
                <w:color w:val="auto"/>
              </w:rPr>
            </w:pPr>
            <w:r>
              <w:rPr>
                <w:rFonts w:ascii="Arial" w:cs="Arial" w:eastAsia="Arial" w:hAnsi="Arial"/>
                <w:sz w:val="22"/>
                <w:szCs w:val="22"/>
                <w:color w:val="auto"/>
              </w:rPr>
              <w:t>3.14.</w:t>
            </w:r>
          </w:p>
        </w:tc>
        <w:tc>
          <w:tcPr>
            <w:tcW w:w="6740" w:type="dxa"/>
            <w:vAlign w:val="bottom"/>
          </w:tcPr>
          <w:p>
            <w:pPr>
              <w:ind w:left="340"/>
              <w:spacing w:after="0"/>
              <w:rPr>
                <w:sz w:val="20"/>
                <w:szCs w:val="20"/>
                <w:color w:val="auto"/>
              </w:rPr>
            </w:pPr>
            <w:r>
              <w:rPr>
                <w:rFonts w:ascii="Arial" w:cs="Arial" w:eastAsia="Arial" w:hAnsi="Arial"/>
                <w:sz w:val="22"/>
                <w:szCs w:val="22"/>
                <w:color w:val="auto"/>
              </w:rPr>
              <w:t>Termination and Effect of 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 Key Holders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 Advent Persons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 Joinder</w:t>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55" w:right="519" w:bottom="1440" w:gutter="0" w:footer="0" w:header="0"/>
        </w:sectPr>
      </w:pPr>
    </w:p>
    <w:bookmarkStart w:id="194" w:name="page195"/>
    <w:bookmarkEnd w:id="194"/>
    <w:p>
      <w:pPr>
        <w:ind w:left="760"/>
        <w:spacing w:after="0"/>
        <w:rPr>
          <w:sz w:val="20"/>
          <w:szCs w:val="20"/>
          <w:color w:val="auto"/>
        </w:rPr>
      </w:pPr>
      <w:r>
        <w:rPr>
          <w:rFonts w:ascii="Arial" w:cs="Arial" w:eastAsia="Arial" w:hAnsi="Arial"/>
          <w:sz w:val="19"/>
          <w:szCs w:val="19"/>
          <w:color w:val="auto"/>
        </w:rPr>
        <w:t>This REGISTRATION RIGHTS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September 14, 2021, by and among</w:t>
      </w:r>
    </w:p>
    <w:p>
      <w:pPr>
        <w:spacing w:after="0" w:line="56" w:lineRule="exact"/>
        <w:rPr>
          <w:sz w:val="20"/>
          <w:szCs w:val="20"/>
          <w:color w:val="auto"/>
        </w:rPr>
      </w:pPr>
    </w:p>
    <w:p>
      <w:pPr>
        <w:ind w:firstLine="8"/>
        <w:spacing w:after="0" w:line="272" w:lineRule="auto"/>
        <w:tabs>
          <w:tab w:leader="none" w:pos="28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Definitive Healthcare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(ii) each of the Persons listed on the signature pages 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has determined to effect an underwritten initial public offering (the “</w:t>
      </w:r>
      <w:r>
        <w:rPr>
          <w:rFonts w:ascii="Arial" w:cs="Arial" w:eastAsia="Arial" w:hAnsi="Arial"/>
          <w:sz w:val="22"/>
          <w:szCs w:val="22"/>
          <w:u w:val="single" w:color="auto"/>
          <w:color w:val="auto"/>
        </w:rPr>
        <w:t>IPO</w:t>
      </w:r>
      <w:r>
        <w:rPr>
          <w:rFonts w:ascii="Arial" w:cs="Arial" w:eastAsia="Arial" w:hAnsi="Arial"/>
          <w:sz w:val="22"/>
          <w:szCs w:val="22"/>
          <w:color w:val="auto"/>
        </w:rPr>
        <w:t>”) of Pubco’s Class A Common Stock (as defined below); and</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WHEREAS, in connection with the IPO, the parties desire to set forth certain registration rights applicable to the Registrable Securities.</w:t>
      </w:r>
    </w:p>
    <w:p>
      <w:pPr>
        <w:spacing w:after="0" w:line="1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NOW, THEREFORE, in consideration of the premises and of the mutual covenants and obligations hereinafter set forth, and for other good and valuable consideration the receipt and sufficiency of which are hereby acknowledged, the parties hereto hereby agree as follows: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As used herein, the following terms shall have the following meanings:</w:t>
      </w:r>
    </w:p>
    <w:p>
      <w:pPr>
        <w:spacing w:after="0" w:line="233"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22C</w:t>
      </w:r>
      <w:r>
        <w:rPr>
          <w:rFonts w:ascii="Arial" w:cs="Arial" w:eastAsia="Arial" w:hAnsi="Arial"/>
          <w:sz w:val="22"/>
          <w:szCs w:val="22"/>
          <w:color w:val="auto"/>
        </w:rPr>
        <w:t>” means collectively, 22C Capital GP I, L.L.C. 22C Capital I, L.P., 22C AIDH AIV LLC collectively, and any of their permitted transferees and any of their Permitted Transferees.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Advent</w:t>
      </w:r>
      <w:r>
        <w:rPr>
          <w:rFonts w:ascii="Arial" w:cs="Arial" w:eastAsia="Arial" w:hAnsi="Arial"/>
          <w:sz w:val="22"/>
          <w:szCs w:val="22"/>
          <w:color w:val="auto"/>
        </w:rPr>
        <w:t xml:space="preserve">” means collectively, the Persons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and any of their Permitted Transferees.</w:t>
      </w:r>
    </w:p>
    <w:p>
      <w:pPr>
        <w:spacing w:after="0" w:line="23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the ownership of voting securities, contract or otherwise. For the avoidance of doubt, neither the Company nor any Person controlled by the Company shall be deemed to be an Affiliate of any Holder.</w:t>
      </w:r>
    </w:p>
    <w:p>
      <w:pPr>
        <w:spacing w:after="0" w:line="190"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Registration Rights Agreement, as this agreement may be amended, modified, supplemented or restated from time to time after the date hereof.</w:t>
      </w:r>
    </w:p>
    <w:p>
      <w:pPr>
        <w:spacing w:after="0" w:line="1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shall mean, with respect to a specified Person, the ownership of securities as determined in accordance with Rule 13d-3 of the Exchange Act, as such Rule is in effect from time to time. The terms “</w:t>
      </w:r>
      <w:r>
        <w:rPr>
          <w:rFonts w:ascii="Arial" w:cs="Arial" w:eastAsia="Arial" w:hAnsi="Arial"/>
          <w:sz w:val="22"/>
          <w:szCs w:val="22"/>
          <w:u w:val="single" w:color="auto"/>
          <w:color w:val="auto"/>
        </w:rPr>
        <w:t>Beneficially Own</w:t>
      </w:r>
      <w:r>
        <w:rPr>
          <w:rFonts w:ascii="Arial" w:cs="Arial" w:eastAsia="Arial" w:hAnsi="Arial"/>
          <w:sz w:val="22"/>
          <w:szCs w:val="22"/>
          <w:color w:val="auto"/>
        </w:rPr>
        <w:t>” and “</w:t>
      </w:r>
      <w:r>
        <w:rPr>
          <w:rFonts w:ascii="Arial" w:cs="Arial" w:eastAsia="Arial" w:hAnsi="Arial"/>
          <w:sz w:val="22"/>
          <w:szCs w:val="22"/>
          <w:u w:val="single" w:color="auto"/>
          <w:color w:val="auto"/>
        </w:rPr>
        <w:t>Beneficial Owner</w:t>
      </w:r>
      <w:r>
        <w:rPr>
          <w:rFonts w:ascii="Arial" w:cs="Arial" w:eastAsia="Arial" w:hAnsi="Arial"/>
          <w:sz w:val="22"/>
          <w:szCs w:val="22"/>
          <w:color w:val="auto"/>
        </w:rPr>
        <w:t>” shall have a correlative meaning.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Definitive Healthcare Corp.</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 day other than a Saturday, Sunday, or federal holiday or other day on which commercial banks in the City of New York are authorized or required by law or other governmental action to close.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5" w:name="page196"/>
    <w:bookmarkEnd w:id="195"/>
    <w:p>
      <w:pPr>
        <w:jc w:val="both"/>
        <w:ind w:firstLine="749"/>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shall mean the shares of Class A Common Stock, $0.001 par value per share, of the Company, and any and all securities of any kind whatsoever which may be issued after the date hereof in respect of, or in exchange for, such shares of common stock of the Company pursuant to a merger, consolidation, stock split, stock dividend or recapitalization of the Company or otherwise.</w:t>
      </w:r>
    </w:p>
    <w:p>
      <w:pPr>
        <w:spacing w:after="0" w:line="19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all options, warrants, LLC Units and other securities convertible into, or exchangeable or exercisable for (at any time or upon the occurrence of any event or contingency and without regard to any vesting or other conditions to which such securities may be subject) shares of capital stock or other equity securities of such Person (including, without limitation, any note or debt security convertible into or exchangeable for shares of capital stock or other equity securities of such Person).</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Exercise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Request</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33"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SEC issued under such Act, as they may from time to time be in effect.</w:t>
      </w:r>
    </w:p>
    <w:p>
      <w:pPr>
        <w:spacing w:after="0" w:line="174"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means any and all fees and expenses incident to the Company’s performance of or compliance with Article 2, including, without limitation: (i) SEC, stock exchange or FINRA, and all other registration and filing fees and all listing fees and fees with respect to the inclusion of securities on the Nasdaq Global Select Market or on any other securities market on which the Class A Common Stock is listed or quoted, (ii) fees and expenses of compliance with state securities or “blue sky” laws of any state or jurisdiction of the United States or compliance with the securities laws of foreign jurisdictions and in connection with the preparation of a “blue sky” survey, including, without limitation, reasonable fees and expenses of outside “blue sky” counsel and securities counsel in foreign jurisdictions, (iii) word processing, printing and copying expenses, (iv) messenger and delivery expenses, (v) expenses incurred in connection with any road show, (vi) fees and disbursements of counsel for the Company, (vii) with respect to each registration or underwritten offering, the reasonable fees and disbursements of counsel for the Participating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fees of each of Advent, Spectrum and 22C and each other Participating Holder shall not exceed $75,000 per registration or underwritten offering, (viii) fees and disbursements of all independent public accountants (including the expenses of any audit and/or comfort letter and updates thereof) and fees and expenses of other Persons, including special experts, retained by the Company, (ix) fees and expenses payable to any Qualified Independent Underwriter, (x) any other fees and disbursements of underwriters, if any, customarily paid by issuers or sellers of securities, including reasonable fees and expenses of counsel for the underwriters in connection with any filing with or review by FINRA (excluding, for the avoidance of doubt, any underwriting discount, commissions, or spread), (xi) fees and expenses of any transfer agent or custodian and (xii) expenses for securities law liability insurance and any rating agency fees.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6" w:name="page197"/>
    <w:bookmarkEnd w:id="196"/>
    <w:p>
      <w:pPr>
        <w:jc w:val="both"/>
        <w:ind w:firstLine="749"/>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Family Member</w:t>
      </w:r>
      <w:r>
        <w:rPr>
          <w:rFonts w:ascii="Arial" w:cs="Arial" w:eastAsia="Arial" w:hAnsi="Arial"/>
          <w:sz w:val="21"/>
          <w:szCs w:val="21"/>
          <w:color w:val="auto"/>
        </w:rPr>
        <w:t>” means, with respect to any Person who is an individual, any spouse, parent, siblings or lineal descendants of such Person (including adoptive relationships) and any trust or other estate planning vehicle over which such Person has “control” (as defined in the definition of “Affiliate”) established for the benefit of such Person and/or such Person’s spouse and/or such Person’s descendants (by birth or adoption), parents, siblings or dependents.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3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Holder(s)</w:t>
      </w:r>
      <w:r>
        <w:rPr>
          <w:rFonts w:ascii="Arial" w:cs="Arial" w:eastAsia="Arial" w:hAnsi="Arial"/>
          <w:sz w:val="22"/>
          <w:szCs w:val="22"/>
          <w:color w:val="auto"/>
        </w:rPr>
        <w:t xml:space="preserve">” means (1) any Person who is a signatory to this Agreement (other than the Company), or (2) any Permitted Transferee to whom any such Person who is a signatory to this Agreement shall assign or transfer any rights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in the case of clause (2), such Person or such transferee, as applicable, has executed and delivered to the Company a joinder agreement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and has thereby agreed in writing to be bound by this Agreement in respect of such Registrable Securities.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Incidental Registration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Holder(s)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has the meaning ascribed to such term in the Preamble.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Key Holders</w:t>
      </w:r>
      <w:r>
        <w:rPr>
          <w:rFonts w:ascii="Arial" w:cs="Arial" w:eastAsia="Arial" w:hAnsi="Arial"/>
          <w:sz w:val="19"/>
          <w:szCs w:val="19"/>
          <w:color w:val="auto"/>
        </w:rPr>
        <w:t>” means the parties set forth on Schedule I hereto and any of their respective Permitted Transferees.</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Krantz Holder</w:t>
      </w:r>
      <w:r>
        <w:rPr>
          <w:rFonts w:ascii="Arial" w:cs="Arial" w:eastAsia="Arial" w:hAnsi="Arial"/>
          <w:sz w:val="22"/>
          <w:szCs w:val="22"/>
          <w:color w:val="auto"/>
        </w:rPr>
        <w:t>” means collectively, Jason R. Krantz and any of his Permitted Transferees.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law (including common law), statute, code, ordinance rule or regulation of any governmental entity.</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action, proceeding or investigation in any court or before any governmental authority.</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means the Second Amended and Restated Limited Liability Company Agreement of AIDH TopCo, LLC, a Delaware limited liability company.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LLC Unit</w:t>
      </w:r>
      <w:r>
        <w:rPr>
          <w:rFonts w:ascii="Arial" w:cs="Arial" w:eastAsia="Arial" w:hAnsi="Arial"/>
          <w:sz w:val="19"/>
          <w:szCs w:val="19"/>
          <w:color w:val="auto"/>
        </w:rPr>
        <w:t>” means a limited liability interest in AIDH TopCo, LLC or any other class of limited liability interests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LLC.</w:t>
      </w:r>
    </w:p>
    <w:p>
      <w:pPr>
        <w:spacing w:after="0" w:line="229"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Lock-Up Agreement</w:t>
      </w:r>
      <w:r>
        <w:rPr>
          <w:rFonts w:ascii="Arial" w:cs="Arial" w:eastAsia="Arial" w:hAnsi="Arial"/>
          <w:sz w:val="22"/>
          <w:szCs w:val="22"/>
          <w:color w:val="auto"/>
        </w:rPr>
        <w:t>” means any agreement entered into by a Holder that provides for restrictions on the transfer of Registrable Securities held by such Holder.</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Form Registrations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Participating Holders</w:t>
      </w:r>
      <w:r>
        <w:rPr>
          <w:rFonts w:ascii="Arial" w:cs="Arial" w:eastAsia="Arial" w:hAnsi="Arial"/>
          <w:sz w:val="22"/>
          <w:szCs w:val="22"/>
          <w:color w:val="auto"/>
        </w:rPr>
        <w:t xml:space="preserve">” means Participating Holders holding more than 50% of the Registrable Securities proposed to be included in any offering of Registrable Securities by such Participating Holders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w:t>
      </w:r>
      <w:r>
        <w:rPr>
          <w:rFonts w:ascii="Arial" w:cs="Arial" w:eastAsia="Arial" w:hAnsi="Arial"/>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Opt-Out Request</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3.13(c)</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7" w:name="page198"/>
    <w:bookmarkEnd w:id="197"/>
    <w:p>
      <w:pPr>
        <w:jc w:val="both"/>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Holders</w:t>
      </w:r>
      <w:r>
        <w:rPr>
          <w:rFonts w:ascii="Arial" w:cs="Arial" w:eastAsia="Arial" w:hAnsi="Arial"/>
          <w:sz w:val="22"/>
          <w:szCs w:val="22"/>
          <w:color w:val="auto"/>
        </w:rPr>
        <w:t xml:space="preserve">” means all Holders of Registrable Securities which are proposed to be included in any offering of Registrable Securities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Transferee</w:t>
      </w:r>
      <w:r>
        <w:rPr>
          <w:rFonts w:ascii="Arial" w:cs="Arial" w:eastAsia="Arial" w:hAnsi="Arial"/>
          <w:sz w:val="21"/>
          <w:szCs w:val="21"/>
          <w:color w:val="auto"/>
        </w:rPr>
        <w:t>” (a) in the case of a Holder who is an individual, (i) any executor, administrator or testamentary trustee of such Holder’s estate if such Holder dies, (ii) any Person receiving Registerable Securities of such Holder by will, intestacy laws or the laws of descent or survivorship, (iii) any trustee of a trust (including an inter vivos trust) of which there are no principal beneficiaries other than such Holder or one or more Family Members of such Holder over which such Holder has “control” (as defined in the definition of “Affiliate”), or (iv) any private foundation or similar charitable organization over which such Holder has “control” (as defined in the definition of “Affiliate”) and (b) in the case of a Holder that is not an individual, its Affiliates, its limited partners, and its limited liability company members.</w:t>
      </w:r>
    </w:p>
    <w:p>
      <w:pPr>
        <w:spacing w:after="0" w:line="18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(including not for profit), general or limited partnership, limited liability company, joint venture, estate, trust, association, joint-stock company, unincorporated organization, governmental entity or agency or other entity of any kind or nature.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2.2(a).</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Policies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3.13(b)</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Independent Underwriter</w:t>
      </w:r>
      <w:r>
        <w:rPr>
          <w:rFonts w:ascii="Arial" w:cs="Arial" w:eastAsia="Arial" w:hAnsi="Arial"/>
          <w:sz w:val="19"/>
          <w:szCs w:val="19"/>
          <w:color w:val="auto"/>
        </w:rPr>
        <w:t>” means a “qualified independent underwriter” within the meaning of FINRA Rule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5121.</w:t>
      </w:r>
    </w:p>
    <w:p>
      <w:pPr>
        <w:spacing w:after="0" w:line="229"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(a) any shares of Class A Common Stock held by the Holders at any time (including those held as a result of, or issuable upon, the Exchange, conversion or exercise of Common Stock Equivalents), whether now owned or acquired by the Holders at a later time, (b) any shares of Class A Common Stock issued or issuable, directly or indirectly, in exchange for or with respect to the Class A Common Stock referenced in clause (a) above by way of stock dividend, stock split or combination of shares in connection with a reclassification, recapitalization, merger, share exchange, consolidation or other reorganization and (c) any securities issued in replacement of or exchange for any securities described in clause (a) or (b) above. As to any particular Registrable Securities, such securities shall cease to be Registrable Securities when (A) a registration statement with respect to the sale of such securities shall have been declared effective under the Securities Act and such securities shall have been disposed of in accordance with such registration statement, (B) such securities are able to be immediately sold pursuant to Rule 144 without restrictions as to volume limitations and (C) such securities are otherwise transferred or sold, the Company has delivered a new certificate or other evidence of ownership for such securities not bearing a legend and such securities may be resold without subsequent registration under the Securities Act.</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and “</w:t>
      </w:r>
      <w:r>
        <w:rPr>
          <w:rFonts w:ascii="Arial" w:cs="Arial" w:eastAsia="Arial" w:hAnsi="Arial"/>
          <w:sz w:val="22"/>
          <w:szCs w:val="22"/>
          <w:u w:val="single" w:color="auto"/>
          <w:color w:val="auto"/>
        </w:rPr>
        <w:t>Rule 144A</w:t>
      </w:r>
      <w:r>
        <w:rPr>
          <w:rFonts w:ascii="Arial" w:cs="Arial" w:eastAsia="Arial" w:hAnsi="Arial"/>
          <w:sz w:val="22"/>
          <w:szCs w:val="22"/>
          <w:color w:val="auto"/>
        </w:rPr>
        <w:t xml:space="preserve">” have the meaning ascribed to such term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such other federal agency which at such time administers the Securities Act.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3.13 Representatives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3.13(b)</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8" w:name="page199"/>
    <w:bookmarkEnd w:id="198"/>
    <w:p>
      <w:pPr>
        <w:jc w:val="both"/>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issued under such Act, as they may from time to time be in effect.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Offering</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2.1(c)(ii)</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means a shelf registration statement filed under Rule 415 of the Securities Act.</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Form Registrations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Spectrum</w:t>
      </w:r>
      <w:r>
        <w:rPr>
          <w:rFonts w:ascii="Arial" w:cs="Arial" w:eastAsia="Arial" w:hAnsi="Arial"/>
          <w:sz w:val="21"/>
          <w:szCs w:val="21"/>
          <w:color w:val="auto"/>
        </w:rPr>
        <w:t>” means collectively, SE VII DHC AIV Feeder, L.P., SE VII DHC AIV, L.P., Spectrum VII Investment Managers’ Fund, L.P., and Spectrum VII Co-Investment Fund, L.P. and any of their Permitted Transferees.</w:t>
      </w:r>
    </w:p>
    <w:p>
      <w:pPr>
        <w:spacing w:after="0" w:line="15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direct or indirect subsidiary of the Company on the date hereof and any direct or indirect subsidiary of the Company organized or acquired after the date hereof.</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Take-Down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2.1(c)(ii)</w:t>
      </w:r>
      <w:r>
        <w:rPr>
          <w:rFonts w:ascii="Arial" w:cs="Arial" w:eastAsia="Arial" w:hAnsi="Arial"/>
          <w:sz w:val="22"/>
          <w:szCs w:val="22"/>
          <w:color w:val="auto"/>
        </w:rPr>
        <w:t>.</w:t>
      </w:r>
    </w:p>
    <w:p>
      <w:pPr>
        <w:spacing w:after="0" w:line="23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Block Trade</w:t>
      </w:r>
      <w:r>
        <w:rPr>
          <w:rFonts w:ascii="Arial" w:cs="Arial" w:eastAsia="Arial" w:hAnsi="Arial"/>
          <w:sz w:val="22"/>
          <w:szCs w:val="22"/>
          <w:color w:val="auto"/>
        </w:rPr>
        <w:t>” means an offering and/or sale of Registrable Securities by one or more of Advent, Spectrum, the Krantz Holder or 22C on an underwritten block trade basis (whether firm commitment or otherwise) without substantial marketing efforts prior to pricing, including, without limitation, a same day trade, overnight trade or similar transaction.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Registration Rights</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Demand Registrations</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270" w:lineRule="auto"/>
        <w:tabs>
          <w:tab w:leader="none" w:pos="1042"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Demand Registrations Generally</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sets forth the terms pursuant to which Advent, Spectrum and the Krantz Holder may request registration under the Securities Act of all or any portion of the Registrable Securities held by such Holders on Form S-1 or similar long form registration (“</w:t>
      </w:r>
      <w:r>
        <w:rPr>
          <w:rFonts w:ascii="Arial" w:cs="Arial" w:eastAsia="Arial" w:hAnsi="Arial"/>
          <w:sz w:val="21"/>
          <w:szCs w:val="21"/>
          <w:u w:val="single" w:color="auto"/>
          <w:color w:val="auto"/>
        </w:rPr>
        <w:t>Long Form Registration</w:t>
      </w:r>
      <w:r>
        <w:rPr>
          <w:rFonts w:ascii="Arial" w:cs="Arial" w:eastAsia="Arial" w:hAnsi="Arial"/>
          <w:sz w:val="21"/>
          <w:szCs w:val="21"/>
          <w:color w:val="auto"/>
        </w:rPr>
        <w:t>”) and the Key Holders may request registration under the Securities Act of all or any portion of the Registrable Securities held by such Key Holders on Form S-3 or any similar short form registration (“</w:t>
      </w:r>
      <w:r>
        <w:rPr>
          <w:rFonts w:ascii="Arial" w:cs="Arial" w:eastAsia="Arial" w:hAnsi="Arial"/>
          <w:sz w:val="21"/>
          <w:szCs w:val="21"/>
          <w:u w:val="single" w:color="auto"/>
          <w:color w:val="auto"/>
        </w:rPr>
        <w:t>Short Form Registration</w:t>
      </w:r>
      <w:r>
        <w:rPr>
          <w:rFonts w:ascii="Arial" w:cs="Arial" w:eastAsia="Arial" w:hAnsi="Arial"/>
          <w:sz w:val="21"/>
          <w:szCs w:val="21"/>
          <w:color w:val="auto"/>
        </w:rPr>
        <w:t xml:space="preserve">”), if available. All registrations requested pursuant to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are referred to herein as “</w:t>
      </w:r>
      <w:r>
        <w:rPr>
          <w:rFonts w:ascii="Arial" w:cs="Arial" w:eastAsia="Arial" w:hAnsi="Arial"/>
          <w:sz w:val="21"/>
          <w:szCs w:val="21"/>
          <w:u w:val="single" w:color="auto"/>
          <w:color w:val="auto"/>
        </w:rPr>
        <w:t>Demand Registrations</w:t>
      </w:r>
      <w:r>
        <w:rPr>
          <w:rFonts w:ascii="Arial" w:cs="Arial" w:eastAsia="Arial" w:hAnsi="Arial"/>
          <w:sz w:val="21"/>
          <w:szCs w:val="21"/>
          <w:color w:val="auto"/>
        </w:rPr>
        <w:t>.” If the Company shall receive from a written request that the Company file a Long Form Registration or with respect to all or a portion of the Registrable Securities (a “</w:t>
      </w:r>
      <w:r>
        <w:rPr>
          <w:rFonts w:ascii="Arial" w:cs="Arial" w:eastAsia="Arial" w:hAnsi="Arial"/>
          <w:sz w:val="21"/>
          <w:szCs w:val="21"/>
          <w:u w:val="single" w:color="auto"/>
          <w:color w:val="auto"/>
        </w:rPr>
        <w:t>Demand Registration Request</w:t>
      </w:r>
      <w:r>
        <w:rPr>
          <w:rFonts w:ascii="Arial" w:cs="Arial" w:eastAsia="Arial" w:hAnsi="Arial"/>
          <w:sz w:val="21"/>
          <w:szCs w:val="21"/>
          <w:color w:val="auto"/>
        </w:rPr>
        <w:t>,”) and the sender(s) of such request pursuant to this Agreement shall be known as the “</w:t>
      </w:r>
      <w:r>
        <w:rPr>
          <w:rFonts w:ascii="Arial" w:cs="Arial" w:eastAsia="Arial" w:hAnsi="Arial"/>
          <w:sz w:val="21"/>
          <w:szCs w:val="21"/>
          <w:u w:val="single" w:color="auto"/>
          <w:color w:val="auto"/>
        </w:rPr>
        <w:t>Initiating Holder(s)</w:t>
      </w:r>
      <w:r>
        <w:rPr>
          <w:rFonts w:ascii="Arial" w:cs="Arial" w:eastAsia="Arial" w:hAnsi="Arial"/>
          <w:sz w:val="21"/>
          <w:szCs w:val="21"/>
          <w:color w:val="auto"/>
        </w:rPr>
        <w:t>”), then the Company shall, within ten (10) Business Days of the receipt thereof, give written notice (the “</w:t>
      </w:r>
      <w:r>
        <w:rPr>
          <w:rFonts w:ascii="Arial" w:cs="Arial" w:eastAsia="Arial" w:hAnsi="Arial"/>
          <w:sz w:val="21"/>
          <w:szCs w:val="21"/>
          <w:u w:val="single" w:color="auto"/>
          <w:color w:val="auto"/>
        </w:rPr>
        <w:t>Demand Exercise Notice</w:t>
      </w:r>
      <w:r>
        <w:rPr>
          <w:rFonts w:ascii="Arial" w:cs="Arial" w:eastAsia="Arial" w:hAnsi="Arial"/>
          <w:sz w:val="21"/>
          <w:szCs w:val="21"/>
          <w:color w:val="auto"/>
        </w:rPr>
        <w:t xml:space="preserve">”) of such request to all other Holders, and, subject to the limitations of this </w:t>
      </w:r>
      <w:r>
        <w:rPr>
          <w:rFonts w:ascii="Arial" w:cs="Arial" w:eastAsia="Arial" w:hAnsi="Arial"/>
          <w:sz w:val="21"/>
          <w:szCs w:val="21"/>
          <w:u w:val="single" w:color="auto"/>
          <w:color w:val="auto"/>
        </w:rPr>
        <w:t>Section 2.1</w:t>
      </w:r>
      <w:r>
        <w:rPr>
          <w:rFonts w:ascii="Arial" w:cs="Arial" w:eastAsia="Arial" w:hAnsi="Arial"/>
          <w:sz w:val="21"/>
          <w:szCs w:val="21"/>
          <w:color w:val="auto"/>
        </w:rPr>
        <w:t>, use its reasonable best efforts to effect, as soon as practicable, the registration under the Securities Act (including, without limitation, by means of a Shelf Registration Statement thereunder if so requested and if the Company is then eligible to use such a registration) of all Registrable Securities that the Holders request to be registered. Each request for a Demand Registration shall specify the approximate number of Registrable Securities requested to be registered.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9" w:name="page200"/>
    <w:bookmarkEnd w:id="199"/>
    <w:p>
      <w:pPr>
        <w:jc w:val="both"/>
        <w:ind w:firstLine="757"/>
        <w:spacing w:after="0" w:line="317" w:lineRule="auto"/>
        <w:tabs>
          <w:tab w:leader="none" w:pos="1055"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Long Form Registrations</w:t>
      </w:r>
      <w:r>
        <w:rPr>
          <w:rFonts w:ascii="Arial" w:cs="Arial" w:eastAsia="Arial" w:hAnsi="Arial"/>
          <w:sz w:val="19"/>
          <w:szCs w:val="19"/>
          <w:color w:val="auto"/>
        </w:rPr>
        <w:t xml:space="preserve">. At any time that the Company is not legally eligible to file a registration statement with the SEC on Form S-3 or any similar short form registration statement, each of Advent, Spectrum and the Krantz Holder shall be entitled to request one (1) Long Form Registration subject to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and the Company shall effect such Long Form Registrations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the Company shall pay all Expenses in connection with such Long Form Registrations.</w:t>
      </w:r>
    </w:p>
    <w:p>
      <w:pPr>
        <w:spacing w:after="0" w:line="141" w:lineRule="exact"/>
        <w:rPr>
          <w:rFonts w:ascii="Arial" w:cs="Arial" w:eastAsia="Arial" w:hAnsi="Arial"/>
          <w:sz w:val="19"/>
          <w:szCs w:val="19"/>
          <w:color w:val="auto"/>
        </w:rPr>
      </w:pPr>
    </w:p>
    <w:p>
      <w:pPr>
        <w:ind w:left="1060" w:hanging="303"/>
        <w:spacing w:after="0"/>
        <w:tabs>
          <w:tab w:leader="none" w:pos="106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Short Form Registrations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505"/>
        <w:spacing w:after="0" w:line="274" w:lineRule="auto"/>
        <w:tabs>
          <w:tab w:leader="none" w:pos="1776" w:val="left"/>
        </w:tabs>
        <w:numPr>
          <w:ilvl w:val="1"/>
          <w:numId w:val="150"/>
        </w:numPr>
        <w:rPr>
          <w:rFonts w:ascii="Arial" w:cs="Arial" w:eastAsia="Arial" w:hAnsi="Arial"/>
          <w:sz w:val="21"/>
          <w:szCs w:val="21"/>
          <w:color w:val="auto"/>
        </w:rPr>
      </w:pPr>
      <w:r>
        <w:rPr>
          <w:rFonts w:ascii="Arial" w:cs="Arial" w:eastAsia="Arial" w:hAnsi="Arial"/>
          <w:sz w:val="21"/>
          <w:szCs w:val="21"/>
          <w:color w:val="auto"/>
        </w:rPr>
        <w:t xml:space="preserve">In addition to the Long Form Registrations provided pursuant to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each Key Holder shall be entitled to request an unlimited number of Short Form Registrations, the Company shall effect such Short Form Registrations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the Company shall pay all Expenses in connection with any such Short Form Registration. The Company shall use its best efforts to make Short Form Registrations on Form S-3 available for the sale of Registrable Securities and if Short Form Registrations on Form S-3 are available for the sale of Registerable Securities, Advent, Spectrum and the Krantz Holder may only request registration on Form S-3.</w:t>
      </w:r>
    </w:p>
    <w:p>
      <w:pPr>
        <w:spacing w:after="0" w:line="181" w:lineRule="exact"/>
        <w:rPr>
          <w:rFonts w:ascii="Arial" w:cs="Arial" w:eastAsia="Arial" w:hAnsi="Arial"/>
          <w:sz w:val="21"/>
          <w:szCs w:val="21"/>
          <w:color w:val="auto"/>
        </w:rPr>
      </w:pPr>
    </w:p>
    <w:p>
      <w:pPr>
        <w:jc w:val="both"/>
        <w:ind w:firstLine="1505"/>
        <w:spacing w:after="0" w:line="300" w:lineRule="auto"/>
        <w:tabs>
          <w:tab w:leader="none" w:pos="1857" w:val="left"/>
        </w:tabs>
        <w:numPr>
          <w:ilvl w:val="1"/>
          <w:numId w:val="150"/>
        </w:numPr>
        <w:rPr>
          <w:rFonts w:ascii="Arial" w:cs="Arial" w:eastAsia="Arial" w:hAnsi="Arial"/>
          <w:sz w:val="19"/>
          <w:szCs w:val="19"/>
          <w:color w:val="auto"/>
        </w:rPr>
      </w:pPr>
      <w:r>
        <w:rPr>
          <w:rFonts w:ascii="Arial" w:cs="Arial" w:eastAsia="Arial" w:hAnsi="Arial"/>
          <w:sz w:val="19"/>
          <w:szCs w:val="19"/>
          <w:color w:val="auto"/>
        </w:rPr>
        <w:t>At any time that any Short Form Registration is effective, if any Holder or group of Holders holding Registrable Securities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effect an underwritten offering or distribution of all or part of its Registrable Securities included by it on any Short Form Registration (a “</w:t>
      </w:r>
      <w:r>
        <w:rPr>
          <w:rFonts w:ascii="Arial" w:cs="Arial" w:eastAsia="Arial" w:hAnsi="Arial"/>
          <w:sz w:val="19"/>
          <w:szCs w:val="19"/>
          <w:u w:val="single" w:color="auto"/>
          <w:color w:val="auto"/>
        </w:rPr>
        <w:t>Shelf</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Offering</w:t>
      </w:r>
      <w:r>
        <w:rPr>
          <w:rFonts w:ascii="Arial" w:cs="Arial" w:eastAsia="Arial" w:hAnsi="Arial"/>
          <w:sz w:val="19"/>
          <w:szCs w:val="19"/>
          <w:color w:val="auto"/>
        </w:rPr>
        <w:t xml:space="preserve">”) and stating the number of the Registrable Securities to be included in the Shelf Offering, then the Company shall amend or supplement the Short Form Registration as may be necessary in order to enable such Registrable Securities to be distributed pursuant to the Shelf Offering (taking into account the inclusion of Registrable Securities by any other Holders thereof pursuant to this </w:t>
      </w:r>
      <w:r>
        <w:rPr>
          <w:rFonts w:ascii="Arial" w:cs="Arial" w:eastAsia="Arial" w:hAnsi="Arial"/>
          <w:sz w:val="19"/>
          <w:szCs w:val="19"/>
          <w:u w:val="single" w:color="auto"/>
          <w:color w:val="auto"/>
        </w:rPr>
        <w:t>Section 2.1(c)(ii)</w:t>
      </w:r>
      <w:r>
        <w:rPr>
          <w:rFonts w:ascii="Arial" w:cs="Arial" w:eastAsia="Arial" w:hAnsi="Arial"/>
          <w:sz w:val="19"/>
          <w:szCs w:val="19"/>
          <w:color w:val="auto"/>
        </w:rPr>
        <w:t xml:space="preserve">). In connection with any Shelf Offering, the Company shall, promptly after receipt of a Take-Down Notice, deliver such notice to all other Holders of Registrable Securities included in any Short Form Registration and permit each Holder to include its Registrable Securities included on a Short Form Registration in the Shelf Offering if such Holder notifies the proposing Holders and the Company within 2 Business Days after delivery of the Take-Down Notice to such Holder, and in the event that the managing underwriter advises the Holders of such securities in writing that in its or their view the total number or dollar amount of Registrable Securities proposed to be sold in such offering is such as to adversely affect the success of such offering (including, without limitation, securities proposed to be included by other Holders of securities entitled to include securities in such offering pursuant to piggyback registration rights described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the managing underwriter may limit the number of shares which would otherwise be included in such Shelf Offering in the same manner as is described in </w:t>
      </w:r>
      <w:r>
        <w:rPr>
          <w:rFonts w:ascii="Arial" w:cs="Arial" w:eastAsia="Arial" w:hAnsi="Arial"/>
          <w:sz w:val="19"/>
          <w:szCs w:val="19"/>
          <w:u w:val="single" w:color="auto"/>
          <w:color w:val="auto"/>
        </w:rPr>
        <w:t>Section 2.1(g)</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1505"/>
        <w:spacing w:after="0" w:line="260" w:lineRule="auto"/>
        <w:tabs>
          <w:tab w:leader="none" w:pos="1885" w:val="left"/>
        </w:tabs>
        <w:numPr>
          <w:ilvl w:val="1"/>
          <w:numId w:val="150"/>
        </w:numPr>
        <w:rPr>
          <w:rFonts w:ascii="Arial" w:cs="Arial" w:eastAsia="Arial" w:hAnsi="Arial"/>
          <w:sz w:val="22"/>
          <w:szCs w:val="22"/>
          <w:color w:val="auto"/>
        </w:rPr>
      </w:pPr>
      <w:r>
        <w:rPr>
          <w:rFonts w:ascii="Arial" w:cs="Arial" w:eastAsia="Arial" w:hAnsi="Arial"/>
          <w:sz w:val="22"/>
          <w:szCs w:val="22"/>
          <w:color w:val="auto"/>
        </w:rPr>
        <w:t>Notwithstanding the foregoing, if any of Advent, Spectrum, the Krantz Holder or 22C wishes to engage in an Underwritten Block Trade off of a Shelf Registration Statement on Form S-3 (either through filing an automatic shelf registration statement or through a take-down from an already existing Shelf Registration Statement), then notwithstanding the foregoing time periods, the Initiating Holder only needs to notify the Company of the Underwritten Block Trade not less than (i) two (2) business days prior to the day such offering is first anticipated to commence, in the case of a take-down from an already existing Shelf Registration Statement 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0" w:name="page201"/>
    <w:bookmarkEnd w:id="200"/>
    <w:p>
      <w:pPr>
        <w:jc w:val="both"/>
        <w:spacing w:after="0" w:line="303" w:lineRule="auto"/>
        <w:rPr>
          <w:sz w:val="20"/>
          <w:szCs w:val="20"/>
          <w:color w:val="auto"/>
        </w:rPr>
      </w:pPr>
      <w:r>
        <w:rPr>
          <w:rFonts w:ascii="Arial" w:cs="Arial" w:eastAsia="Arial" w:hAnsi="Arial"/>
          <w:sz w:val="19"/>
          <w:szCs w:val="19"/>
          <w:color w:val="auto"/>
        </w:rPr>
        <w:t>Form S-3, or (ii) twenty days (20) business days prior to the day such offering is first anticipated to commence, in the case of filing a new Shelf Registration Statement on Form S-3. Advent, Spectrum, the Krantz Holder and 22C must elect whether or not to participate in such Underwritten Block Trade on the day such offering is to commence, and the Company shall as expeditiously as possible use its reasonable best efforts (including co-operating with such Holders with respect to the provision of necessary information) to facilitate such Underwritten Block Trade (which may close as early as two (2) Business Days after the date it commences), provided, that the Holder requesting such Underwritten Block Trade shall use commercially reasonable efforts to work with the Company and the underwriters prior to making such request in order to facilitate preparation of offering documents related to the Underwritten Block Trade. For the avoidance of doubt, Holders other than Advent, Spectrum, the Krantz Holder and 22C shall not be entitled to demand, receive notice of, or to elect to participate in, a Underwritten Block Trade or any Shelf Registration Statement or prospectus to be used in connection with such Underwritten Block Trade.</w:t>
      </w:r>
    </w:p>
    <w:p>
      <w:pPr>
        <w:spacing w:after="0" w:line="158" w:lineRule="exact"/>
        <w:rPr>
          <w:sz w:val="20"/>
          <w:szCs w:val="20"/>
          <w:color w:val="auto"/>
        </w:rPr>
      </w:pPr>
    </w:p>
    <w:p>
      <w:pPr>
        <w:jc w:val="both"/>
        <w:ind w:firstLine="757"/>
        <w:spacing w:after="0" w:line="300" w:lineRule="auto"/>
        <w:tabs>
          <w:tab w:leader="none" w:pos="105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Demand Registration Priority</w:t>
      </w:r>
      <w:r>
        <w:rPr>
          <w:rFonts w:ascii="Arial" w:cs="Arial" w:eastAsia="Arial" w:hAnsi="Arial"/>
          <w:sz w:val="19"/>
          <w:szCs w:val="19"/>
          <w:color w:val="auto"/>
        </w:rPr>
        <w:t xml:space="preserve">. The Company shall not include in any Demand Registration any securities which are not Registrable Securities without the prior written consent of the Majority Participating Holders included in such registration. If a Demand Registration is an underwritten offering and the managing underwriters advise the Company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Majority Participating Holders to be included in such registration therein, without adversely affecting the marketability of the offering, the Company shall include in such registration prior to the inclusion of any securities which are not Registrable Securities (i) first, the number of Registrable Securities requested to be included which in the opinion of such underwriters can be sold in an orderly manner within the price range of such offering, pro rata among the respective Holders thereof on the basis of the number of Registrable Securities beneficially owned by each such Holder, and (ii) second, any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requested to be included therein by each such Holder. Without the consent of the Company and the Majority Participating Holders included in such registration, any Persons other than Holders of Registrable Securities who participate in Demand Registrations which are not at the Company’s expense must pay their share of the Expenses as provided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hereof.</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757"/>
        <w:spacing w:after="0" w:line="272" w:lineRule="auto"/>
        <w:tabs>
          <w:tab w:leader="none" w:pos="1056"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Restrictions on Demand Registrations</w:t>
      </w:r>
      <w:r>
        <w:rPr>
          <w:rFonts w:ascii="Arial" w:cs="Arial" w:eastAsia="Arial" w:hAnsi="Arial"/>
          <w:sz w:val="21"/>
          <w:szCs w:val="21"/>
          <w:color w:val="auto"/>
        </w:rPr>
        <w:t xml:space="preserve">. The Company shall not be obligated to effect any Demand Registration (i) within thirty (30) days after a Demand Registration pursuant to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that has been declared or ordered effective, (ii) during the period any applicable restrictions are still in effect pursuant to any Lock-Up Agreement that has not been waived (or is not reasonably expected to be waived) by the underwriters party thereto, (iii) if the Company shall furnish to such Holders a certificate signed by the Chief Executive Officer of the Company stating that in the good faith judgment of the Board (after consultation with external legal counsel), any registration of Registrable Securities should not be made or continued (or sales under a Shelf Registration Statement should be suspended) because (i) such registration (or continued sales under a Shelf Registration Statement) would materially and adversely interfere with any existing or potential material financing, acquisition, corporate reorganization or merger or other material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1" w:name="page202"/>
    <w:bookmarkEnd w:id="201"/>
    <w:p>
      <w:pPr>
        <w:jc w:val="both"/>
        <w:spacing w:after="0" w:line="299" w:lineRule="auto"/>
        <w:rPr>
          <w:sz w:val="20"/>
          <w:szCs w:val="20"/>
          <w:color w:val="auto"/>
        </w:rPr>
      </w:pPr>
      <w:r>
        <w:rPr>
          <w:rFonts w:ascii="Arial" w:cs="Arial" w:eastAsia="Arial" w:hAnsi="Arial"/>
          <w:sz w:val="19"/>
          <w:szCs w:val="19"/>
          <w:color w:val="auto"/>
        </w:rPr>
        <w:t xml:space="preserve">transaction or event involving the Company or any of its subsidiaries or (ii) the Company is in possession of material non-public information, the premature disclosure of which has been determined by the Board to not be in the Company’s best interests (in either case, a “Valid Business Reason”) then (x) the Company may postpone filing a registration statement relating to a Demand Registration Request or suspend sales under an existing Shelf Registration Statement until five Business Days after such Valid Business Reason no longer exists, but in no event for more than 60 days after the date the Board determines a Valid Business Reason exists and (y) in the case a registration statement has been filed relating to a Demand Registration Request, if the Valid Business Reason has not resulted from actions taken by the Company, the Company may cause such registration statement to be withdrawn and its effectiveness terminated or may postpone amending or supplementing such registration statement until five Business Days after such Valid Business Reason no longer exists, but in no event for more than 60 days after the date the Board determines a Valid Business Reason exists; and the Company shall give written notice to the Participating Holders of its determination to postpone or withdraw a registration statement or suspend sales under a Shelf Registration Statement and of the fact that the Valid Business Reason for such postponement, withdrawal or suspension no longer exists, in each case, promptly after the occurrence thereof; provided, however, that the Company shall not defer its obligation in this manner for more than (A) 60 days in any 90 day period or (B) for periods exceeding, in the aggregate, 90 days in any 12 month period, or (z) in the case of a Demand Registration, consisting of a Long Form Registration, within 180 days after the effective date of a previous Long Form Registration or a previous registration in which the Holders of Registrable Securities were given piggyback rights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in which at least 75% of the number of Registrable Securities requested to be included by the Holders were included in such registration. In the event the Company gives written notice of a Valid Business Reason, the Holders of Registrable Securities initially requesting such Demand Registration shall be entitled to withdraw such request and, if such request is withdrawn, such Demand Registration shall not be treated as one of the permitted Demand Registrations hereunder and the Company shall pay all Expenses in connection with such registration. Notwithstanding the foregoing, the Company may postpone a Demand Registration hereunder only twice in any twelve-month period.</w:t>
      </w:r>
    </w:p>
    <w:p>
      <w:pPr>
        <w:spacing w:after="0" w:line="168"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9"/>
          <w:szCs w:val="19"/>
          <w:color w:val="auto"/>
        </w:rPr>
        <w:t xml:space="preserve">If the Company shall give any notice of postponement, withdrawal or suspension of any registration statement pursuant to clause (iv) of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the Company shall not, during the period of postponement, withdrawal or suspension, register any Class A Common Stock, other than pursuant to a registration statement on Form S-4 or S-8 (or an equivalent registration form then in effect). Each Holder of Registrable Securities agrees that, upon receipt of any notice from the Company that the Company has determined to withdraw any registration statement pursuant to clause (iv) of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such Holder will discontinue its disposition of Registrable Securities pursuant to such registration statement and, if so directed by the Company, will deliver to the Company (at the Company’s expense) all copies, other than permanent file copies, then in such Holder’s possession of the prospectus covering such Registrable Securities that was in effect at the time of receipt of such notice. If the Company shall have withdrawn or prematurely terminated a registration statement filed pursuant to a Demand Registration (whether pursuant to clause (iv) of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or as a result of any stop order, injunction or other order or requirement of the SEC or any other governmental agency or court), the Company shall not be considered to have effected an effective registration for the purposes of this Agreement until the Company shall have filed a new registration statement covering the Registrable Securities covered by the withdrawn registration statement and such registration statement shall have been declared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2" w:name="page203"/>
    <w:bookmarkEnd w:id="202"/>
    <w:p>
      <w:pPr>
        <w:jc w:val="both"/>
        <w:spacing w:after="0" w:line="259" w:lineRule="auto"/>
        <w:rPr>
          <w:sz w:val="20"/>
          <w:szCs w:val="20"/>
          <w:color w:val="auto"/>
        </w:rPr>
      </w:pPr>
      <w:r>
        <w:rPr>
          <w:rFonts w:ascii="Arial" w:cs="Arial" w:eastAsia="Arial" w:hAnsi="Arial"/>
          <w:sz w:val="22"/>
          <w:szCs w:val="22"/>
          <w:color w:val="auto"/>
        </w:rPr>
        <w:t xml:space="preserve">effective and shall not have been withdrawn. If the Company shall give any notice of withdrawal or postponement of a registration statement, the Company shall, not later than five Business Days after the Valid Business Reason that caused such withdrawal or postponement no longer exists (but in no event later than 60 days after the date of the postponement or withdrawal), use its reasonable best efforts to effect the registration under the Securities Act of the Registrable Securities covered by the withdrawn or postponed registration statement in accordance with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(unless the Initiating Holders shall have withdrawn such request, in which case the Company shall not be considered to have effected an effective registration for the purposes of this Agreement), and such registration shall not be withdrawn or postponed pursuant to clause (iv)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2.1(c)</w:t>
      </w:r>
      <w:r>
        <w:rPr>
          <w:rFonts w:ascii="Arial" w:cs="Arial" w:eastAsia="Arial" w:hAnsi="Arial"/>
          <w:sz w:val="22"/>
          <w:szCs w:val="22"/>
          <w:color w:val="auto"/>
        </w:rPr>
        <w:t>.</w:t>
      </w:r>
    </w:p>
    <w:p>
      <w:pPr>
        <w:spacing w:after="0" w:line="192" w:lineRule="exact"/>
        <w:rPr>
          <w:sz w:val="20"/>
          <w:szCs w:val="20"/>
          <w:color w:val="auto"/>
        </w:rPr>
      </w:pPr>
    </w:p>
    <w:p>
      <w:pPr>
        <w:jc w:val="both"/>
        <w:ind w:firstLine="757"/>
        <w:spacing w:after="0" w:line="266" w:lineRule="auto"/>
        <w:tabs>
          <w:tab w:leader="none" w:pos="1019"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Selection of Underwriters</w:t>
      </w:r>
      <w:r>
        <w:rPr>
          <w:rFonts w:ascii="Arial" w:cs="Arial" w:eastAsia="Arial" w:hAnsi="Arial"/>
          <w:sz w:val="22"/>
          <w:szCs w:val="22"/>
          <w:color w:val="auto"/>
        </w:rPr>
        <w:t>. The Initiating Holder(s) shall have the right to select the managing underwriters for such registration, provided that, each such managing underwriter is reasonably satisfactory to the Company, which approval shall not be unreasonably withheld or delayed.</w:t>
      </w:r>
    </w:p>
    <w:p>
      <w:pPr>
        <w:spacing w:after="0" w:line="184" w:lineRule="exact"/>
        <w:rPr>
          <w:rFonts w:ascii="Arial" w:cs="Arial" w:eastAsia="Arial" w:hAnsi="Arial"/>
          <w:sz w:val="22"/>
          <w:szCs w:val="22"/>
          <w:color w:val="auto"/>
        </w:rPr>
      </w:pPr>
    </w:p>
    <w:p>
      <w:pPr>
        <w:jc w:val="both"/>
        <w:ind w:firstLine="757"/>
        <w:spacing w:after="0" w:line="276" w:lineRule="auto"/>
        <w:tabs>
          <w:tab w:leader="none" w:pos="1082"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Other Registration Rights</w:t>
      </w:r>
      <w:r>
        <w:rPr>
          <w:rFonts w:ascii="Arial" w:cs="Arial" w:eastAsia="Arial" w:hAnsi="Arial"/>
          <w:sz w:val="21"/>
          <w:szCs w:val="21"/>
          <w:color w:val="auto"/>
        </w:rPr>
        <w:t>. From and after the date of this Agreement, the Company shall not, without the prior written consent of Holders that hold or Beneficially Own more than 50% of the Registrable Securities, enter into any agreement with any holder or prospective holder of any securities of the Company giving such holder or prospective holder any registration rights the terms of which are more favorable taken as a whole than the registration rights granted to the Holders hereunder unless the Company shall also give such rights to such Holders.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Piggyback Registrations</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303" w:lineRule="auto"/>
        <w:tabs>
          <w:tab w:leader="none" w:pos="1042"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Piggyback Rights</w:t>
      </w:r>
      <w:r>
        <w:rPr>
          <w:rFonts w:ascii="Arial" w:cs="Arial" w:eastAsia="Arial" w:hAnsi="Arial"/>
          <w:sz w:val="19"/>
          <w:szCs w:val="19"/>
          <w:color w:val="auto"/>
        </w:rPr>
        <w:t>. If the Company at any time proposes to file a registration statement with respect to any offering of its securities for its own account or for the account of any Person who holds its securities (other than (i) a registration on Form S-4 or S-8 or any successor form to such forms, (ii) a registration of securities solely relating to an offering and sale to employees, directors or consultants of the Company pursuant to any employee stock plan or other employee benefit plan arrangement, (iii) a registration of non-convertible debt securities or (iv) an Underwritten Block Trade)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then, as expeditiously as reasonably possible (but in no event less than ten (10) days following the date of filing such registration statement), the Company shall give written notice (the “</w:t>
      </w:r>
      <w:r>
        <w:rPr>
          <w:rFonts w:ascii="Arial" w:cs="Arial" w:eastAsia="Arial" w:hAnsi="Arial"/>
          <w:sz w:val="19"/>
          <w:szCs w:val="19"/>
          <w:u w:val="single" w:color="auto"/>
          <w:color w:val="auto"/>
        </w:rPr>
        <w:t>Incidental Registration Notice</w:t>
      </w:r>
      <w:r>
        <w:rPr>
          <w:rFonts w:ascii="Arial" w:cs="Arial" w:eastAsia="Arial" w:hAnsi="Arial"/>
          <w:sz w:val="19"/>
          <w:szCs w:val="19"/>
          <w:color w:val="auto"/>
        </w:rPr>
        <w:t xml:space="preserve">”) of such proposed filing to all Holders of Registrable Securities, and such notice shall offer the Holder the opportunity to register such number of Registrable Securities as each such Holder may request in writing. Subject to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2.2(d)</w:t>
      </w:r>
      <w:r>
        <w:rPr>
          <w:rFonts w:ascii="Arial" w:cs="Arial" w:eastAsia="Arial" w:hAnsi="Arial"/>
          <w:sz w:val="19"/>
          <w:szCs w:val="19"/>
          <w:color w:val="auto"/>
        </w:rPr>
        <w:t>, the Company shall include in such registration statement all such Registrable Securities which are requested to be included therein within fifteen (15) days after the Incidental Registration Notice is given to such Holders.</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757"/>
        <w:spacing w:after="0" w:line="260" w:lineRule="auto"/>
        <w:tabs>
          <w:tab w:leader="none" w:pos="1055"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Priority on Primary Registrations</w:t>
      </w:r>
      <w:r>
        <w:rPr>
          <w:rFonts w:ascii="Arial" w:cs="Arial" w:eastAsia="Arial" w:hAnsi="Arial"/>
          <w:sz w:val="22"/>
          <w:szCs w:val="22"/>
          <w:color w:val="auto"/>
        </w:rPr>
        <w:t>. If a Piggyback Registration is an underwritten primary registration on behalf of the Company, and the Board and managing underwriters advise the Company in writing that in their opinion the number of securities requested to be included in such registration exceeds the number which can be sold in an orderly manner in such offering within a price range acceptable to the Company, the Company shall include, after including all of the primary securities the Company desires to include in such registration, (i) first, the number of Registrable Securities requested to be included which in the opinion of such underwriters can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3" w:name="page204"/>
    <w:bookmarkEnd w:id="203"/>
    <w:p>
      <w:pPr>
        <w:jc w:val="both"/>
        <w:spacing w:after="0" w:line="258" w:lineRule="auto"/>
        <w:rPr>
          <w:sz w:val="20"/>
          <w:szCs w:val="20"/>
          <w:color w:val="auto"/>
        </w:rPr>
      </w:pPr>
      <w:r>
        <w:rPr>
          <w:rFonts w:ascii="Arial" w:cs="Arial" w:eastAsia="Arial" w:hAnsi="Arial"/>
          <w:sz w:val="22"/>
          <w:szCs w:val="22"/>
          <w:color w:val="auto"/>
        </w:rPr>
        <w:t xml:space="preserve">sold in an orderly manner within the price range acceptable to the Holder(s), pro rata among the respective Holders thereof on the basis of the number of Registrable Securities beneficially owned by each such Holder, and (ii) second, other securities with respect to which the Company has granted registration rights in accordance with </w:t>
      </w:r>
      <w:r>
        <w:rPr>
          <w:rFonts w:ascii="Arial" w:cs="Arial" w:eastAsia="Arial" w:hAnsi="Arial"/>
          <w:sz w:val="22"/>
          <w:szCs w:val="22"/>
          <w:u w:val="single" w:color="auto"/>
          <w:color w:val="auto"/>
        </w:rPr>
        <w:t>Section 2.1(g)</w:t>
      </w:r>
      <w:r>
        <w:rPr>
          <w:rFonts w:ascii="Arial" w:cs="Arial" w:eastAsia="Arial" w:hAnsi="Arial"/>
          <w:sz w:val="22"/>
          <w:szCs w:val="22"/>
          <w:color w:val="auto"/>
        </w:rPr>
        <w:t xml:space="preserve"> hereof requested to be included in such registration, pro rata among the respective Holders thereof on the basis of the amount of such securities beneficially owned by each such Holder. No employee stockholder of the Company will be entitled to include Registrable Securities in an underwritten offering requested by the Initiating Holders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to the extent that the managing underwriters and the Board of such underwritten offering shall determine in good faith that the participation of such employee stockholder, in whole or in part, would adversely affect the marketability of the securities being sold by the Initiating Holders in such underwritten offering.</w:t>
      </w:r>
    </w:p>
    <w:p>
      <w:pPr>
        <w:spacing w:after="0" w:line="199" w:lineRule="exact"/>
        <w:rPr>
          <w:sz w:val="20"/>
          <w:szCs w:val="20"/>
          <w:color w:val="auto"/>
        </w:rPr>
      </w:pPr>
    </w:p>
    <w:p>
      <w:pPr>
        <w:jc w:val="both"/>
        <w:ind w:firstLine="757"/>
        <w:spacing w:after="0" w:line="301" w:lineRule="auto"/>
        <w:tabs>
          <w:tab w:leader="none" w:pos="1042"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Priority on Secondary Registrations</w:t>
      </w:r>
      <w:r>
        <w:rPr>
          <w:rFonts w:ascii="Arial" w:cs="Arial" w:eastAsia="Arial" w:hAnsi="Arial"/>
          <w:sz w:val="19"/>
          <w:szCs w:val="19"/>
          <w:color w:val="auto"/>
        </w:rPr>
        <w:t xml:space="preserve">. If a Piggyback Registration is an underwritten secondary registration on behalf of Holders of the Company’s securities, and the managing underwriters and the Board advise the Company in writing that in their opinion the number of securities requested to be included in such registration exceeds the number which can be sold in an orderly manner in such offering within a price range acceptable to the consent of the Majority Participating Holders to be included in such registration, the Company shall include in such registration (i) first, the securities requested to be included therein by the Holders requesting such registration and the Registrable Securities requested to be included in such registration, pro rata among the Holders of such securities and such Registrable Securities on the basis of the number of shares beneficially owned by each such Holder, and (ii) second,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requested to be included therein by each such Holder. No Holder who is an employee stockholder of the Company will be entitled to include Registrable Securities in an underwritten offering requested by the Initiating Holders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to the extent that the managing underwriters and the Board of such underwritten offering shall determine in good faith that the participation of such employee stockholder, in whole or in part, would adversely affect the marketability of the securities being sold by the Initiating Holders in such underwritten offering.</w:t>
      </w:r>
    </w:p>
    <w:p>
      <w:pPr>
        <w:spacing w:after="0" w:line="159" w:lineRule="exact"/>
        <w:rPr>
          <w:rFonts w:ascii="Arial" w:cs="Arial" w:eastAsia="Arial" w:hAnsi="Arial"/>
          <w:sz w:val="19"/>
          <w:szCs w:val="19"/>
          <w:color w:val="auto"/>
        </w:rPr>
      </w:pPr>
    </w:p>
    <w:p>
      <w:pPr>
        <w:jc w:val="both"/>
        <w:ind w:firstLine="757"/>
        <w:spacing w:after="0" w:line="266" w:lineRule="auto"/>
        <w:tabs>
          <w:tab w:leader="none" w:pos="1082"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Selection of Underwriters</w:t>
      </w:r>
      <w:r>
        <w:rPr>
          <w:rFonts w:ascii="Arial" w:cs="Arial" w:eastAsia="Arial" w:hAnsi="Arial"/>
          <w:sz w:val="22"/>
          <w:szCs w:val="22"/>
          <w:color w:val="auto"/>
        </w:rPr>
        <w:t>. If any Piggyback Registration is an underwritten secondary offering on behalf of the Holders of the Company’s securities, the Initiating Holder selection of investment banker(s) and manager(s) for the offering must be approved in writing by the Company.</w:t>
      </w:r>
    </w:p>
    <w:p>
      <w:pPr>
        <w:spacing w:after="0" w:line="184" w:lineRule="exact"/>
        <w:rPr>
          <w:rFonts w:ascii="Arial" w:cs="Arial" w:eastAsia="Arial" w:hAnsi="Arial"/>
          <w:sz w:val="22"/>
          <w:szCs w:val="22"/>
          <w:color w:val="auto"/>
        </w:rPr>
      </w:pPr>
    </w:p>
    <w:p>
      <w:pPr>
        <w:jc w:val="both"/>
        <w:ind w:firstLine="757"/>
        <w:spacing w:after="0" w:line="308" w:lineRule="auto"/>
        <w:tabs>
          <w:tab w:leader="none" w:pos="1096"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Other Registrations</w:t>
      </w:r>
      <w:r>
        <w:rPr>
          <w:rFonts w:ascii="Arial" w:cs="Arial" w:eastAsia="Arial" w:hAnsi="Arial"/>
          <w:sz w:val="19"/>
          <w:szCs w:val="19"/>
          <w:color w:val="auto"/>
        </w:rPr>
        <w:t xml:space="preserve">. If the Company has previously filed a registration statement with respect to Registrable Securities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and if such previous registration has not been withdrawn or abandoned or all shares offered thereunder have been sold, the Company shall not file or cause to be effected any other registration of any of its equity securities or securities convertible or exchangeable into or exercisable for its equity securities under the Securities Act (except on Form S-8 or any successor form), whether on its own behalf or at the request of any Holder or Holders of such securities, until a period of at least 180 days has elapsed from the effective date of such previous registration.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4" w:name="page205"/>
    <w:bookmarkEnd w:id="204"/>
    <w:p>
      <w:pPr>
        <w:ind w:left="76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Holdback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300" w:lineRule="auto"/>
        <w:tabs>
          <w:tab w:leader="none" w:pos="104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Each Holder agrees not to offer, sell, contract to sell, pledge or otherwise dispose of, directly or indirectly, any equity securities of the Company, or any securities convertible into or exchangeable or exercisable for such securities, enter into a transaction which would have the same effect or would otherwise effect a public sale or distribution (including sales pursuant to Rule 144), or enter into any swap, hedge or other arrangement that transfers, in whole or in part, 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period beginning seven days before and ending up to 180 days in connection with an initial public offering and up to 90 days in connection with a subsequent underwritten public offering, as requested by Advent or the underwriters of such initial public offering or subsequent underwritten public offering,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Participating Holders shall be required to agree to any lock-up restrictions to which Advent is not subject and shall be released from any restrictions to which Advent is not subject and shall be released from any such restrictions simultaneous with and to the same extent as any other Participating Holder. In addition, each Holder of Registrable Securities agrees to execute any further letters, agreements and/or other documents reasonably requested by the Company or its underwriters which are consistent with the terms of this </w:t>
      </w:r>
      <w:r>
        <w:rPr>
          <w:rFonts w:ascii="Arial" w:cs="Arial" w:eastAsia="Arial" w:hAnsi="Arial"/>
          <w:sz w:val="19"/>
          <w:szCs w:val="19"/>
          <w:u w:val="single" w:color="auto"/>
          <w:color w:val="auto"/>
        </w:rPr>
        <w:t>Section 2.3(a)</w:t>
      </w:r>
      <w:r>
        <w:rPr>
          <w:rFonts w:ascii="Arial" w:cs="Arial" w:eastAsia="Arial" w:hAnsi="Arial"/>
          <w:sz w:val="19"/>
          <w:szCs w:val="19"/>
          <w:color w:val="auto"/>
        </w:rPr>
        <w:t>. The Company may impose stop-transfer instructions with respect to securities subject to the foregoing restrictions until the end of such restricted period.</w:t>
      </w:r>
    </w:p>
    <w:p>
      <w:pPr>
        <w:spacing w:after="0" w:line="169" w:lineRule="exact"/>
        <w:rPr>
          <w:rFonts w:ascii="Arial" w:cs="Arial" w:eastAsia="Arial" w:hAnsi="Arial"/>
          <w:sz w:val="19"/>
          <w:szCs w:val="19"/>
          <w:color w:val="auto"/>
        </w:rPr>
      </w:pPr>
    </w:p>
    <w:p>
      <w:pPr>
        <w:jc w:val="both"/>
        <w:ind w:firstLine="757"/>
        <w:spacing w:after="0" w:line="303" w:lineRule="auto"/>
        <w:tabs>
          <w:tab w:leader="none" w:pos="106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Company (i) shall not effect any public sale or distribution of its equity securities, or any securities convertible into or exchangeable or exercisable for such equity securities, during the period beginning seven days before and ending 180 days after the effective date of any underwritten public offering of the Company’s equity securities (including Demand and Piggyback Registrations) (except as part of such underwritten registration or pursuant to registrations on Form S-4 or S-8 or any successor form), unless the underwriters managing the registered public offering otherwise agree, and (ii) shall cause each Holder of its equity securities, or any securities convertible into or exchangeable or exercisable for equity securities, purchased or otherwise acquired from the Company at any time after the date of this Agreement (other than in a registered public offering) to agree not to effect any public sale or distribution (including sales pursuant to Rule 144) of any such securities during any such period (except as part of such underwritten registration, if otherwise permitted), unless the underwriters managing the registered public offering otherwise agree and such agreement permits all Holders of Registrable Securities to sell such securities on a pro rata basis.</w:t>
      </w:r>
    </w:p>
    <w:p>
      <w:pPr>
        <w:spacing w:after="0" w:line="15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Registration Procedures</w:t>
      </w:r>
      <w:r>
        <w:rPr>
          <w:rFonts w:ascii="Arial" w:cs="Arial" w:eastAsia="Arial" w:hAnsi="Arial"/>
          <w:sz w:val="22"/>
          <w:szCs w:val="22"/>
          <w:color w:val="auto"/>
        </w:rPr>
        <w:t>. If and whenever the Company is required by the provisions of this Agreement to effect or cause the registration of any Registrable Securities under the Securities Act as provided in this Agreement, the Company shall use its reasonable best efforts to effect the registration and the widely disseminated sale of such Registrable Securities in accordance with the intended method of disposition thereof, and pursuant thereto the Company shall, as expeditiously as possible:</w:t>
      </w:r>
    </w:p>
    <w:p>
      <w:pPr>
        <w:spacing w:after="0" w:line="190" w:lineRule="exact"/>
        <w:rPr>
          <w:sz w:val="20"/>
          <w:szCs w:val="20"/>
          <w:color w:val="auto"/>
        </w:rPr>
      </w:pPr>
    </w:p>
    <w:p>
      <w:pPr>
        <w:ind w:right="20" w:firstLine="757"/>
        <w:spacing w:after="0" w:line="276" w:lineRule="auto"/>
        <w:tabs>
          <w:tab w:leader="none" w:pos="108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prepare and file with the SEC and FINRA all filings required for the consummation of the offering, including preparing and filing with the SEC a registration statement on than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5" w:name="page206"/>
    <w:bookmarkEnd w:id="205"/>
    <w:p>
      <w:pPr>
        <w:jc w:val="both"/>
        <w:spacing w:after="0" w:line="302" w:lineRule="auto"/>
        <w:rPr>
          <w:sz w:val="20"/>
          <w:szCs w:val="20"/>
          <w:color w:val="auto"/>
        </w:rPr>
      </w:pPr>
      <w:r>
        <w:rPr>
          <w:rFonts w:ascii="Arial" w:cs="Arial" w:eastAsia="Arial" w:hAnsi="Arial"/>
          <w:sz w:val="19"/>
          <w:szCs w:val="19"/>
          <w:color w:val="auto"/>
        </w:rPr>
        <w:t>appropriate form of the SEC for the disposition of such Registrable Securities in accordance with the intended method of disposition thereof, which registration form (i) shall be selected by the Company and (ii) shall, in the case of a shelf registration, be available for the sale of the Registrable Securities by the selling Holders thereof and such registration statement shall comply as to form in all material respects with the requirements of the applicable registration form and include all financial statements required by the SEC to be filed therewith, and the Company shall use its reasonable best efforts to cause such registration statement to become effective and remain continuously effective from the date such registration statement is declared effective until the earliest to occur (A) the first date as of which all of the Registrable Securities included in the registration statement have been sold or (B) a period of 90 days in the case of an underwritten offering effected pursuant to a registration statement other than a Shelf Registration Statement and a period of three years in the case of a Shelf Registration Statement (provided that before filing a registration statement or prospectus or any amendments or supplements thereto, the Company shall furnish to the counsel selected by the Majority Participating Holders covered by such registration statement copies of all such documents proposed to be filed, which documents shall be subject to the review and comment of such counsel);</w:t>
      </w:r>
    </w:p>
    <w:p>
      <w:pPr>
        <w:spacing w:after="0" w:line="157" w:lineRule="exact"/>
        <w:rPr>
          <w:sz w:val="20"/>
          <w:szCs w:val="20"/>
          <w:color w:val="auto"/>
        </w:rPr>
      </w:pPr>
    </w:p>
    <w:p>
      <w:pPr>
        <w:jc w:val="both"/>
        <w:ind w:firstLine="757"/>
        <w:spacing w:after="0" w:line="304" w:lineRule="auto"/>
        <w:tabs>
          <w:tab w:leader="none" w:pos="107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notify each Holder of Registrable Securities of the effectiveness of each registration statement filed hereunder and prepare and file with the SEC such amendments and supplements to such registration statement and the prospectus used in connection therewith and such free writing prospectuses and Exchange Act reports as may be necessary to keep such registration statement continuously effective for the period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and to comply with the provisions of the Securities Act with respect to the sale or other disposition of all Registrable Securities covered by such registration statement in accordance with the intended methods of disposition by the seller or sellers thereof set forth in such registration statement (and, in connection with any Shelf Registration Statement, file one or more prospectus supplements pursuant to Rule 424 under the Securities Act covering Registrable Securities upon the request of one or more Holders wishing to offer or sell Registrable Securities whether in an underwritten offering or otherwise);</w:t>
      </w:r>
    </w:p>
    <w:p>
      <w:pPr>
        <w:spacing w:after="0" w:line="155" w:lineRule="exact"/>
        <w:rPr>
          <w:rFonts w:ascii="Arial" w:cs="Arial" w:eastAsia="Arial" w:hAnsi="Arial"/>
          <w:sz w:val="19"/>
          <w:szCs w:val="19"/>
          <w:color w:val="auto"/>
        </w:rPr>
      </w:pPr>
    </w:p>
    <w:p>
      <w:pPr>
        <w:jc w:val="both"/>
        <w:ind w:firstLine="757"/>
        <w:spacing w:after="0" w:line="262" w:lineRule="auto"/>
        <w:tabs>
          <w:tab w:leader="none" w:pos="104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furnish to each seller of Registrable Securities such number of copies of such registration statement, each amendment and supplement thereto, the prospectus included in such registration statement (including each preliminary prospectus) and such other documents as such seller may reasonably request in order to facilitate the disposition of the Registrable Securities owned by such seller;</w:t>
      </w:r>
    </w:p>
    <w:p>
      <w:pPr>
        <w:spacing w:after="0" w:line="191" w:lineRule="exact"/>
        <w:rPr>
          <w:rFonts w:ascii="Arial" w:cs="Arial" w:eastAsia="Arial" w:hAnsi="Arial"/>
          <w:sz w:val="22"/>
          <w:szCs w:val="22"/>
          <w:color w:val="auto"/>
        </w:rPr>
      </w:pPr>
    </w:p>
    <w:p>
      <w:pPr>
        <w:jc w:val="both"/>
        <w:ind w:firstLine="757"/>
        <w:spacing w:after="0" w:line="274" w:lineRule="auto"/>
        <w:tabs>
          <w:tab w:leader="none" w:pos="105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(provided that the Company shall not be required to (i) qualify generally to do business in any jurisdiction where it would not otherwise be required to qualify but for this subparagraph, (ii) subject itself to taxation in any such jurisdiction or (iii) consent to general service of process in any such jurisdiction);</w:t>
      </w:r>
    </w:p>
    <w:p>
      <w:pPr>
        <w:spacing w:after="0" w:line="181" w:lineRule="exact"/>
        <w:rPr>
          <w:rFonts w:ascii="Arial" w:cs="Arial" w:eastAsia="Arial" w:hAnsi="Arial"/>
          <w:sz w:val="21"/>
          <w:szCs w:val="21"/>
          <w:color w:val="auto"/>
        </w:rPr>
      </w:pPr>
    </w:p>
    <w:p>
      <w:pPr>
        <w:jc w:val="both"/>
        <w:ind w:right="20" w:firstLine="757"/>
        <w:spacing w:after="0" w:line="266" w:lineRule="auto"/>
        <w:tabs>
          <w:tab w:leader="none" w:pos="105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promptly notify each seller of such Registrable Securities, at any time when a prospectus relating thereto is required to be delivered under the Securities Act, of the happening of any event as a result of which the prospectus included in such registration statement contains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6" w:name="page207"/>
    <w:bookmarkEnd w:id="206"/>
    <w:p>
      <w:pPr>
        <w:jc w:val="both"/>
        <w:spacing w:after="0" w:line="279" w:lineRule="auto"/>
        <w:rPr>
          <w:sz w:val="20"/>
          <w:szCs w:val="20"/>
          <w:color w:val="auto"/>
        </w:rPr>
      </w:pPr>
      <w:r>
        <w:rPr>
          <w:rFonts w:ascii="Arial" w:cs="Arial" w:eastAsia="Arial" w:hAnsi="Arial"/>
          <w:sz w:val="21"/>
          <w:szCs w:val="21"/>
          <w:color w:val="auto"/>
        </w:rPr>
        <w:t>an untrue statement of a material fact or omits any fact necessary to make the statements therein not misleading, and,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73" w:lineRule="exact"/>
        <w:rPr>
          <w:sz w:val="20"/>
          <w:szCs w:val="20"/>
          <w:color w:val="auto"/>
        </w:rPr>
      </w:pPr>
    </w:p>
    <w:p>
      <w:pPr>
        <w:ind w:left="1020" w:hanging="263"/>
        <w:spacing w:after="0"/>
        <w:tabs>
          <w:tab w:leader="none" w:pos="10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promptly notify each Participating Holder and each managing underwriter, if any:</w:t>
      </w:r>
    </w:p>
    <w:p>
      <w:pPr>
        <w:spacing w:after="0" w:line="233" w:lineRule="exact"/>
        <w:rPr>
          <w:rFonts w:ascii="Arial" w:cs="Arial" w:eastAsia="Arial" w:hAnsi="Arial"/>
          <w:sz w:val="22"/>
          <w:szCs w:val="22"/>
          <w:color w:val="auto"/>
        </w:rPr>
      </w:pPr>
    </w:p>
    <w:p>
      <w:pPr>
        <w:jc w:val="both"/>
        <w:ind w:firstLine="1505"/>
        <w:spacing w:after="0" w:line="300" w:lineRule="auto"/>
        <w:tabs>
          <w:tab w:leader="none" w:pos="1767" w:val="left"/>
        </w:tabs>
        <w:numPr>
          <w:ilvl w:val="1"/>
          <w:numId w:val="158"/>
        </w:numPr>
        <w:rPr>
          <w:rFonts w:ascii="Arial" w:cs="Arial" w:eastAsia="Arial" w:hAnsi="Arial"/>
          <w:sz w:val="19"/>
          <w:szCs w:val="19"/>
          <w:color w:val="auto"/>
        </w:rPr>
      </w:pPr>
      <w:r>
        <w:rPr>
          <w:rFonts w:ascii="Arial" w:cs="Arial" w:eastAsia="Arial" w:hAnsi="Arial"/>
          <w:sz w:val="19"/>
          <w:szCs w:val="19"/>
          <w:color w:val="auto"/>
        </w:rPr>
        <w:t>when the registration statement, any pre-effective amendment, the prospectus or any prospectus supplement related thereto, any post-effective amendment to the registration statement or any free writing prospectus has been filed and, with respect to the registration statement or any post- effective amendment, when the same has become effective; (ii) of any request by the SEC or state securities authority for amendments or supplements to the registration statement or the prospectus related thereto or for additional information; (iii) of the issuance by the SEC of any stop order suspending the effectiveness of the registration statement or the initiation of any proceedings for that purpose; (iv) of the receipt by the Company of any notification with respect to the suspension of the qualification of any Registrable Securities for sale under the securities or state “blue sky” laws of any jurisdiction or the initiation of any proceeding for such purpose; (v) of the existence of any fact of which the Company becomes aware which results in the registration statement or any amendment thereto, the prospectus related thereto or any supplement thereto, any document incorporated therein by reference, any free writing prospectus or the information conveyed to any purchaser at the time of sale to such purchaser containing an untrue statement of a material fact or omitting to state a material fact required to be stated therein or necessary to make any statement therein not misleading; and (vi) if at any time the representations and warranties contemplated by any underwriting agreement, securities sale agreement, or other similar agreement, relating to the offering shall cease to be true and correct in all material respects; and, if the notification relates to an event described in clause (v), the Company shall promptly prepare and furnish to each such seller and each underwriter, if any, a reasonable number of copies of a prospectus supplemented or amended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w:t>
      </w:r>
    </w:p>
    <w:p>
      <w:pPr>
        <w:spacing w:after="0" w:line="160" w:lineRule="exact"/>
        <w:rPr>
          <w:rFonts w:ascii="Arial" w:cs="Arial" w:eastAsia="Arial" w:hAnsi="Arial"/>
          <w:sz w:val="19"/>
          <w:szCs w:val="19"/>
          <w:color w:val="auto"/>
        </w:rPr>
      </w:pPr>
    </w:p>
    <w:p>
      <w:pPr>
        <w:jc w:val="both"/>
        <w:ind w:firstLine="757"/>
        <w:spacing w:after="0" w:line="262" w:lineRule="auto"/>
        <w:tabs>
          <w:tab w:leader="none" w:pos="105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cause all such Registrable Securities to be listed on each securities exchange on which similar securities issued by the Company are then listed and, if not so listed, cause all such Registrable Securities to be listed on a national securities exchange and, without limiting the generality of the foregoing, to arrange for at least two market makers to register as such with respect to such Registrable Securities with FINRA;</w:t>
      </w:r>
    </w:p>
    <w:p>
      <w:pPr>
        <w:spacing w:after="0" w:line="191" w:lineRule="exact"/>
        <w:rPr>
          <w:rFonts w:ascii="Arial" w:cs="Arial" w:eastAsia="Arial" w:hAnsi="Arial"/>
          <w:sz w:val="22"/>
          <w:szCs w:val="22"/>
          <w:color w:val="auto"/>
        </w:rPr>
      </w:pPr>
    </w:p>
    <w:p>
      <w:pPr>
        <w:jc w:val="both"/>
        <w:ind w:firstLine="757"/>
        <w:spacing w:after="0" w:line="262" w:lineRule="auto"/>
        <w:tabs>
          <w:tab w:leader="none" w:pos="106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cause its senior management, officers and employees to participate in, and to otherwise facilitate and cooperate with the preparation of the registration statement and prospectus and any amendments or supplements thereto (including participating in meetings, drafting sessions, due diligence sessions and rating agency presentations) taking into account the Company’s reasonable business needs;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7" w:name="page208"/>
    <w:bookmarkEnd w:id="207"/>
    <w:p>
      <w:pPr>
        <w:ind w:firstLine="757"/>
        <w:spacing w:after="0" w:line="276" w:lineRule="auto"/>
        <w:tabs>
          <w:tab w:leader="none" w:pos="104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provide a transfer agent and registrar for all such Registrable Securities not later than the effective date of such registration statement;</w:t>
      </w:r>
    </w:p>
    <w:p>
      <w:pPr>
        <w:spacing w:after="0" w:line="174" w:lineRule="exact"/>
        <w:rPr>
          <w:rFonts w:ascii="Arial" w:cs="Arial" w:eastAsia="Arial" w:hAnsi="Arial"/>
          <w:sz w:val="22"/>
          <w:szCs w:val="22"/>
          <w:color w:val="auto"/>
        </w:rPr>
      </w:pPr>
    </w:p>
    <w:p>
      <w:pPr>
        <w:jc w:val="both"/>
        <w:ind w:firstLine="757"/>
        <w:spacing w:after="0" w:line="327" w:lineRule="auto"/>
        <w:tabs>
          <w:tab w:leader="none" w:pos="101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enter into such customary agreements (including underwriting agreements in customary form) and take all such other actions as the Majority Participating Holders being sold or the underwriters, if any, reasonably request in order to expedite or facilitate the disposition of such Registrable Securities (including effecting a stock split or a combination of shares);</w:t>
      </w:r>
    </w:p>
    <w:p>
      <w:pPr>
        <w:spacing w:after="0" w:line="132" w:lineRule="exact"/>
        <w:rPr>
          <w:rFonts w:ascii="Arial" w:cs="Arial" w:eastAsia="Arial" w:hAnsi="Arial"/>
          <w:sz w:val="19"/>
          <w:szCs w:val="19"/>
          <w:color w:val="auto"/>
        </w:rPr>
      </w:pPr>
    </w:p>
    <w:p>
      <w:pPr>
        <w:jc w:val="both"/>
        <w:ind w:firstLine="757"/>
        <w:spacing w:after="0" w:line="272" w:lineRule="auto"/>
        <w:tabs>
          <w:tab w:leader="none" w:pos="106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in any transaction involving the use of an underwriter or underwriters, use its reasonable best efforts (i) to obtain an opinion from the Company’s counsel, including local and/or regulatory counsel, and a comfort letter and updates thereof from the Company’s independent public accountants who have certified the Company’s financial statements included or incorporated by reference in such registration statement, in each case, in customary form and covering such matters as are customarily covered by such opinions and comfort letters (including, in the case of such comfort letter, events subsequent to the date of such financial statements) delivered to underwriters in underwritten public offerings, which opinion and letter shall be dated the dates such opinions and comfort letters are customarily dated and otherwise reasonably satisfactory to the underwriters, if any, and (ii) furnish to each Holder participating in the offering and to each underwriter, if any, a copy of such opinion and letter addressed to such underwriter;</w:t>
      </w:r>
    </w:p>
    <w:p>
      <w:pPr>
        <w:spacing w:after="0" w:line="182" w:lineRule="exact"/>
        <w:rPr>
          <w:rFonts w:ascii="Arial" w:cs="Arial" w:eastAsia="Arial" w:hAnsi="Arial"/>
          <w:sz w:val="21"/>
          <w:szCs w:val="21"/>
          <w:color w:val="auto"/>
        </w:rPr>
      </w:pPr>
    </w:p>
    <w:p>
      <w:pPr>
        <w:jc w:val="both"/>
        <w:ind w:firstLine="757"/>
        <w:spacing w:after="0" w:line="276" w:lineRule="auto"/>
        <w:tabs>
          <w:tab w:leader="none" w:pos="101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connection with such registration statement;</w:t>
      </w:r>
    </w:p>
    <w:p>
      <w:pPr>
        <w:spacing w:after="0" w:line="177" w:lineRule="exact"/>
        <w:rPr>
          <w:rFonts w:ascii="Arial" w:cs="Arial" w:eastAsia="Arial" w:hAnsi="Arial"/>
          <w:sz w:val="21"/>
          <w:szCs w:val="21"/>
          <w:color w:val="auto"/>
        </w:rPr>
      </w:pPr>
    </w:p>
    <w:p>
      <w:pPr>
        <w:jc w:val="both"/>
        <w:ind w:firstLine="757"/>
        <w:spacing w:after="0" w:line="304" w:lineRule="auto"/>
        <w:tabs>
          <w:tab w:leader="none" w:pos="113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deliver promptly to counsel for each Participating Holder and to each managing underwriter, if any, copies of all correspondence between the SEC and the Company, its counsel or auditors and all memoranda relating to discussions with the SEC or its staff with respect to the registration statement, and, upon receipt of such confidentiality agreements as the Company may reasonably request, make reasonably available for inspection by counsel for each Participating Holder, by counsel for any underwriter, participating in any disposition to be effected pursuant to such registration statement and by any accountant or other agent retained by any Participating Holder or any such underwriter, all pertinent financial and other records, pertinent corporate documents and properties of the Company, and cause all of the Company’s officers, directors and employees to supply all information reasonably requested by any such counsel for a Participating Holder, counsel for an underwriter, accountant or agent in connection with such registration statement;</w:t>
      </w:r>
    </w:p>
    <w:p>
      <w:pPr>
        <w:spacing w:after="0" w:line="155" w:lineRule="exact"/>
        <w:rPr>
          <w:rFonts w:ascii="Arial" w:cs="Arial" w:eastAsia="Arial" w:hAnsi="Arial"/>
          <w:sz w:val="19"/>
          <w:szCs w:val="19"/>
          <w:color w:val="auto"/>
        </w:rPr>
      </w:pPr>
    </w:p>
    <w:p>
      <w:pPr>
        <w:jc w:val="both"/>
        <w:ind w:right="20" w:firstLine="757"/>
        <w:spacing w:after="0" w:line="266" w:lineRule="auto"/>
        <w:tabs>
          <w:tab w:leader="none" w:pos="108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use its reasonable best efforts to obtain the prompt withdrawal of any order suspending the effectiveness of the registration statement, or the prompt lifting of any suspension of the qualification of any of the Registrable Securities for sale in any jurisdiction, in each case, as promptly as reasonably practicable;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8" w:name="page209"/>
    <w:bookmarkEnd w:id="208"/>
    <w:p>
      <w:pPr>
        <w:ind w:left="1060" w:hanging="303"/>
        <w:spacing w:after="0"/>
        <w:tabs>
          <w:tab w:leader="none" w:pos="10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provide a CUSIP number for all Registrable Securities, not later than the effective date of the registration statement;</w:t>
      </w:r>
    </w:p>
    <w:p>
      <w:pPr>
        <w:spacing w:after="0" w:line="267" w:lineRule="exact"/>
        <w:rPr>
          <w:rFonts w:ascii="Arial" w:cs="Arial" w:eastAsia="Arial" w:hAnsi="Arial"/>
          <w:sz w:val="19"/>
          <w:szCs w:val="19"/>
          <w:color w:val="auto"/>
        </w:rPr>
      </w:pPr>
    </w:p>
    <w:p>
      <w:pPr>
        <w:jc w:val="both"/>
        <w:ind w:firstLine="757"/>
        <w:spacing w:after="0" w:line="262" w:lineRule="auto"/>
        <w:tabs>
          <w:tab w:leader="none" w:pos="108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use its best efforts to make available its senior management, employees and personnel for participation in “road shows” and other marketing efforts and otherwise provide reasonable assistance to the underwriters (taking into account the needs of the Company’s businesses and the requirements of the marketing process) in marketing the Registrable Securities in any underwritten offering;</w:t>
      </w:r>
    </w:p>
    <w:p>
      <w:pPr>
        <w:spacing w:after="0" w:line="191" w:lineRule="exact"/>
        <w:rPr>
          <w:rFonts w:ascii="Arial" w:cs="Arial" w:eastAsia="Arial" w:hAnsi="Arial"/>
          <w:sz w:val="22"/>
          <w:szCs w:val="22"/>
          <w:color w:val="auto"/>
        </w:rPr>
      </w:pPr>
    </w:p>
    <w:p>
      <w:pPr>
        <w:jc w:val="both"/>
        <w:ind w:firstLine="757"/>
        <w:spacing w:after="0" w:line="260" w:lineRule="auto"/>
        <w:tabs>
          <w:tab w:leader="none" w:pos="106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promptly prior to the filing of any document which is to be incorporated by reference into the registration statement or the prospectus (after the initial filing of such registration statement), and prior to the filing of any free writing prospectus, provide copies of such document to counsel for each Participating Holder and to each managing underwriter, if any, and make the Company’s representatives reasonably available for discussion of such document and make such changes in such document concerning the Participating Holders prior to the filing thereof as counsel for the Participating Holders or underwriters may reasonably request;</w:t>
      </w:r>
    </w:p>
    <w:p>
      <w:pPr>
        <w:spacing w:after="0" w:line="191" w:lineRule="exact"/>
        <w:rPr>
          <w:rFonts w:ascii="Arial" w:cs="Arial" w:eastAsia="Arial" w:hAnsi="Arial"/>
          <w:sz w:val="22"/>
          <w:szCs w:val="22"/>
          <w:color w:val="auto"/>
        </w:rPr>
      </w:pPr>
    </w:p>
    <w:p>
      <w:pPr>
        <w:jc w:val="both"/>
        <w:ind w:firstLine="757"/>
        <w:spacing w:after="0" w:line="311" w:lineRule="auto"/>
        <w:tabs>
          <w:tab w:leader="none" w:pos="101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furnish to counsel for each Participating Holder and to each managing underwriter, without charge, at least one signed copy of the registration statement and any post-effective amendments or supplements thereto, including financial statements and schedules, all documents incorporated therein by reference, the prospectus contained in such registration statement (including each preliminary prospectus and any summary prospectus), any other prospectus filed under Rule 424 under the Securities Act and all exhibits (including those incorporated by reference) and any free writing prospectus utilized in connection therewith;</w:t>
      </w:r>
    </w:p>
    <w:p>
      <w:pPr>
        <w:spacing w:after="0" w:line="150" w:lineRule="exact"/>
        <w:rPr>
          <w:rFonts w:ascii="Arial" w:cs="Arial" w:eastAsia="Arial" w:hAnsi="Arial"/>
          <w:sz w:val="19"/>
          <w:szCs w:val="19"/>
          <w:color w:val="auto"/>
        </w:rPr>
      </w:pPr>
    </w:p>
    <w:p>
      <w:pPr>
        <w:jc w:val="both"/>
        <w:ind w:firstLine="757"/>
        <w:spacing w:after="0" w:line="259" w:lineRule="auto"/>
        <w:tabs>
          <w:tab w:leader="none" w:pos="103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cooperate with the Participating Holders and the managing underwriter, if any, to facilitate the timely preparation and delivery of certificates not bearing any restrictive legends representing the Registrable Securities to be sold, and cause such Registrable Securities to be issued in such denominations and registered in such names in accordance with the underwriting agreement at least two Business Days prior to any sale of Registrable Securities to the underwriters or, if not an underwritten offering, in accordance with the instructions of the Participating Holders at least two Business Days prior to any sale of Registrable Securities and instruct any transfer agent and registrar of Registrable Securities to release any stop transfer orders in respect thereof;</w:t>
      </w:r>
    </w:p>
    <w:p>
      <w:pPr>
        <w:spacing w:after="0" w:line="195" w:lineRule="exact"/>
        <w:rPr>
          <w:rFonts w:ascii="Arial" w:cs="Arial" w:eastAsia="Arial" w:hAnsi="Arial"/>
          <w:sz w:val="22"/>
          <w:szCs w:val="22"/>
          <w:color w:val="auto"/>
        </w:rPr>
      </w:pPr>
    </w:p>
    <w:p>
      <w:pPr>
        <w:ind w:right="20" w:firstLine="757"/>
        <w:spacing w:after="0" w:line="276" w:lineRule="auto"/>
        <w:tabs>
          <w:tab w:leader="none" w:pos="105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cooperate with any due diligence investigation by any manager, underwriter or Participating Holder and make available such documents and records of</w:t>
      </w:r>
    </w:p>
    <w:p>
      <w:pPr>
        <w:spacing w:after="0" w:line="174" w:lineRule="exact"/>
        <w:rPr>
          <w:rFonts w:ascii="Arial" w:cs="Arial" w:eastAsia="Arial" w:hAnsi="Arial"/>
          <w:sz w:val="22"/>
          <w:szCs w:val="22"/>
          <w:color w:val="auto"/>
        </w:rPr>
      </w:pPr>
    </w:p>
    <w:p>
      <w:pPr>
        <w:jc w:val="both"/>
        <w:ind w:firstLine="757"/>
        <w:spacing w:after="0" w:line="266" w:lineRule="auto"/>
        <w:tabs>
          <w:tab w:leader="none" w:pos="105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Company and its Subsidiaries that they reasonably request (which, in the case of the Participating Holder, may be subject to the execution by the Participating Holder of a customary confidentiality agreement in a form which is reasonably satisfactory to the Company);</w:t>
      </w:r>
    </w:p>
    <w:p>
      <w:pPr>
        <w:spacing w:after="0" w:line="184" w:lineRule="exact"/>
        <w:rPr>
          <w:rFonts w:ascii="Arial" w:cs="Arial" w:eastAsia="Arial" w:hAnsi="Arial"/>
          <w:sz w:val="22"/>
          <w:szCs w:val="22"/>
          <w:color w:val="auto"/>
        </w:rPr>
      </w:pPr>
    </w:p>
    <w:p>
      <w:pPr>
        <w:ind w:left="1060" w:hanging="303"/>
        <w:spacing w:after="0"/>
        <w:tabs>
          <w:tab w:leader="none" w:pos="10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take no direct or indirect action prohibited by Regulation M under the Exchange Act;</w:t>
      </w:r>
    </w:p>
    <w:p>
      <w:pPr>
        <w:spacing w:after="0" w:line="233" w:lineRule="exact"/>
        <w:rPr>
          <w:rFonts w:ascii="Arial" w:cs="Arial" w:eastAsia="Arial" w:hAnsi="Arial"/>
          <w:sz w:val="22"/>
          <w:szCs w:val="22"/>
          <w:color w:val="auto"/>
        </w:rPr>
      </w:pPr>
    </w:p>
    <w:p>
      <w:pPr>
        <w:jc w:val="both"/>
        <w:ind w:firstLine="757"/>
        <w:spacing w:after="0" w:line="317" w:lineRule="auto"/>
        <w:tabs>
          <w:tab w:leader="none" w:pos="110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use its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shall satisfy the provisions of Section 11(a) of the Securities Act and Rule 158 thereunder;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jc w:val="both"/>
        <w:ind w:firstLine="757"/>
        <w:spacing w:after="0" w:line="262" w:lineRule="auto"/>
        <w:tabs>
          <w:tab w:leader="none" w:pos="105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permit any Holder of Registrable Securities which Holder, in its sole and exclusive judgment, might be deemed to be an underwriter or a controlling person of the Company, to participate in the preparation of such registration or comparable statement and to require the insertion therein of material, furnished to the Company in writing, which in the reasonable judgment of such Holder and its counsel should be included;</w:t>
      </w:r>
    </w:p>
    <w:p>
      <w:pPr>
        <w:spacing w:after="0" w:line="191" w:lineRule="exact"/>
        <w:rPr>
          <w:rFonts w:ascii="Arial" w:cs="Arial" w:eastAsia="Arial" w:hAnsi="Arial"/>
          <w:sz w:val="22"/>
          <w:szCs w:val="22"/>
          <w:color w:val="auto"/>
        </w:rPr>
      </w:pPr>
    </w:p>
    <w:p>
      <w:pPr>
        <w:jc w:val="both"/>
        <w:ind w:firstLine="757"/>
        <w:spacing w:after="0" w:line="262" w:lineRule="auto"/>
        <w:tabs>
          <w:tab w:leader="none" w:pos="105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in the event of the issuance of any stop order suspending the effectiveness of a registration statement, or of any order suspending or preventing the use of any related prospectus or suspending the qualification of any of the Company’s equity securities included in such registration statement for sale in any jurisdiction, the Company shall use its best efforts promptly to obtain the withdrawal of such order;</w:t>
      </w:r>
    </w:p>
    <w:p>
      <w:pPr>
        <w:spacing w:after="0" w:line="191" w:lineRule="exact"/>
        <w:rPr>
          <w:rFonts w:ascii="Arial" w:cs="Arial" w:eastAsia="Arial" w:hAnsi="Arial"/>
          <w:sz w:val="22"/>
          <w:szCs w:val="22"/>
          <w:color w:val="auto"/>
        </w:rPr>
      </w:pPr>
    </w:p>
    <w:p>
      <w:pPr>
        <w:jc w:val="both"/>
        <w:ind w:firstLine="757"/>
        <w:spacing w:after="0" w:line="266" w:lineRule="auto"/>
        <w:tabs>
          <w:tab w:leader="none" w:pos="104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use its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85" w:lineRule="exact"/>
        <w:rPr>
          <w:sz w:val="20"/>
          <w:szCs w:val="20"/>
          <w:color w:val="auto"/>
        </w:rPr>
      </w:pPr>
    </w:p>
    <w:p>
      <w:pPr>
        <w:jc w:val="both"/>
        <w:ind w:firstLine="757"/>
        <w:spacing w:after="0" w:line="327" w:lineRule="auto"/>
        <w:tabs>
          <w:tab w:leader="none" w:pos="115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obtain a cold comfort letter from the Company’s independent public accountants in customary form and covering such matters of the type customarily covered by cold comfort letters as the Majority Participating Holders reasonably request; provided, that such Registrable Securities constitute at least 10% of the securities covered by such registration statement; and</w:t>
      </w:r>
    </w:p>
    <w:p>
      <w:pPr>
        <w:spacing w:after="0" w:line="132" w:lineRule="exact"/>
        <w:rPr>
          <w:rFonts w:ascii="Arial" w:cs="Arial" w:eastAsia="Arial" w:hAnsi="Arial"/>
          <w:sz w:val="19"/>
          <w:szCs w:val="19"/>
          <w:color w:val="auto"/>
        </w:rPr>
      </w:pPr>
    </w:p>
    <w:p>
      <w:pPr>
        <w:ind w:firstLine="757"/>
        <w:spacing w:after="0" w:line="276" w:lineRule="auto"/>
        <w:tabs>
          <w:tab w:leader="none" w:pos="117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take all such other commercially reasonable actions as are necessary or advisable in order to expedite or facilitate the disposition of such Registrable Securities;</w:t>
      </w:r>
    </w:p>
    <w:p>
      <w:pPr>
        <w:spacing w:after="0" w:line="174" w:lineRule="exact"/>
        <w:rPr>
          <w:rFonts w:ascii="Arial" w:cs="Arial" w:eastAsia="Arial" w:hAnsi="Arial"/>
          <w:sz w:val="22"/>
          <w:szCs w:val="22"/>
          <w:color w:val="auto"/>
        </w:rPr>
      </w:pPr>
    </w:p>
    <w:p>
      <w:pPr>
        <w:jc w:val="both"/>
        <w:ind w:firstLine="757"/>
        <w:spacing w:after="0" w:line="260" w:lineRule="auto"/>
        <w:tabs>
          <w:tab w:leader="none" w:pos="116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take all reasonable action to ensure that any free writing prospectus utilized in connection with any registration covered by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191" w:lineRule="exact"/>
        <w:rPr>
          <w:rFonts w:ascii="Arial" w:cs="Arial" w:eastAsia="Arial" w:hAnsi="Arial"/>
          <w:sz w:val="22"/>
          <w:szCs w:val="22"/>
          <w:color w:val="auto"/>
        </w:rPr>
      </w:pPr>
    </w:p>
    <w:p>
      <w:pPr>
        <w:jc w:val="both"/>
        <w:ind w:firstLine="757"/>
        <w:spacing w:after="0" w:line="261" w:lineRule="auto"/>
        <w:tabs>
          <w:tab w:leader="none" w:pos="117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connection with any underwritten offering, if at any time the information conveyed to a purchaser at the time of sale includes any untrue statement of a material fact or omits to state any material fact necessary in order to make the statements therein, in light of the circumstances under which they were made, not misleading, promptly file with the SEC such amendments or supplements to such information as may be necessary so that the statements as so amended or supplemented will not, in light of the circumstances, be misleading.</w:t>
      </w:r>
    </w:p>
    <w:p>
      <w:pPr>
        <w:spacing w:after="0" w:line="190" w:lineRule="exact"/>
        <w:rPr>
          <w:sz w:val="20"/>
          <w:szCs w:val="20"/>
          <w:color w:val="auto"/>
        </w:rPr>
      </w:pPr>
    </w:p>
    <w:p>
      <w:pPr>
        <w:jc w:val="both"/>
        <w:ind w:firstLine="749"/>
        <w:spacing w:after="0" w:line="31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All Expenses incurred in connection with any registration, filing, qualification or compliance pursuant to Article 2 shall be borne by the Company, whether or not a registration statement becomes effective. All underwriting discounts and all selling commissions relating to securities registered by the Holders shall be borne by the holders or such securities pro rata in accordance with the number of shares sold in the offering by such Participating Holder.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0" w:name="page211"/>
    <w:bookmarkEnd w:id="210"/>
    <w:p>
      <w:pPr>
        <w:ind w:right="20" w:firstLine="749"/>
        <w:spacing w:after="0" w:line="27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No Required Sale</w:t>
      </w:r>
      <w:r>
        <w:rPr>
          <w:rFonts w:ascii="Arial" w:cs="Arial" w:eastAsia="Arial" w:hAnsi="Arial"/>
          <w:sz w:val="22"/>
          <w:szCs w:val="22"/>
          <w:color w:val="auto"/>
        </w:rPr>
        <w:t>. Nothing in this Agreement shall be deemed to create an independent obligation on the part of any Holder to sell any Registrable Securities pursuant to any effective registration statement.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298" w:lineRule="auto"/>
        <w:tabs>
          <w:tab w:leader="none" w:pos="104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In the event of any registration and/or offering of any securities of the Company under the Securities Act pursuant to this Article 2, the Company will, and hereby agrees to, and hereby does, indemnify and hold harmless, to the fullest extent permitted by law, each Holder, its directors, officers, fiduciaries, trustees, employees, shareholders, members or general and limited partners (and the directors, officers, fiduciaries, employees, shareholders, members, beneficiaries or general and limited partners thereof), any underwriter (as defined in the Securities Act) for such Holder and each Person, if any, who controls such Holder or underwriter within the meaning of the Securities Act or Exchange Act, from and against any and all losses, claims, damages or liabilities, joint or several, actions or proceedings (whether commenced or threatened) and expenses (including reasonable fees of counsel and any amounts paid in any settlement effected with the Company’s consent, which consent shall not be unreasonably withheld or delayed) to which each such indemnified party may become subject under the Securities Act or otherwise in respect thereof (collectively, “Claims”), insofar as such Claims arise out of or are based upon (i) any untrue statement or alleged untrue statement of a material fact contained in any registration statement under which such securities were registered under the Securities Act or the omission or alleged omission to state therein a material fact required to be stated therein or necessary to make the statements therein not misleading, (ii) any untrue statement or alleged untrue statement of a material fact contained in any preliminary or final prospectus or any amendment or supplement thereto, together with the documents incorporated by reference therein, or any free writing prospectus utilized in connection therewith, or the omission or alleged omission to state therein a material fact required to be stated therein or necessary in order to make the statements therein, in the light of the circumstances under which they were made, not misleading, or (iii) any untrue statement or alleged untrue statement of a material fact in the information conveyed by the Company to any purchaser at the time of the sale to such purchaser, or the omission or alleged omission to state therein a material fact required to be stated therein, or (iv) any violation by the Company of any federal, state or common law rule or regulation applicable to the Company and relating to action required of or inaction by the Company in connection with any such registration, and the Company will reimburse any such indemnified party for any legal or other expenses reasonably incurred by such indemnified party in connection with investigating or defending any such Claim as such expenses are incurred; provided, however, that the Company shall not be liable to any such indemnified party in any such case to the extent such Claim arises out of or is based upon any untrue statement or alleged untrue statement of a material fact or omission or alleged omission of a material fact made in such registration statement or amendment thereof or supplement thereto or in any such prospectus or any preliminary or final prospectus or free writing prospectus in reliance upon and in conformity with written information furnished to the Company by or on behalf of such indemnified party specifically for use therein. Such indemnity and reimbursement of expenses shall remain in full force and effect regardless of any investigation made by or on behalf of such indemnified party and shall survive the transfer of such securities by such seller.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jc w:val="both"/>
        <w:ind w:firstLine="757"/>
        <w:spacing w:after="0" w:line="299" w:lineRule="auto"/>
        <w:tabs>
          <w:tab w:leader="none" w:pos="106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Each Participating Holder shall, severally and not jointly, indemnify and hold harmless (in the same manner and to the same extent as set forth in paragraph (a) of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to the extent permitted by law the Company, its officers and directors, each Person controlling the Company within the meaning of the Securities Act, each underwriter (within the meaning of the Securities Act) of the Company’s securities covered by such a registration statement, any Person who controls such underwriter, and any other Holder selling securities in such registration statement and each of its directors, officers, partners or agents or any Person who controls such Holder with respect to any untrue statement or alleged untrue statement of any material fact in, or omission or alleged omission of any material fact from, such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the Company or its representatives by or on behalf of such Participating Holder, specifically for use therein and reimburse such indemnified party for any legal or other expenses reasonably incurred in connection with investigating or defending any such Claim as such expenses are incurred; provided, however, that the aggregate amount which any such Participating Holder shall be required to pay pursuant to this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shall in no case be greater than the amount of the net proceeds actually received by such Participating Holder upon the sale of the Registrable Securities pursuant to the registration statement giving rise to such Claim. The Company and each Participating Holder hereby acknowledge and agree that, unless otherwise expressly agreed to in writing by such Participating Holders to the contrary, for all purposes of this Agreement, the only information furnished or to be furnished to the Company for use in any such registration statement, preliminary or final prospectus or amendment or supplement thereto or any free writing prospectus are statements specifically relating to (a) the Beneficial Ownership of Class A Common Stock by such Participating Holder and its Affiliates and (b) the name and address of such Participating Holder. Such indemnity and reimbursement of expenses shall remain in full force and effect regardless of any investigation made by or on behalf of such indemnified party and shall survive the transfer of such securities by such Holder.</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757"/>
        <w:spacing w:after="0" w:line="301" w:lineRule="auto"/>
        <w:tabs>
          <w:tab w:leader="none" w:pos="104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Any Person entitled to indemnification under this Agreement shall notify promptly the indemnifying party in writing of the commencement of any action or proceeding with respect to which a claim for indemnification may be made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but the failure of any indemnified party to provide such notice shall not relieve the indemnifying party of its obligations under the preceding paragraphs of this </w:t>
      </w:r>
      <w:r>
        <w:rPr>
          <w:rFonts w:ascii="Arial" w:cs="Arial" w:eastAsia="Arial" w:hAnsi="Arial"/>
          <w:sz w:val="19"/>
          <w:szCs w:val="19"/>
          <w:u w:val="single" w:color="auto"/>
          <w:color w:val="auto"/>
        </w:rPr>
        <w:t>Section 2.9</w:t>
      </w:r>
      <w:r>
        <w:rPr>
          <w:rFonts w:ascii="Arial" w:cs="Arial" w:eastAsia="Arial" w:hAnsi="Arial"/>
          <w:sz w:val="19"/>
          <w:szCs w:val="19"/>
          <w:color w:val="auto"/>
        </w:rPr>
        <w:t>, except to the extent the indemnifying party is materially and actually prejudiced thereby and shall not relieve the indemnifying party from any liability which it may have to any indemnified party otherwise than under this Article 2. In case any action or proceeding is brought against an indemnified party, the indemnifying party shall be entitled to (x) participate in such action or proceeding and (y) unless, in the reasonable opinion of outside counsel to the indemnified party, a conflict of interest between such indemnified and indemnifying parties may exist in respect of such claim, assume the defense thereof jointly with any other indemnifying party similarly notified, with counsel reasonably satisfactory to such indemnified party. The indemnifying party shall promptly notify the indemnified party of its decision to assume the defense of such action or proceeding. If, and after, the indemnified party has received such notice from the indemnifying party, the indemnifying party shall not be liable to such indemnified party for any legal or other expenses subsequently incurred by such indemnified party in connection with the defense of such action or proceeding other than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jc w:val="both"/>
        <w:spacing w:after="0" w:line="300" w:lineRule="auto"/>
        <w:rPr>
          <w:sz w:val="20"/>
          <w:szCs w:val="20"/>
          <w:color w:val="auto"/>
        </w:rPr>
      </w:pPr>
      <w:r>
        <w:rPr>
          <w:rFonts w:ascii="Arial" w:cs="Arial" w:eastAsia="Arial" w:hAnsi="Arial"/>
          <w:sz w:val="19"/>
          <w:szCs w:val="19"/>
          <w:color w:val="auto"/>
        </w:rPr>
        <w:t xml:space="preserve">reasonable costs of investigation; provided, however, that (i) if the indemnifying party fails to take reasonable steps necessary to defend diligently the action or proceeding within 10 days after receiving notice from such indemnified party that the indemnified party believes it has failed to do so; or (ii) if such indemnified party who is a defendant in any action or proceeding which is also brought against the indemnifying party reasonably shall have concluded that there may be one or more legal or equitable defenses available to such indemnified party which are not available to the indemnifying party or which may conflict with those available to another indemnified party with respect to such Claim; or (iii) 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firm of counsel for all indemnified parties in each jurisdiction, except to the extent any indemnified party or parties reasonably shall have made a conclusion described in clause (ii) or (iii) above) and the indemnifying party shall be liable for any expenses therefor.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or compromise (i) includes an unconditional release of such indemnified party from all liability on any claims that are the subject matter of such action or claim and (ii) does not include a statement as to, or an admission of, fault, culpability or a failure to act by or on behalf of an indemnified party. The indemnity obligations contained in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shall not apply to amounts paid in settlement of any such loss, claim, damage, liability or action if such settlement is effected without the consent of the indemnified party which consent shall not be unreasonably withheld.</w:t>
      </w:r>
    </w:p>
    <w:p>
      <w:pPr>
        <w:spacing w:after="0" w:line="160" w:lineRule="exact"/>
        <w:rPr>
          <w:sz w:val="20"/>
          <w:szCs w:val="20"/>
          <w:color w:val="auto"/>
        </w:rPr>
      </w:pPr>
    </w:p>
    <w:p>
      <w:pPr>
        <w:jc w:val="both"/>
        <w:ind w:firstLine="757"/>
        <w:spacing w:after="0" w:line="300" w:lineRule="auto"/>
        <w:tabs>
          <w:tab w:leader="none" w:pos="109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If for any reason the foregoing indemnity is held by a court of competent jurisdiction to be unavailable to an indemnified party under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2.7(b)</w:t>
      </w:r>
      <w:r>
        <w:rPr>
          <w:rFonts w:ascii="Arial" w:cs="Arial" w:eastAsia="Arial" w:hAnsi="Arial"/>
          <w:sz w:val="19"/>
          <w:szCs w:val="19"/>
          <w:color w:val="0000FF"/>
        </w:rPr>
        <w:t>,</w:t>
      </w:r>
      <w:r>
        <w:rPr>
          <w:rFonts w:ascii="Arial" w:cs="Arial" w:eastAsia="Arial" w:hAnsi="Arial"/>
          <w:sz w:val="19"/>
          <w:szCs w:val="19"/>
          <w:color w:val="auto"/>
        </w:rPr>
        <w:t xml:space="preserve"> then each applicable indemnifying party shall contribute to the amount paid or payable to such indemnified party as a result of any Claim in such proportion as is appropriate to reflect the relative fault of the indemnifying party, on the one hand, and the indemnified party, on the other hand, with respect to such Claim as well as any other relevant equitable considerations. The relative fault shall be determined by a court of law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If, however, the allocation provided in the second preceding sentence is not permitted by applicable law, then each indemnifying party shall contribute to the amount paid or payable by such indemnified party in such proportion as is appropriate to reflect not only such relative faults but also the relative benefits of the indemnifying party and the indemnified party as well as any other relevant equitable considerations. The parties hereto agree that it would not be just and equitable if any contribution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were to be determined by pro rata allocation or by any other method of allocation which does not take account of the equitable considerations referred to in the preceding sentences of this </w:t>
      </w:r>
      <w:r>
        <w:rPr>
          <w:rFonts w:ascii="Arial" w:cs="Arial" w:eastAsia="Arial" w:hAnsi="Arial"/>
          <w:sz w:val="19"/>
          <w:szCs w:val="19"/>
          <w:u w:val="single" w:color="auto"/>
          <w:color w:val="auto"/>
        </w:rPr>
        <w:t>Section 2.7(d)</w:t>
      </w:r>
      <w:r>
        <w:rPr>
          <w:rFonts w:ascii="Arial" w:cs="Arial" w:eastAsia="Arial" w:hAnsi="Arial"/>
          <w:sz w:val="19"/>
          <w:szCs w:val="19"/>
          <w:color w:val="auto"/>
        </w:rPr>
        <w:t>. The amount paid or payable in respect of any Claim shall be deemed to include any legal or other expenses reasonably incurred by such indemnified party in connection with investigating or defending any such Claim. No Person guilty of fraudulent misrepresentation (within the meaning of Section 11(f) of the Securities Act) shall be entitled to contribution from any Person who was not guilty of such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3" w:name="page214"/>
    <w:bookmarkEnd w:id="213"/>
    <w:p>
      <w:pPr>
        <w:jc w:val="both"/>
        <w:spacing w:after="0" w:line="261" w:lineRule="auto"/>
        <w:rPr>
          <w:sz w:val="20"/>
          <w:szCs w:val="20"/>
          <w:color w:val="auto"/>
        </w:rPr>
      </w:pPr>
      <w:r>
        <w:rPr>
          <w:rFonts w:ascii="Arial" w:cs="Arial" w:eastAsia="Arial" w:hAnsi="Arial"/>
          <w:sz w:val="22"/>
          <w:szCs w:val="22"/>
          <w:color w:val="auto"/>
        </w:rPr>
        <w:t xml:space="preserve">fraudulent misrepresentation. Notwithstanding anything in this </w:t>
      </w:r>
      <w:r>
        <w:rPr>
          <w:rFonts w:ascii="Arial" w:cs="Arial" w:eastAsia="Arial" w:hAnsi="Arial"/>
          <w:sz w:val="22"/>
          <w:szCs w:val="22"/>
          <w:u w:val="single" w:color="auto"/>
          <w:color w:val="auto"/>
        </w:rPr>
        <w:t>Section 2.7(d)</w:t>
      </w:r>
      <w:r>
        <w:rPr>
          <w:rFonts w:ascii="Arial" w:cs="Arial" w:eastAsia="Arial" w:hAnsi="Arial"/>
          <w:sz w:val="22"/>
          <w:szCs w:val="22"/>
          <w:color w:val="auto"/>
        </w:rPr>
        <w:t xml:space="preserve"> to the contrary, no indemnifying party (other than the Company) shall be required pursuant to this </w:t>
      </w:r>
      <w:r>
        <w:rPr>
          <w:rFonts w:ascii="Arial" w:cs="Arial" w:eastAsia="Arial" w:hAnsi="Arial"/>
          <w:sz w:val="22"/>
          <w:szCs w:val="22"/>
          <w:u w:val="single" w:color="auto"/>
          <w:color w:val="auto"/>
        </w:rPr>
        <w:t>Section 2.7(d)</w:t>
      </w:r>
      <w:r>
        <w:rPr>
          <w:rFonts w:ascii="Arial" w:cs="Arial" w:eastAsia="Arial" w:hAnsi="Arial"/>
          <w:sz w:val="22"/>
          <w:szCs w:val="22"/>
          <w:color w:val="auto"/>
        </w:rPr>
        <w:t xml:space="preserve"> to contribute any amount greater than the amount of the net proceeds actually received by such indemnifying party upon the sale of the Registrable Securities pursuant to the registration statement giving rise to such Claim, less the amount of any indemnification payment made by such indemnifying party pursuant to </w:t>
      </w:r>
      <w:r>
        <w:rPr>
          <w:rFonts w:ascii="Arial" w:cs="Arial" w:eastAsia="Arial" w:hAnsi="Arial"/>
          <w:sz w:val="22"/>
          <w:szCs w:val="22"/>
          <w:u w:val="single" w:color="auto"/>
          <w:color w:val="auto"/>
        </w:rPr>
        <w:t>Section 2.7(b)</w:t>
      </w:r>
      <w:r>
        <w:rPr>
          <w:rFonts w:ascii="Arial" w:cs="Arial" w:eastAsia="Arial" w:hAnsi="Arial"/>
          <w:sz w:val="22"/>
          <w:szCs w:val="22"/>
          <w:color w:val="auto"/>
        </w:rPr>
        <w:t>.</w:t>
      </w:r>
    </w:p>
    <w:p>
      <w:pPr>
        <w:spacing w:after="0" w:line="190" w:lineRule="exact"/>
        <w:rPr>
          <w:sz w:val="20"/>
          <w:szCs w:val="20"/>
          <w:color w:val="auto"/>
        </w:rPr>
      </w:pPr>
    </w:p>
    <w:p>
      <w:pPr>
        <w:jc w:val="both"/>
        <w:ind w:firstLine="757"/>
        <w:spacing w:after="0" w:line="261" w:lineRule="auto"/>
        <w:tabs>
          <w:tab w:leader="none" w:pos="112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indemnity and contribution agreements contained herein shall be in addition to any other rights to indemnification or contribution which any indemnified party may have pursuant to law or contract (except as set forth in subsection (f) below) and shall remain operative and in full force and effect regardless of any investigation made or omitted by or on behalf of any indemnified party and shall survive the transfer of the Registrable Securities by any such party and the completion of any offering of Registrable Securities in a registration statement.</w:t>
      </w:r>
    </w:p>
    <w:p>
      <w:pPr>
        <w:spacing w:after="0" w:line="190" w:lineRule="exact"/>
        <w:rPr>
          <w:rFonts w:ascii="Arial" w:cs="Arial" w:eastAsia="Arial" w:hAnsi="Arial"/>
          <w:sz w:val="22"/>
          <w:szCs w:val="22"/>
          <w:color w:val="auto"/>
        </w:rPr>
      </w:pPr>
    </w:p>
    <w:p>
      <w:pPr>
        <w:jc w:val="both"/>
        <w:ind w:firstLine="757"/>
        <w:spacing w:after="0" w:line="262" w:lineRule="auto"/>
        <w:tabs>
          <w:tab w:leader="none" w:pos="103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If a customary underwriting agreement shall be entered into in connection with any registration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certain indemnity, contribution and related provisions between the Company and the Participating Holder, the indemnity, contribution and related provisions set forth therein shall supersede the indemnification and contribution provisions set forth in this Section 2.7.</w:t>
      </w:r>
    </w:p>
    <w:p>
      <w:pPr>
        <w:spacing w:after="0" w:line="19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Participation in Underwritten Registrations</w:t>
      </w:r>
      <w:r>
        <w:rPr>
          <w:rFonts w:ascii="Arial" w:cs="Arial" w:eastAsia="Arial" w:hAnsi="Arial"/>
          <w:sz w:val="21"/>
          <w:szCs w:val="21"/>
          <w:color w:val="auto"/>
        </w:rPr>
        <w:t xml:space="preserve">. No Person may participate in any registration hereunder which is underwritten unless such Person (i) agrees to sell such Person’s Registrable Securities on the basis provided in any underwriting arrangements approved by the Person or Persons entitled hereunder to approve such arrangements and (ii) completes and executes all questionnaires, powers of attorney, indemnities, underwriting agreements and other documents required under the terms of such underwriting arrangements; provided, that no Holder of Registrable Securities included in any underwritten registration shall be required to make any representations or warranties to the Company or the underwriters (other than representations and warranties regarding such Holder and such Holder’s intended method of distribution) or to undertake any indemnification obligations, or provide any information, to the Company or the underwriters with respect thereto, except as otherwise provided in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hereof.</w:t>
      </w:r>
    </w:p>
    <w:p>
      <w:pPr>
        <w:spacing w:after="0" w:line="18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No Inconsistent Agreements</w:t>
      </w:r>
      <w:r>
        <w:rPr>
          <w:rFonts w:ascii="Arial" w:cs="Arial" w:eastAsia="Arial" w:hAnsi="Arial"/>
          <w:sz w:val="22"/>
          <w:szCs w:val="22"/>
          <w:color w:val="auto"/>
        </w:rPr>
        <w:t>. The Company shall not hereafter enter into any agreement with respect to its securities that is inconsistent with or violates the rights granted to the Holders in this Agreement.</w:t>
      </w:r>
    </w:p>
    <w:p>
      <w:pPr>
        <w:spacing w:after="0" w:line="17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Adjustments Affecting Registrable Securities</w:t>
      </w:r>
      <w:r>
        <w:rPr>
          <w:rFonts w:ascii="Arial" w:cs="Arial" w:eastAsia="Arial" w:hAnsi="Arial"/>
          <w:sz w:val="22"/>
          <w:szCs w:val="22"/>
          <w:color w:val="auto"/>
        </w:rPr>
        <w:t>. The Company shall not take any action, or permit any change to occur, with respect to its securities which would adversely affect the ability of the Holders of Registrable Securities to include such Registrable Securities in a registration undertaken pursuant to this Agreement or which would adversely affect the marketability of such Registrable Securities in any such registration (including, without limitation, effecting a stock split or a combination of shares).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General</w:t>
      </w:r>
    </w:p>
    <w:p>
      <w:pPr>
        <w:spacing w:after="0" w:line="2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Rule 144 and Rule 144A</w:t>
      </w:r>
      <w:r>
        <w:rPr>
          <w:rFonts w:ascii="Arial" w:cs="Arial" w:eastAsia="Arial" w:hAnsi="Arial"/>
          <w:sz w:val="22"/>
          <w:szCs w:val="22"/>
          <w:color w:val="auto"/>
        </w:rPr>
        <w:t>. If the Company shall have filed a registration statement pursuant to the requirements of Section 12 of the Exchange Act or a registration statement pursuant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4" w:name="page215"/>
    <w:bookmarkEnd w:id="214"/>
    <w:p>
      <w:pPr>
        <w:jc w:val="both"/>
        <w:spacing w:after="0" w:line="302" w:lineRule="auto"/>
        <w:rPr>
          <w:sz w:val="20"/>
          <w:szCs w:val="20"/>
          <w:color w:val="auto"/>
        </w:rPr>
      </w:pPr>
      <w:r>
        <w:rPr>
          <w:rFonts w:ascii="Arial" w:cs="Arial" w:eastAsia="Arial" w:hAnsi="Arial"/>
          <w:sz w:val="19"/>
          <w:szCs w:val="19"/>
          <w:color w:val="auto"/>
        </w:rPr>
        <w:t>to the requirements of the Securities Act in respect of the Class A Common Stock or Common Stock Equivalents, the Company covenants that (i) so long as it remains subject to the reporting provisions of the Exchange Act, it will timely file the reports required to be filed by it under the Securities Act or the Exchange Act (including, but not limited to, the reports under Sections 13 and 15(d) of the Exchange Act referred to in subparagraph (c)(1)(i) of Rule 144 promulgated by the SEC under the Securities Act, as such Rule may be amended (“</w:t>
      </w:r>
      <w:r>
        <w:rPr>
          <w:rFonts w:ascii="Arial" w:cs="Arial" w:eastAsia="Arial" w:hAnsi="Arial"/>
          <w:sz w:val="19"/>
          <w:szCs w:val="19"/>
          <w:u w:val="single" w:color="auto"/>
          <w:color w:val="auto"/>
        </w:rPr>
        <w:t>Rule 144</w:t>
      </w:r>
      <w:r>
        <w:rPr>
          <w:rFonts w:ascii="Arial" w:cs="Arial" w:eastAsia="Arial" w:hAnsi="Arial"/>
          <w:sz w:val="19"/>
          <w:szCs w:val="19"/>
          <w:color w:val="auto"/>
        </w:rPr>
        <w:t>”)) or, if the Company is not required to file such reports, it will, upon the request of any Holder, make publicly available other information so long as necessary to permit sales by such Holder under Rule 144, Rule 144A promulgated by the SEC under the Securities Act, as such Rule may be amended (“</w:t>
      </w:r>
      <w:r>
        <w:rPr>
          <w:rFonts w:ascii="Arial" w:cs="Arial" w:eastAsia="Arial" w:hAnsi="Arial"/>
          <w:sz w:val="19"/>
          <w:szCs w:val="19"/>
          <w:u w:val="single" w:color="auto"/>
          <w:color w:val="auto"/>
        </w:rPr>
        <w:t>Rule 144A</w:t>
      </w:r>
      <w:r>
        <w:rPr>
          <w:rFonts w:ascii="Arial" w:cs="Arial" w:eastAsia="Arial" w:hAnsi="Arial"/>
          <w:sz w:val="19"/>
          <w:szCs w:val="19"/>
          <w:color w:val="auto"/>
        </w:rPr>
        <w:t>”), or any similar rules or regulations hereafter adopted by the SEC, and (ii) it will take such further action as any Holder may reasonably request, all to the extent required from time to time to enable such Holder to sell Registrable Securities without registration under the Securities Act within the limitation of the exemptions provided by (A) Rule 144, (B) Rule 144A or (C) any similar rule or regulation hereafter adopted by the SEC. Upon the request of any Holder of Registrable Securities, the Company will deliver to such Holder a written statement as to whether it has complied with such requirements.</w:t>
      </w:r>
    </w:p>
    <w:p>
      <w:pPr>
        <w:spacing w:after="0" w:line="15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Nominees for Beneficial Owners</w:t>
      </w:r>
      <w:r>
        <w:rPr>
          <w:rFonts w:ascii="Arial" w:cs="Arial" w:eastAsia="Arial" w:hAnsi="Arial"/>
          <w:sz w:val="22"/>
          <w:szCs w:val="22"/>
          <w:color w:val="auto"/>
        </w:rPr>
        <w:t xml:space="preserve">. If Registrable Securities are held by a nominee for the Beneficial Owner thereof the Beneficial Owner thereof may, at its option, be treated as the Holder of such Registrable Securities for purposes of any request or other action by any Holder or Holders of Registrable Securities pursuant to this Agreement (or any determination of any number or percentage of shares constituting Registrable Securities held by any Holder or Holders of Registrable Securities contemplated by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have received assurances reasonably satisfactory to it of such Beneficial Ownership.</w:t>
      </w:r>
    </w:p>
    <w:p>
      <w:pPr>
        <w:spacing w:after="0" w:line="192" w:lineRule="exact"/>
        <w:rPr>
          <w:sz w:val="20"/>
          <w:szCs w:val="20"/>
          <w:color w:val="auto"/>
        </w:rPr>
      </w:pPr>
    </w:p>
    <w:p>
      <w:pPr>
        <w:jc w:val="both"/>
        <w:ind w:firstLine="749"/>
        <w:spacing w:after="0" w:line="30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Except as otherwise provided herein, no modification, amendment or waiver of any provision of this Agreement shall be effective against the Company or any Holder unless such modification, amendment or waiver is approved in writing by (i) the Company and (ii) the Holders holding or Beneficially Owning more than 50% of the Registrable Securities then held by all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modification, supplement or waiver of any of the provisions of this Agreement which disproportionately and materially adversely affects any Holder shall not be effective without the written approval of such Holder. For purposes of the foregoing proviso, each of Advent, Spectrum, the Krantz Holder and 22C shall be deemed to be disproportionately materially adversely affected if any right specifically granted to any such Person herein (even if such right is granted to one or more other Holders), is amended, modified, supplemented or waived. No waiver of any of the provisions of this Agreement shall be deemed to or shall constitute a waiver of any other provision hereof (whether or not similar). No failure or delay on the part of any party in exercising any right, power or privilege hereunder shall operate as a waiver thereof or of any other or future exercise of any such right, power or privilege.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317" w:lineRule="auto"/>
        <w:tabs>
          <w:tab w:leader="none" w:pos="105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All notices and other communications under this Agreement shall be in writing and shall be deemed given (i) when delivered personally by hand (with written confirmation of receipt), (ii) when sent by e-mail, (iii) when received or rejected by the addressee if sent by registered or certified mail, postage prepaid, return receipt requested, or (iv) one Business Day following the day sent by reputable overnight courier (with written confirmation of receipt), in each case at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5" w:name="page216"/>
    <w:bookmarkEnd w:id="215"/>
    <w:p>
      <w:pPr>
        <w:spacing w:after="0" w:line="276" w:lineRule="auto"/>
        <w:rPr>
          <w:sz w:val="20"/>
          <w:szCs w:val="20"/>
          <w:color w:val="auto"/>
        </w:rPr>
      </w:pPr>
      <w:r>
        <w:rPr>
          <w:rFonts w:ascii="Arial" w:cs="Arial" w:eastAsia="Arial" w:hAnsi="Arial"/>
          <w:sz w:val="22"/>
          <w:szCs w:val="22"/>
          <w:color w:val="auto"/>
        </w:rPr>
        <w:t>following addresses (or to such other address as a party may have specified by notice given to the other party pursuant to this provision):</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 if to the Company, to:</w:t>
      </w:r>
    </w:p>
    <w:p>
      <w:pPr>
        <w:spacing w:after="0" w:line="233"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Definitive Healthcare Corp.</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550 Cochiuate Rd</w:t>
      </w:r>
    </w:p>
    <w:p>
      <w:pPr>
        <w:spacing w:after="0" w:line="1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Framingham, MA 01701</w:t>
      </w:r>
    </w:p>
    <w:p>
      <w:pPr>
        <w:spacing w:after="0" w:line="1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Attention: David M. Samuels</w:t>
      </w:r>
    </w:p>
    <w:p>
      <w:pPr>
        <w:spacing w:after="0" w:line="1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E-mail: dsamuels@definitivehc.com</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767 Fifth Avenue</w:t>
      </w:r>
    </w:p>
    <w:p>
      <w:pPr>
        <w:spacing w:after="0" w:line="1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New York, NY 10153</w:t>
      </w:r>
    </w:p>
    <w:p>
      <w:pPr>
        <w:spacing w:after="0" w:line="1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Attention: Alexander D. Lynch and Ashley Butler</w:t>
      </w:r>
    </w:p>
    <w:p>
      <w:pPr>
        <w:spacing w:after="0" w:line="1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Email: alex.lynch@weil.com; ashley.butler@weil.com</w:t>
      </w:r>
    </w:p>
    <w:p>
      <w:pPr>
        <w:spacing w:after="0" w:line="229" w:lineRule="exact"/>
        <w:rPr>
          <w:sz w:val="20"/>
          <w:szCs w:val="20"/>
          <w:color w:val="auto"/>
        </w:rPr>
      </w:pPr>
    </w:p>
    <w:p>
      <w:pPr>
        <w:ind w:left="1820" w:hanging="315"/>
        <w:spacing w:after="0"/>
        <w:tabs>
          <w:tab w:leader="none" w:pos="182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if to the Holders, to the address indicated in the records of the Company.</w:t>
      </w:r>
    </w:p>
    <w:p>
      <w:pPr>
        <w:spacing w:after="0" w:line="233" w:lineRule="exact"/>
        <w:rPr>
          <w:rFonts w:ascii="Arial" w:cs="Arial" w:eastAsia="Arial" w:hAnsi="Arial"/>
          <w:sz w:val="22"/>
          <w:szCs w:val="22"/>
          <w:color w:val="auto"/>
        </w:rPr>
      </w:pPr>
    </w:p>
    <w:p>
      <w:pPr>
        <w:ind w:firstLine="757"/>
        <w:spacing w:after="0" w:line="358" w:lineRule="auto"/>
        <w:tabs>
          <w:tab w:leader="none" w:pos="105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Whenever any notice is required to be given by law or this Agreement, a written waiver thereof, signed by the Person entitled to notice, whether before or after the time stated therein, shall be deemed equivalent to the giving of such notice.</w:t>
      </w:r>
    </w:p>
    <w:p>
      <w:pPr>
        <w:spacing w:after="0" w:line="104"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otherwise provided herein, this Agreement shall be binding upon and inure to the benefit of and be enforceable by the parties hereto and the respective successors, permitted assigns, heirs and personal representatives of the parties hereto, whether so expressed or not. This Agreement may not be assigned by the Company without the prior written consent of each of Advent, Spectrum, the Krantz Holder and 22C. Each Holder shall have the right to assign all or part of its or his rights and obligations under this Agreement only in accordance with transfers of Registrable Securities to such Holder’s Permitted Transferees. Upon any such assignment, such assignee shall have and be able to exercise and enforce all rights of the assigning Holder which are assigned to it and, to the extent such rights are assigned, any reference to the assigning Holder shall be treated as a reference to the assignee. If any Holder shall acquire additional Registrable Securities, such Registrable Securities shall be subject to all of the terms, and entitled to all the benefits, of this Agreement.</w:t>
      </w:r>
    </w:p>
    <w:p>
      <w:pPr>
        <w:spacing w:after="0" w:line="15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documents referred to herein or delivered pursuant hereto which form part hereof constitute the entire agreement and understanding between the parties hereto and supersedes all prior agreements and understandings relating to the subject matter hereof.</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Governing Law; Submission to Jurisdiction; Waiver of Jury Trial</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266" w:lineRule="auto"/>
        <w:tabs>
          <w:tab w:leader="none" w:pos="104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GOVERNING LAW. THIS AGREEMENT SHALL BE GOVERNED BY, AND CONSTRUED IN ACCORDANCE WITH, THE INTERNAL LAWS AND JUDICIAL DECISIONS OF THE STATE OF DELAWARE APPLICABLE TO AGREEMENTS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6" w:name="page217"/>
    <w:bookmarkEnd w:id="216"/>
    <w:p>
      <w:pPr>
        <w:spacing w:after="0" w:line="276" w:lineRule="auto"/>
        <w:rPr>
          <w:sz w:val="20"/>
          <w:szCs w:val="20"/>
          <w:color w:val="auto"/>
        </w:rPr>
      </w:pPr>
      <w:r>
        <w:rPr>
          <w:rFonts w:ascii="Arial" w:cs="Arial" w:eastAsia="Arial" w:hAnsi="Arial"/>
          <w:sz w:val="22"/>
          <w:szCs w:val="22"/>
          <w:color w:val="auto"/>
        </w:rPr>
        <w:t>EXECUTED AND PERFORMED ENTIRELY WITHIN SUCH STATE, REGARDLESS OF THE LAWS THAT MIGHT OTHERWISE GOVERN UNDER APPLICABLE PRINCIPLES OF CONFLICTS OF LAWS THEREOF.</w:t>
      </w:r>
    </w:p>
    <w:p>
      <w:pPr>
        <w:spacing w:after="0" w:line="174" w:lineRule="exact"/>
        <w:rPr>
          <w:sz w:val="20"/>
          <w:szCs w:val="20"/>
          <w:color w:val="auto"/>
        </w:rPr>
      </w:pPr>
    </w:p>
    <w:p>
      <w:pPr>
        <w:jc w:val="both"/>
        <w:ind w:firstLine="757"/>
        <w:spacing w:after="0" w:line="304" w:lineRule="auto"/>
        <w:tabs>
          <w:tab w:leader="none" w:pos="105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Jurisdiction</w:t>
      </w:r>
      <w:r>
        <w:rPr>
          <w:rFonts w:ascii="Arial" w:cs="Arial" w:eastAsia="Arial" w:hAnsi="Arial"/>
          <w:sz w:val="19"/>
          <w:szCs w:val="19"/>
          <w:color w:val="auto"/>
        </w:rPr>
        <w:t>. Each of the parties hereto irrevocably submits to the exclusive jurisdiction of (i) the Court of Chancery of the State of Delaware and (ii) the United States District Court located in the State of Delaware for the purposes of any suit, action or other proceeding arising out of or relating to this Agreement or the transactions contemplated by this Agreement. Each of the parties hereto irrevocably and unconditionally waives any objection to the laying of venue of any action, suit or proceeding arising out of or relating to this Agreement or the transactions contemplated by this Agreement in (I) the Court of Chancery of the State of Delaware or (II) the United States District Court located in the State of Delaware and waives any claim that such suit or proceeding has been brought in an inconvenient forum. Each of the parties hereto agrees that a final and unappealable judgment in any action or proceeding so brought shall be conclusive and may be enforced by suit on the judgment in any jurisdiction within or outside the United States or in any other manner provided in law or in equity</w:t>
      </w:r>
    </w:p>
    <w:p>
      <w:pPr>
        <w:spacing w:after="0" w:line="155" w:lineRule="exact"/>
        <w:rPr>
          <w:rFonts w:ascii="Arial" w:cs="Arial" w:eastAsia="Arial" w:hAnsi="Arial"/>
          <w:sz w:val="19"/>
          <w:szCs w:val="19"/>
          <w:color w:val="auto"/>
        </w:rPr>
      </w:pPr>
    </w:p>
    <w:p>
      <w:pPr>
        <w:jc w:val="both"/>
        <w:ind w:firstLine="757"/>
        <w:spacing w:after="0" w:line="271" w:lineRule="auto"/>
        <w:tabs>
          <w:tab w:leader="none" w:pos="1056"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21"/>
          <w:szCs w:val="21"/>
          <w:u w:val="single" w:color="auto"/>
          <w:color w:val="auto"/>
        </w:rPr>
        <w:t>3.7</w:t>
      </w:r>
      <w:r>
        <w:rPr>
          <w:rFonts w:ascii="Arial" w:cs="Arial" w:eastAsia="Arial" w:hAnsi="Arial"/>
          <w:sz w:val="21"/>
          <w:szCs w:val="21"/>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Interpretation; Construction</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261" w:lineRule="auto"/>
        <w:tabs>
          <w:tab w:leader="none" w:pos="104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table of contents and headings in this Agreement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 Whenever the words “</w:t>
      </w:r>
      <w:r>
        <w:rPr>
          <w:rFonts w:ascii="Arial" w:cs="Arial" w:eastAsia="Arial" w:hAnsi="Arial"/>
          <w:sz w:val="22"/>
          <w:szCs w:val="22"/>
          <w:u w:val="single" w:color="auto"/>
          <w:color w:val="auto"/>
        </w:rPr>
        <w:t>include</w:t>
      </w:r>
      <w:r>
        <w:rPr>
          <w:rFonts w:ascii="Arial" w:cs="Arial" w:eastAsia="Arial" w:hAnsi="Arial"/>
          <w:sz w:val="22"/>
          <w:szCs w:val="22"/>
          <w:color w:val="auto"/>
        </w:rPr>
        <w:t>,” “</w:t>
      </w:r>
      <w:r>
        <w:rPr>
          <w:rFonts w:ascii="Arial" w:cs="Arial" w:eastAsia="Arial" w:hAnsi="Arial"/>
          <w:sz w:val="22"/>
          <w:szCs w:val="22"/>
          <w:u w:val="single" w:color="auto"/>
          <w:color w:val="auto"/>
        </w:rPr>
        <w:t>includes</w:t>
      </w:r>
      <w:r>
        <w:rPr>
          <w:rFonts w:ascii="Arial" w:cs="Arial" w:eastAsia="Arial" w:hAnsi="Arial"/>
          <w:sz w:val="22"/>
          <w:szCs w:val="22"/>
          <w:color w:val="auto"/>
        </w:rPr>
        <w:t>” or “</w:t>
      </w:r>
      <w:r>
        <w:rPr>
          <w:rFonts w:ascii="Arial" w:cs="Arial" w:eastAsia="Arial" w:hAnsi="Arial"/>
          <w:sz w:val="22"/>
          <w:szCs w:val="22"/>
          <w:u w:val="single" w:color="auto"/>
          <w:color w:val="auto"/>
        </w:rPr>
        <w:t>including</w:t>
      </w:r>
      <w:r>
        <w:rPr>
          <w:rFonts w:ascii="Arial" w:cs="Arial" w:eastAsia="Arial" w:hAnsi="Arial"/>
          <w:sz w:val="22"/>
          <w:szCs w:val="22"/>
          <w:color w:val="auto"/>
        </w:rPr>
        <w:t>” are used in this Agreement, they shall be deemed to be followed by the words “</w:t>
      </w:r>
      <w:r>
        <w:rPr>
          <w:rFonts w:ascii="Arial" w:cs="Arial" w:eastAsia="Arial" w:hAnsi="Arial"/>
          <w:sz w:val="22"/>
          <w:szCs w:val="22"/>
          <w:u w:val="single" w:color="auto"/>
          <w:color w:val="auto"/>
        </w:rPr>
        <w:t>without limitation</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jc w:val="both"/>
        <w:ind w:firstLine="757"/>
        <w:spacing w:after="0" w:line="262" w:lineRule="auto"/>
        <w:tabs>
          <w:tab w:leader="none" w:pos="106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7" w:name="page218"/>
    <w:bookmarkEnd w:id="217"/>
    <w:p>
      <w:pPr>
        <w:jc w:val="both"/>
        <w:ind w:firstLine="749"/>
        <w:spacing w:after="0" w:line="266"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 any number of separate counterparts (including by facsimile or electronic mail), each of which shall be an original, but all of which together shall constitute one and the same agreement.</w:t>
      </w:r>
    </w:p>
    <w:p>
      <w:pPr>
        <w:spacing w:after="0" w:line="185"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5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Remedies</w:t>
      </w:r>
      <w:r>
        <w:rPr>
          <w:rFonts w:ascii="Arial" w:cs="Arial" w:eastAsia="Arial" w:hAnsi="Arial"/>
          <w:sz w:val="21"/>
          <w:szCs w:val="21"/>
          <w:color w:val="auto"/>
        </w:rPr>
        <w:t>. The parties hereto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breaches of this Agreement and to enforce specifically the terms and provisions of this Agreement, without the posting of any bond, and, if any action should be brought in equity to enforce any of the provisions of this Agreement, none of the parties hereto shall raise the defense that there is an adequate remedy at law. All remedies, either under this Agreement, by law, or otherwise afforded to any party, shall be cumulative and not alternative.</w:t>
      </w:r>
    </w:p>
    <w:p>
      <w:pPr>
        <w:spacing w:after="0" w:line="18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do and perform or cause to be done and performed all such further acts and things and shall execute and deliver all such other agreements, certificates, instruments, and documents as any other party hereto reasonably may request in order to carry out the intent and accomplish the purposes of this Agreement and the consummation of the transactions contemplated hereby.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jc w:val="both"/>
        <w:ind w:firstLine="757"/>
        <w:spacing w:after="0" w:line="262" w:lineRule="auto"/>
        <w:tabs>
          <w:tab w:leader="none" w:pos="106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Each Holder acknowledges that the provisions of this Agreement that require communications by the Company or other Holders to such Holder may result in such Holder and its Section 3.13 Representatives acquiring material non-public information (which may include, solely by way of illustration, the fact that an offering of the Company’s securities is pending or the number of Company securities or the identity of the selling Holders).</w:t>
      </w:r>
    </w:p>
    <w:p>
      <w:pPr>
        <w:spacing w:after="0" w:line="191" w:lineRule="exact"/>
        <w:rPr>
          <w:rFonts w:ascii="Arial" w:cs="Arial" w:eastAsia="Arial" w:hAnsi="Arial"/>
          <w:sz w:val="22"/>
          <w:szCs w:val="22"/>
          <w:color w:val="auto"/>
        </w:rPr>
      </w:pPr>
    </w:p>
    <w:p>
      <w:pPr>
        <w:jc w:val="both"/>
        <w:ind w:firstLine="757"/>
        <w:spacing w:after="0" w:line="273" w:lineRule="auto"/>
        <w:tabs>
          <w:tab w:leader="none" w:pos="108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Each Holder agrees that it will maintain the confidentiality of such material non- public information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21"/>
          <w:szCs w:val="21"/>
          <w:u w:val="single" w:color="auto"/>
          <w:color w:val="auto"/>
        </w:rPr>
        <w:t>Policies</w:t>
      </w:r>
      <w:r>
        <w:rPr>
          <w:rFonts w:ascii="Arial" w:cs="Arial" w:eastAsia="Arial" w:hAnsi="Arial"/>
          <w:sz w:val="21"/>
          <w:szCs w:val="21"/>
          <w:color w:val="auto"/>
        </w:rPr>
        <w:t>”); provided that a Holder may deliver or disclose material non-public information to (i) its directors, officers, employees, agents, attorneys, Affiliates and financial and other advisors, in each case, who reasonably need to know such information (collectively, the “</w:t>
      </w:r>
      <w:r>
        <w:rPr>
          <w:rFonts w:ascii="Arial" w:cs="Arial" w:eastAsia="Arial" w:hAnsi="Arial"/>
          <w:sz w:val="21"/>
          <w:szCs w:val="21"/>
          <w:u w:val="single" w:color="auto"/>
          <w:color w:val="auto"/>
        </w:rPr>
        <w:t>Section 3.13</w:t>
      </w:r>
      <w:r>
        <w:rPr>
          <w:rFonts w:ascii="Arial" w:cs="Arial" w:eastAsia="Arial" w:hAnsi="Arial"/>
          <w:sz w:val="21"/>
          <w:szCs w:val="21"/>
          <w:color w:val="auto"/>
        </w:rPr>
        <w:t xml:space="preserve"> </w:t>
      </w:r>
      <w:r>
        <w:rPr>
          <w:rFonts w:ascii="Arial" w:cs="Arial" w:eastAsia="Arial" w:hAnsi="Arial"/>
          <w:sz w:val="21"/>
          <w:szCs w:val="21"/>
          <w:u w:val="single" w:color="auto"/>
          <w:color w:val="auto"/>
        </w:rPr>
        <w:t>Representatives</w:t>
      </w:r>
      <w:r>
        <w:rPr>
          <w:rFonts w:ascii="Arial" w:cs="Arial" w:eastAsia="Arial" w:hAnsi="Arial"/>
          <w:sz w:val="21"/>
          <w:szCs w:val="21"/>
          <w:color w:val="auto"/>
        </w:rPr>
        <w:t>”),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jc w:val="both"/>
        <w:spacing w:after="0" w:line="262" w:lineRule="auto"/>
        <w:rPr>
          <w:sz w:val="20"/>
          <w:szCs w:val="20"/>
          <w:color w:val="auto"/>
        </w:rPr>
      </w:pPr>
      <w:r>
        <w:rPr>
          <w:rFonts w:ascii="Arial" w:cs="Arial" w:eastAsia="Arial" w:hAnsi="Arial"/>
          <w:sz w:val="22"/>
          <w:szCs w:val="22"/>
          <w:color w:val="auto"/>
        </w:rPr>
        <w:t xml:space="preserve">such Holder is advised by counsel that such information reasonably needs to be disclosed in connection with such litigation; provided further, that in the case of clause (i), the recipients of such material non-public information are subject to the Policies or are directed to hold confidential the material non-public information in a manner substantially consistent with the terms of this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191" w:lineRule="exact"/>
        <w:rPr>
          <w:sz w:val="20"/>
          <w:szCs w:val="20"/>
          <w:color w:val="auto"/>
        </w:rPr>
      </w:pPr>
    </w:p>
    <w:p>
      <w:pPr>
        <w:jc w:val="both"/>
        <w:ind w:firstLine="757"/>
        <w:spacing w:after="0" w:line="302" w:lineRule="auto"/>
        <w:tabs>
          <w:tab w:leader="none" w:pos="105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Each Holder shall have the right, at any time and from time to time (including after receiving information regarding any potential sale or distribution to the public of Class A Common Stock of the Company pursuant to an offering registered under the Securities Act, whether by the Company, by Holders and/or by any other Holders of the Company’s Class A Common Stock),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Arial" w:cs="Arial" w:eastAsia="Arial" w:hAnsi="Arial"/>
          <w:sz w:val="19"/>
          <w:szCs w:val="19"/>
          <w:u w:val="single" w:color="auto"/>
          <w:color w:val="auto"/>
        </w:rPr>
        <w:t>Opt-Out Request</w:t>
      </w:r>
      <w:r>
        <w:rPr>
          <w:rFonts w:ascii="Arial" w:cs="Arial" w:eastAsia="Arial" w:hAnsi="Arial"/>
          <w:sz w:val="19"/>
          <w:szCs w:val="19"/>
          <w:color w:val="auto"/>
        </w:rPr>
        <w:t>”);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material non-public information.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provided that each Holder shall use commercially reasonable efforts to minimize the administrative burden on the Company arising in connection with any such Opt- Out Requests.</w:t>
      </w:r>
    </w:p>
    <w:p>
      <w:pPr>
        <w:spacing w:after="0" w:line="200" w:lineRule="exact"/>
        <w:rPr>
          <w:sz w:val="20"/>
          <w:szCs w:val="20"/>
          <w:color w:val="auto"/>
        </w:rPr>
      </w:pPr>
    </w:p>
    <w:p>
      <w:pPr>
        <w:spacing w:after="0" w:line="227"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Termination and Effect of Termination</w:t>
      </w:r>
      <w:r>
        <w:rPr>
          <w:rFonts w:ascii="Arial" w:cs="Arial" w:eastAsia="Arial" w:hAnsi="Arial"/>
          <w:sz w:val="19"/>
          <w:szCs w:val="19"/>
          <w:color w:val="auto"/>
        </w:rPr>
        <w:t xml:space="preserve">. This Agreement shall terminate with respect to each Holder when such Holder no longer holds any Registrable Securities and will terminate in full when no Holder holds any Registrable Securities, except for the provisions of </w:t>
      </w:r>
      <w:r>
        <w:rPr>
          <w:rFonts w:ascii="Arial" w:cs="Arial" w:eastAsia="Arial" w:hAnsi="Arial"/>
          <w:sz w:val="19"/>
          <w:szCs w:val="19"/>
          <w:u w:val="single" w:color="auto"/>
          <w:color w:val="auto"/>
        </w:rPr>
        <w:t>Sections 2.7</w:t>
      </w:r>
      <w:r>
        <w:rPr>
          <w:rFonts w:ascii="Arial" w:cs="Arial" w:eastAsia="Arial" w:hAnsi="Arial"/>
          <w:sz w:val="19"/>
          <w:szCs w:val="19"/>
          <w:color w:val="auto"/>
        </w:rPr>
        <w:t xml:space="preserve">, which shall survive any such termination. No termination under this Agreement shall relieve any Person of liability for breach or Expenses incurred prior to termination. In the event this Agreement is terminated, each Person entitled to indemnification rights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retain such indemnification rights with respect to any matter that (i) may be an indemnified liability thereunder and (ii) occurred prior to such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2"/>
          <w:szCs w:val="22"/>
          <w:color w:val="auto"/>
        </w:rPr>
        <w:t>IN WITNESS WHEREOF, the parties hereto have duly executed this Agreement as of the date first above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36"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COMPANY:</w:t>
      </w:r>
    </w:p>
    <w:p>
      <w:pPr>
        <w:spacing w:after="0" w:line="29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DEFINITIVE HEALTHCARE CORP.</w:t>
      </w:r>
    </w:p>
    <w:p>
      <w:pPr>
        <w:spacing w:after="0" w:line="287" w:lineRule="exact"/>
        <w:rPr>
          <w:sz w:val="20"/>
          <w:szCs w:val="20"/>
          <w:color w:val="auto"/>
        </w:rPr>
      </w:pPr>
    </w:p>
    <w:tbl>
      <w:tblPr>
        <w:tblLayout w:type="fixed"/>
        <w:tblInd w:w="532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Jason Krantz</w:t>
            </w:r>
          </w:p>
        </w:tc>
      </w:tr>
      <w:tr>
        <w:trPr>
          <w:trHeight w:val="259"/>
        </w:trPr>
        <w:tc>
          <w:tcPr>
            <w:tcW w:w="1480" w:type="dxa"/>
            <w:vAlign w:val="bottom"/>
          </w:tcPr>
          <w:p>
            <w:pPr>
              <w:spacing w:after="0"/>
              <w:rPr>
                <w:sz w:val="20"/>
                <w:szCs w:val="20"/>
                <w:color w:val="auto"/>
              </w:rPr>
            </w:pPr>
            <w:r>
              <w:rPr>
                <w:rFonts w:ascii="Arial" w:cs="Arial" w:eastAsia="Arial" w:hAnsi="Arial"/>
                <w:sz w:val="22"/>
                <w:szCs w:val="22"/>
                <w:color w:val="auto"/>
              </w:rPr>
              <w:t>Name:</w:t>
            </w:r>
          </w:p>
        </w:tc>
        <w:tc>
          <w:tcPr>
            <w:tcW w:w="4440" w:type="dxa"/>
            <w:vAlign w:val="bottom"/>
          </w:tcPr>
          <w:p>
            <w:pPr>
              <w:ind w:left="20"/>
              <w:spacing w:after="0"/>
              <w:rPr>
                <w:sz w:val="20"/>
                <w:szCs w:val="20"/>
                <w:color w:val="auto"/>
              </w:rPr>
            </w:pPr>
            <w:r>
              <w:rPr>
                <w:rFonts w:ascii="Arial" w:cs="Arial" w:eastAsia="Arial" w:hAnsi="Arial"/>
                <w:sz w:val="22"/>
                <w:szCs w:val="22"/>
                <w:color w:val="auto"/>
              </w:rPr>
              <w:t>Jason Krantz</w:t>
            </w:r>
          </w:p>
        </w:tc>
      </w:t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Title:</w:t>
            </w:r>
          </w:p>
        </w:tc>
        <w:tc>
          <w:tcPr>
            <w:tcW w:w="44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b w:val="1"/>
          <w:bCs w:val="1"/>
          <w:color w:val="auto"/>
        </w:rPr>
        <w:t>HOLDERS:</w:t>
      </w:r>
    </w:p>
    <w:p>
      <w:pPr>
        <w:spacing w:after="0" w:line="239" w:lineRule="exact"/>
        <w:rPr>
          <w:sz w:val="20"/>
          <w:szCs w:val="20"/>
          <w:color w:val="auto"/>
        </w:rPr>
      </w:pPr>
    </w:p>
    <w:p>
      <w:pPr>
        <w:ind w:right="5180"/>
        <w:spacing w:after="0" w:line="273" w:lineRule="auto"/>
        <w:rPr>
          <w:sz w:val="20"/>
          <w:szCs w:val="20"/>
          <w:color w:val="auto"/>
        </w:rPr>
      </w:pPr>
      <w:r>
        <w:rPr>
          <w:rFonts w:ascii="Arial" w:cs="Arial" w:eastAsia="Arial" w:hAnsi="Arial"/>
          <w:sz w:val="21"/>
          <w:szCs w:val="21"/>
          <w:color w:val="auto"/>
        </w:rPr>
        <w:t>ADVENT INTERNATIONAL GPE IX LIMITED PARTNERSHIP ADVENT INTERNATIONAL GPE IX-B LIMITED PARTNERSHIP ADVENT INTERNATIONAL GPE IX-C LIMITED PARTNERSHIP ADVENT INTERNATIONAL GPE IX-F LIMITED PARTNERSHIP ADVENT INTERNATIONAL GPE IX-G LIMITED PARTNERSHIP ADVENT INTERNATIONAL GPE IX-H LIMITED PARTNERSHIP ADVENT INTERNATIONAL GPE IX-I LIMITED PARTNERSHIP</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GPE IX GP Limited Partnership, its</w:t>
            </w:r>
          </w:p>
        </w:tc>
      </w:tr>
      <w:tr>
        <w:trPr>
          <w:trHeight w:val="274"/>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GPE IX, LLC, its</w:t>
            </w:r>
          </w:p>
        </w:tc>
      </w:tr>
      <w:tr>
        <w:trPr>
          <w:trHeight w:val="274"/>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w w:val="99"/>
              </w:rPr>
              <w:t>Manager</w:t>
            </w:r>
          </w:p>
        </w:tc>
        <w:tc>
          <w:tcPr>
            <w:tcW w:w="4940" w:type="dxa"/>
            <w:vAlign w:val="bottom"/>
          </w:tcPr>
          <w:p>
            <w:pPr>
              <w:spacing w:after="0"/>
              <w:rPr>
                <w:sz w:val="23"/>
                <w:szCs w:val="23"/>
                <w:color w:val="auto"/>
              </w:rPr>
            </w:pPr>
          </w:p>
        </w:tc>
      </w:tr>
      <w:tr>
        <w:trPr>
          <w:trHeight w:val="7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r>
      <w:tr>
        <w:trPr>
          <w:trHeight w:val="274"/>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r>
      <w:tr>
        <w:trPr>
          <w:trHeight w:val="271"/>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w w:val="93"/>
              </w:rPr>
              <w:t>Chief Legal Officer, General Counsel, and Managing</w:t>
            </w:r>
          </w:p>
        </w:tc>
      </w:tr>
      <w:tr>
        <w:trPr>
          <w:trHeight w:val="274"/>
        </w:trPr>
        <w:tc>
          <w:tcPr>
            <w:tcW w:w="10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940" w:type="dxa"/>
            <w:vAlign w:val="bottom"/>
          </w:tcPr>
          <w:p>
            <w:pPr>
              <w:ind w:left="120"/>
              <w:spacing w:after="0"/>
              <w:rPr>
                <w:sz w:val="20"/>
                <w:szCs w:val="20"/>
                <w:color w:val="auto"/>
              </w:rPr>
            </w:pPr>
            <w:r>
              <w:rPr>
                <w:rFonts w:ascii="Arial" w:cs="Arial" w:eastAsia="Arial" w:hAnsi="Arial"/>
                <w:sz w:val="22"/>
                <w:szCs w:val="22"/>
                <w:color w:val="auto"/>
              </w:rPr>
              <w:t>Partner</w:t>
            </w:r>
          </w:p>
        </w:tc>
      </w:tr>
    </w:tbl>
    <w:p>
      <w:pPr>
        <w:spacing w:after="0" w:line="239" w:lineRule="exact"/>
        <w:rPr>
          <w:sz w:val="20"/>
          <w:szCs w:val="20"/>
          <w:color w:val="auto"/>
        </w:rPr>
      </w:pPr>
    </w:p>
    <w:p>
      <w:pPr>
        <w:ind w:right="4840"/>
        <w:spacing w:after="0" w:line="311" w:lineRule="auto"/>
        <w:rPr>
          <w:sz w:val="20"/>
          <w:szCs w:val="20"/>
          <w:color w:val="auto"/>
        </w:rPr>
      </w:pPr>
      <w:r>
        <w:rPr>
          <w:rFonts w:ascii="Arial" w:cs="Arial" w:eastAsia="Arial" w:hAnsi="Arial"/>
          <w:sz w:val="19"/>
          <w:szCs w:val="19"/>
          <w:color w:val="auto"/>
        </w:rPr>
        <w:t>ADVENT PARTNERS GPE IX LIMITED PARTNERSHIP ADVENT PARTNERS GPE IX-A LIMITED PARTNERSHIP ADVENT PARTNERS GPE IX-A CAYMAN LIMITED PARTNERSHIP ADVENT PARTNERS GPE IX-B CAYMAN LIMITED PARTNERSHIP ADVENT PARTNERS GPE IX CAYMAN LIMITED PARTNERSHIP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AP GPE IX GP Limited Partnership,</w:t>
            </w:r>
          </w:p>
        </w:tc>
        <w:tc>
          <w:tcPr>
            <w:tcW w:w="4380" w:type="dxa"/>
            <w:vAlign w:val="bottom"/>
          </w:tcPr>
          <w:p>
            <w:pPr>
              <w:spacing w:after="0"/>
              <w:rPr>
                <w:sz w:val="23"/>
                <w:szCs w:val="23"/>
                <w:color w:val="auto"/>
              </w:rPr>
            </w:pP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its General Partner</w:t>
            </w:r>
          </w:p>
        </w:tc>
        <w:tc>
          <w:tcPr>
            <w:tcW w:w="4380" w:type="dxa"/>
            <w:vAlign w:val="bottom"/>
          </w:tcPr>
          <w:p>
            <w:pPr>
              <w:spacing w:after="0"/>
              <w:rPr>
                <w:sz w:val="23"/>
                <w:szCs w:val="23"/>
                <w:color w:val="auto"/>
              </w:rPr>
            </w:pPr>
          </w:p>
        </w:tc>
      </w:tr>
      <w:tr>
        <w:trPr>
          <w:trHeight w:val="279"/>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GPE IX, LLC, its</w:t>
            </w:r>
          </w:p>
        </w:tc>
        <w:tc>
          <w:tcPr>
            <w:tcW w:w="43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c>
          <w:tcPr>
            <w:tcW w:w="4380" w:type="dxa"/>
            <w:vAlign w:val="bottom"/>
          </w:tcPr>
          <w:p>
            <w:pPr>
              <w:spacing w:after="0"/>
              <w:rPr>
                <w:sz w:val="23"/>
                <w:szCs w:val="23"/>
                <w:color w:val="auto"/>
              </w:rPr>
            </w:pPr>
          </w:p>
        </w:tc>
      </w:tr>
      <w:tr>
        <w:trPr>
          <w:trHeight w:val="279"/>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Corporation, its</w:t>
            </w:r>
          </w:p>
        </w:tc>
        <w:tc>
          <w:tcPr>
            <w:tcW w:w="43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w w:val="99"/>
              </w:rPr>
              <w:t>Manager</w:t>
            </w:r>
          </w:p>
        </w:tc>
        <w:tc>
          <w:tcPr>
            <w:tcW w:w="4940" w:type="dxa"/>
            <w:vAlign w:val="bottom"/>
          </w:tcPr>
          <w:p>
            <w:pPr>
              <w:spacing w:after="0"/>
              <w:rPr>
                <w:sz w:val="23"/>
                <w:szCs w:val="23"/>
                <w:color w:val="auto"/>
              </w:rPr>
            </w:pPr>
          </w:p>
        </w:tc>
        <w:tc>
          <w:tcPr>
            <w:tcW w:w="4380" w:type="dxa"/>
            <w:vAlign w:val="bottom"/>
          </w:tcPr>
          <w:p>
            <w:pPr>
              <w:spacing w:after="0"/>
              <w:rPr>
                <w:sz w:val="23"/>
                <w:szCs w:val="23"/>
                <w:color w:val="auto"/>
              </w:rPr>
            </w:pPr>
          </w:p>
        </w:tc>
      </w:tr>
      <w:tr>
        <w:trPr>
          <w:trHeight w:val="753"/>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c>
          <w:tcPr>
            <w:tcW w:w="43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c>
          <w:tcPr>
            <w:tcW w:w="4380" w:type="dxa"/>
            <w:vAlign w:val="bottom"/>
          </w:tcPr>
          <w:p>
            <w:pPr>
              <w:spacing w:after="0"/>
              <w:rPr>
                <w:sz w:val="23"/>
                <w:szCs w:val="23"/>
                <w:color w:val="auto"/>
              </w:rPr>
            </w:pPr>
          </w:p>
        </w:tc>
      </w:tr>
      <w:tr>
        <w:trPr>
          <w:trHeight w:val="271"/>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w w:val="93"/>
              </w:rPr>
              <w:t>Chief Legal Officer, General Counsel, and Managing</w:t>
            </w:r>
          </w:p>
        </w:tc>
        <w:tc>
          <w:tcPr>
            <w:tcW w:w="4380" w:type="dxa"/>
            <w:vAlign w:val="bottom"/>
          </w:tcPr>
          <w:p>
            <w:pPr>
              <w:spacing w:after="0"/>
              <w:rPr>
                <w:sz w:val="23"/>
                <w:szCs w:val="23"/>
                <w:color w:val="auto"/>
              </w:rPr>
            </w:pPr>
          </w:p>
        </w:tc>
      </w:tr>
      <w:tr>
        <w:trPr>
          <w:trHeight w:val="274"/>
        </w:trPr>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940" w:type="dxa"/>
            <w:vAlign w:val="bottom"/>
          </w:tcPr>
          <w:p>
            <w:pPr>
              <w:ind w:left="120"/>
              <w:spacing w:after="0"/>
              <w:rPr>
                <w:sz w:val="20"/>
                <w:szCs w:val="20"/>
                <w:color w:val="auto"/>
              </w:rPr>
            </w:pPr>
            <w:r>
              <w:rPr>
                <w:rFonts w:ascii="Arial" w:cs="Arial" w:eastAsia="Arial" w:hAnsi="Arial"/>
                <w:sz w:val="22"/>
                <w:szCs w:val="22"/>
                <w:color w:val="auto"/>
              </w:rPr>
              <w:t>Partner</w:t>
            </w:r>
          </w:p>
        </w:tc>
        <w:tc>
          <w:tcPr>
            <w:tcW w:w="4380" w:type="dxa"/>
            <w:vAlign w:val="bottom"/>
          </w:tcPr>
          <w:p>
            <w:pPr>
              <w:spacing w:after="0"/>
              <w:rPr>
                <w:sz w:val="23"/>
                <w:szCs w:val="23"/>
                <w:color w:val="auto"/>
              </w:rPr>
            </w:pPr>
          </w:p>
        </w:tc>
      </w:tr>
      <w:tr>
        <w:trPr>
          <w:trHeight w:val="958"/>
        </w:trPr>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40" w:type="dxa"/>
            <w:vAlign w:val="bottom"/>
          </w:tcPr>
          <w:p>
            <w:pPr>
              <w:jc w:val="right"/>
              <w:ind w:right="1012"/>
              <w:spacing w:after="0"/>
              <w:rPr>
                <w:sz w:val="20"/>
                <w:szCs w:val="20"/>
                <w:color w:val="auto"/>
              </w:rPr>
            </w:pPr>
            <w:r>
              <w:rPr>
                <w:rFonts w:ascii="Arial" w:cs="Arial" w:eastAsia="Arial" w:hAnsi="Arial"/>
                <w:sz w:val="22"/>
                <w:szCs w:val="22"/>
                <w:color w:val="auto"/>
              </w:rPr>
              <w:t>29</w:t>
            </w:r>
          </w:p>
        </w:tc>
        <w:tc>
          <w:tcPr>
            <w:tcW w:w="4380" w:type="dxa"/>
            <w:vAlign w:val="bottom"/>
          </w:tcPr>
          <w:p>
            <w:pPr>
              <w:spacing w:after="0"/>
              <w:rPr>
                <w:sz w:val="24"/>
                <w:szCs w:val="24"/>
                <w:color w:val="auto"/>
              </w:rPr>
            </w:pPr>
          </w:p>
        </w:tc>
      </w:tr>
      <w:tr>
        <w:trPr>
          <w:trHeight w:val="119"/>
        </w:trPr>
        <w:tc>
          <w:tcPr>
            <w:tcW w:w="1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ADVENT INTERNATIONAL GPE IX-A SCSP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ADVENT INTERNATIONAL GPE IX-D SCSP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ADVENT INTERNATIONAL GPE IX-E SCSP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ADVENT PARTNERS GPE IX STRATEGIC INVESTORS SCSP</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GPE IX GP S.à r.l., its</w:t>
            </w:r>
          </w:p>
        </w:tc>
        <w:tc>
          <w:tcPr>
            <w:tcW w:w="4380" w:type="dxa"/>
            <w:vAlign w:val="bottom"/>
          </w:tcPr>
          <w:p>
            <w:pPr>
              <w:spacing w:after="0"/>
              <w:rPr>
                <w:sz w:val="23"/>
                <w:szCs w:val="23"/>
                <w:color w:val="auto"/>
              </w:rPr>
            </w:pPr>
          </w:p>
        </w:tc>
      </w:tr>
      <w:tr>
        <w:trPr>
          <w:trHeight w:val="274"/>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c>
          <w:tcPr>
            <w:tcW w:w="4380" w:type="dxa"/>
            <w:vAlign w:val="bottom"/>
          </w:tcPr>
          <w:p>
            <w:pPr>
              <w:spacing w:after="0"/>
              <w:rPr>
                <w:sz w:val="23"/>
                <w:szCs w:val="23"/>
                <w:color w:val="auto"/>
              </w:rPr>
            </w:pPr>
          </w:p>
        </w:tc>
      </w:tr>
      <w:tr>
        <w:trPr>
          <w:trHeight w:val="294"/>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GPE IX, LLC, its</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Justin Nuccio</w:t>
            </w:r>
          </w:p>
        </w:tc>
      </w:tr>
      <w:tr>
        <w:trPr>
          <w:trHeight w:val="274"/>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c>
          <w:tcPr>
            <w:tcW w:w="4380" w:type="dxa"/>
            <w:vAlign w:val="bottom"/>
          </w:tcPr>
          <w:p>
            <w:pPr>
              <w:ind w:left="20"/>
              <w:spacing w:after="0"/>
              <w:rPr>
                <w:sz w:val="20"/>
                <w:szCs w:val="20"/>
                <w:color w:val="auto"/>
              </w:rPr>
            </w:pPr>
            <w:r>
              <w:rPr>
                <w:rFonts w:ascii="Arial" w:cs="Arial" w:eastAsia="Arial" w:hAnsi="Arial"/>
                <w:sz w:val="22"/>
                <w:szCs w:val="22"/>
                <w:color w:val="auto"/>
              </w:rPr>
              <w:t>Justin Nuccio, Manager</w:t>
            </w:r>
          </w:p>
        </w:tc>
      </w:tr>
      <w:tr>
        <w:trPr>
          <w:trHeight w:val="271"/>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Corporation, its</w:t>
            </w:r>
          </w:p>
        </w:tc>
        <w:tc>
          <w:tcPr>
            <w:tcW w:w="4380" w:type="dxa"/>
            <w:vAlign w:val="bottom"/>
          </w:tcPr>
          <w:p>
            <w:pPr>
              <w:spacing w:after="0"/>
              <w:rPr>
                <w:sz w:val="23"/>
                <w:szCs w:val="23"/>
                <w:color w:val="auto"/>
              </w:rPr>
            </w:pPr>
          </w:p>
        </w:tc>
      </w:tr>
      <w:tr>
        <w:trPr>
          <w:trHeight w:val="274"/>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w w:val="99"/>
              </w:rPr>
              <w:t>Manager</w:t>
            </w:r>
          </w:p>
        </w:tc>
        <w:tc>
          <w:tcPr>
            <w:tcW w:w="4940" w:type="dxa"/>
            <w:vAlign w:val="bottom"/>
          </w:tcPr>
          <w:p>
            <w:pPr>
              <w:spacing w:after="0"/>
              <w:rPr>
                <w:sz w:val="23"/>
                <w:szCs w:val="23"/>
                <w:color w:val="auto"/>
              </w:rPr>
            </w:pPr>
          </w:p>
        </w:tc>
        <w:tc>
          <w:tcPr>
            <w:tcW w:w="4380" w:type="dxa"/>
            <w:vAlign w:val="bottom"/>
          </w:tcPr>
          <w:p>
            <w:pPr>
              <w:spacing w:after="0"/>
              <w:rPr>
                <w:sz w:val="23"/>
                <w:szCs w:val="23"/>
                <w:color w:val="auto"/>
              </w:rPr>
            </w:pPr>
          </w:p>
        </w:tc>
      </w:tr>
      <w:tr>
        <w:trPr>
          <w:trHeight w:val="7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c>
          <w:tcPr>
            <w:tcW w:w="4380" w:type="dxa"/>
            <w:vAlign w:val="bottom"/>
          </w:tcPr>
          <w:p>
            <w:pPr>
              <w:spacing w:after="0"/>
              <w:rPr>
                <w:sz w:val="24"/>
                <w:szCs w:val="24"/>
                <w:color w:val="auto"/>
              </w:rPr>
            </w:pPr>
          </w:p>
        </w:tc>
      </w:tr>
      <w:tr>
        <w:trPr>
          <w:trHeight w:val="274"/>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c>
          <w:tcPr>
            <w:tcW w:w="4380" w:type="dxa"/>
            <w:vAlign w:val="bottom"/>
          </w:tcPr>
          <w:p>
            <w:pPr>
              <w:spacing w:after="0"/>
              <w:rPr>
                <w:sz w:val="23"/>
                <w:szCs w:val="23"/>
                <w:color w:val="auto"/>
              </w:rPr>
            </w:pPr>
          </w:p>
        </w:tc>
      </w:tr>
      <w:tr>
        <w:trPr>
          <w:trHeight w:val="271"/>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w w:val="93"/>
              </w:rPr>
              <w:t>Chief Legal Officer, General Counsel, and Managing</w:t>
            </w:r>
          </w:p>
        </w:tc>
        <w:tc>
          <w:tcPr>
            <w:tcW w:w="4380" w:type="dxa"/>
            <w:vAlign w:val="bottom"/>
          </w:tcPr>
          <w:p>
            <w:pPr>
              <w:spacing w:after="0"/>
              <w:rPr>
                <w:sz w:val="23"/>
                <w:szCs w:val="23"/>
                <w:color w:val="auto"/>
              </w:rPr>
            </w:pPr>
          </w:p>
        </w:tc>
      </w:tr>
      <w:tr>
        <w:trPr>
          <w:trHeight w:val="274"/>
        </w:trPr>
        <w:tc>
          <w:tcPr>
            <w:tcW w:w="10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940" w:type="dxa"/>
            <w:vAlign w:val="bottom"/>
          </w:tcPr>
          <w:p>
            <w:pPr>
              <w:ind w:left="120"/>
              <w:spacing w:after="0"/>
              <w:rPr>
                <w:sz w:val="20"/>
                <w:szCs w:val="20"/>
                <w:color w:val="auto"/>
              </w:rPr>
            </w:pPr>
            <w:r>
              <w:rPr>
                <w:rFonts w:ascii="Arial" w:cs="Arial" w:eastAsia="Arial" w:hAnsi="Arial"/>
                <w:sz w:val="22"/>
                <w:szCs w:val="22"/>
                <w:color w:val="auto"/>
              </w:rPr>
              <w:t>Partner</w:t>
            </w:r>
          </w:p>
        </w:tc>
        <w:tc>
          <w:tcPr>
            <w:tcW w:w="4380" w:type="dxa"/>
            <w:vAlign w:val="bottom"/>
          </w:tcPr>
          <w:p>
            <w:pPr>
              <w:spacing w:after="0"/>
              <w:rPr>
                <w:sz w:val="23"/>
                <w:szCs w:val="23"/>
                <w:color w:val="auto"/>
              </w:rPr>
            </w:pPr>
          </w:p>
        </w:tc>
      </w:tr>
    </w:tbl>
    <w:p>
      <w:pPr>
        <w:spacing w:after="0" w:line="279" w:lineRule="exact"/>
        <w:rPr>
          <w:sz w:val="20"/>
          <w:szCs w:val="20"/>
          <w:color w:val="auto"/>
        </w:rPr>
      </w:pPr>
    </w:p>
    <w:p>
      <w:pPr>
        <w:ind w:right="5260"/>
        <w:spacing w:after="0" w:line="279" w:lineRule="auto"/>
        <w:rPr>
          <w:sz w:val="20"/>
          <w:szCs w:val="20"/>
          <w:color w:val="auto"/>
        </w:rPr>
      </w:pPr>
      <w:r>
        <w:rPr>
          <w:rFonts w:ascii="Arial" w:cs="Arial" w:eastAsia="Arial" w:hAnsi="Arial"/>
          <w:sz w:val="21"/>
          <w:szCs w:val="21"/>
          <w:color w:val="auto"/>
        </w:rPr>
        <w:t>ADVENT GLOBAL TECHNOLOGY LIMITED PARTNERSHIP ADVENT GLOBAL TECHNOLOGY-B LIMITED PARTNERSHIP ADVENT GLOBAL TECHNOLOGY-C LIMITED PARTNERSHIP ADVENT GLOBAL TECHNOLOGY-D LIMITED PARTNERSHIP</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Global Technology GP Limited</w:t>
            </w:r>
          </w:p>
        </w:tc>
      </w:tr>
      <w:tr>
        <w:trPr>
          <w:trHeight w:val="270"/>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Partnership, its</w:t>
            </w:r>
          </w:p>
        </w:tc>
      </w:tr>
      <w:tr>
        <w:trPr>
          <w:trHeight w:val="274"/>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Global Technology LLC, its</w:t>
            </w:r>
          </w:p>
        </w:tc>
      </w:tr>
      <w:tr>
        <w:trPr>
          <w:trHeight w:val="274"/>
        </w:trPr>
        <w:tc>
          <w:tcPr>
            <w:tcW w:w="100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w w:val="99"/>
              </w:rPr>
              <w:t>Manager</w:t>
            </w:r>
          </w:p>
        </w:tc>
        <w:tc>
          <w:tcPr>
            <w:tcW w:w="4940" w:type="dxa"/>
            <w:vAlign w:val="bottom"/>
          </w:tcPr>
          <w:p>
            <w:pPr>
              <w:spacing w:after="0"/>
              <w:rPr>
                <w:sz w:val="23"/>
                <w:szCs w:val="23"/>
                <w:color w:val="auto"/>
              </w:rPr>
            </w:pPr>
          </w:p>
        </w:tc>
      </w:tr>
      <w:tr>
        <w:trPr>
          <w:trHeight w:val="7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r>
      <w:tr>
        <w:trPr>
          <w:trHeight w:val="274"/>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r>
      <w:tr>
        <w:trPr>
          <w:trHeight w:val="276"/>
        </w:trPr>
        <w:tc>
          <w:tcPr>
            <w:tcW w:w="100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w w:val="93"/>
              </w:rPr>
              <w:t>Chief Legal Officer, General Counsel, and Managing</w:t>
            </w:r>
          </w:p>
        </w:tc>
      </w:tr>
    </w:tbl>
    <w:p>
      <w:pPr>
        <w:ind w:left="2040"/>
        <w:spacing w:after="0"/>
        <w:rPr>
          <w:sz w:val="20"/>
          <w:szCs w:val="20"/>
          <w:color w:val="auto"/>
        </w:rPr>
      </w:pPr>
      <w:r>
        <w:rPr>
          <w:rFonts w:ascii="Arial" w:cs="Arial" w:eastAsia="Arial" w:hAnsi="Arial"/>
          <w:sz w:val="22"/>
          <w:szCs w:val="22"/>
          <w:color w:val="auto"/>
        </w:rPr>
        <w:t>Partner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74"/>
        </w:trPr>
        <w:tc>
          <w:tcPr>
            <w:tcW w:w="6860" w:type="dxa"/>
            <w:vAlign w:val="bottom"/>
            <w:gridSpan w:val="3"/>
          </w:tcPr>
          <w:p>
            <w:pPr>
              <w:spacing w:after="0"/>
              <w:rPr>
                <w:sz w:val="20"/>
                <w:szCs w:val="20"/>
                <w:color w:val="auto"/>
              </w:rPr>
            </w:pPr>
            <w:r>
              <w:rPr>
                <w:rFonts w:ascii="Arial" w:cs="Arial" w:eastAsia="Arial" w:hAnsi="Arial"/>
                <w:sz w:val="22"/>
                <w:szCs w:val="22"/>
                <w:color w:val="auto"/>
              </w:rPr>
              <w:t>ADVENT GLOBAL TECHNOLOGY-A SCSP</w:t>
            </w:r>
          </w:p>
        </w:tc>
        <w:tc>
          <w:tcPr>
            <w:tcW w:w="4380" w:type="dxa"/>
            <w:vAlign w:val="bottom"/>
          </w:tcPr>
          <w:p>
            <w:pPr>
              <w:spacing w:after="0"/>
              <w:rPr>
                <w:sz w:val="23"/>
                <w:szCs w:val="23"/>
                <w:color w:val="auto"/>
              </w:rPr>
            </w:pPr>
          </w:p>
        </w:tc>
      </w:tr>
      <w:tr>
        <w:trPr>
          <w:trHeight w:val="495"/>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Global Technology GP S.à r.l., its</w:t>
            </w:r>
          </w:p>
        </w:tc>
        <w:tc>
          <w:tcPr>
            <w:tcW w:w="43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c>
          <w:tcPr>
            <w:tcW w:w="4380" w:type="dxa"/>
            <w:vAlign w:val="bottom"/>
          </w:tcPr>
          <w:p>
            <w:pPr>
              <w:spacing w:after="0"/>
              <w:rPr>
                <w:sz w:val="23"/>
                <w:szCs w:val="23"/>
                <w:color w:val="auto"/>
              </w:rPr>
            </w:pPr>
          </w:p>
        </w:tc>
      </w:tr>
      <w:tr>
        <w:trPr>
          <w:trHeight w:val="294"/>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Global Technology LLC, its</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Justin Nuccio</w:t>
            </w: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c>
          <w:tcPr>
            <w:tcW w:w="4380" w:type="dxa"/>
            <w:vAlign w:val="bottom"/>
          </w:tcPr>
          <w:p>
            <w:pPr>
              <w:ind w:left="20"/>
              <w:spacing w:after="0"/>
              <w:rPr>
                <w:sz w:val="20"/>
                <w:szCs w:val="20"/>
                <w:color w:val="auto"/>
              </w:rPr>
            </w:pPr>
            <w:r>
              <w:rPr>
                <w:rFonts w:ascii="Arial" w:cs="Arial" w:eastAsia="Arial" w:hAnsi="Arial"/>
                <w:sz w:val="22"/>
                <w:szCs w:val="22"/>
                <w:color w:val="auto"/>
              </w:rPr>
              <w:t>Justin Nuccio, Manager</w:t>
            </w:r>
          </w:p>
        </w:tc>
      </w:tr>
      <w:tr>
        <w:trPr>
          <w:trHeight w:val="271"/>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Corporation, its</w:t>
            </w:r>
          </w:p>
        </w:tc>
        <w:tc>
          <w:tcPr>
            <w:tcW w:w="4380" w:type="dxa"/>
            <w:vAlign w:val="bottom"/>
          </w:tcPr>
          <w:p>
            <w:pPr>
              <w:spacing w:after="0"/>
              <w:rPr>
                <w:sz w:val="23"/>
                <w:szCs w:val="23"/>
                <w:color w:val="auto"/>
              </w:rPr>
            </w:pP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w w:val="99"/>
              </w:rPr>
              <w:t>Manager</w:t>
            </w:r>
          </w:p>
        </w:tc>
        <w:tc>
          <w:tcPr>
            <w:tcW w:w="4940" w:type="dxa"/>
            <w:vAlign w:val="bottom"/>
          </w:tcPr>
          <w:p>
            <w:pPr>
              <w:spacing w:after="0"/>
              <w:rPr>
                <w:sz w:val="23"/>
                <w:szCs w:val="23"/>
                <w:color w:val="auto"/>
              </w:rPr>
            </w:pPr>
          </w:p>
        </w:tc>
        <w:tc>
          <w:tcPr>
            <w:tcW w:w="4380" w:type="dxa"/>
            <w:vAlign w:val="bottom"/>
          </w:tcPr>
          <w:p>
            <w:pPr>
              <w:spacing w:after="0"/>
              <w:rPr>
                <w:sz w:val="23"/>
                <w:szCs w:val="23"/>
                <w:color w:val="auto"/>
              </w:rPr>
            </w:pPr>
          </w:p>
        </w:tc>
      </w:tr>
      <w:tr>
        <w:trPr>
          <w:trHeight w:val="753"/>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c>
          <w:tcPr>
            <w:tcW w:w="43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c>
          <w:tcPr>
            <w:tcW w:w="4380" w:type="dxa"/>
            <w:vAlign w:val="bottom"/>
          </w:tcPr>
          <w:p>
            <w:pPr>
              <w:spacing w:after="0"/>
              <w:rPr>
                <w:sz w:val="23"/>
                <w:szCs w:val="23"/>
                <w:color w:val="auto"/>
              </w:rPr>
            </w:pPr>
          </w:p>
        </w:tc>
      </w:tr>
      <w:tr>
        <w:trPr>
          <w:trHeight w:val="271"/>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w w:val="93"/>
              </w:rPr>
              <w:t>Chief Legal Officer, General Counsel, and Managing</w:t>
            </w:r>
          </w:p>
        </w:tc>
        <w:tc>
          <w:tcPr>
            <w:tcW w:w="4380" w:type="dxa"/>
            <w:vAlign w:val="bottom"/>
          </w:tcPr>
          <w:p>
            <w:pPr>
              <w:spacing w:after="0"/>
              <w:rPr>
                <w:sz w:val="23"/>
                <w:szCs w:val="23"/>
                <w:color w:val="auto"/>
              </w:rPr>
            </w:pPr>
          </w:p>
        </w:tc>
      </w:tr>
      <w:tr>
        <w:trPr>
          <w:trHeight w:val="274"/>
        </w:trPr>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940" w:type="dxa"/>
            <w:vAlign w:val="bottom"/>
          </w:tcPr>
          <w:p>
            <w:pPr>
              <w:ind w:left="120"/>
              <w:spacing w:after="0"/>
              <w:rPr>
                <w:sz w:val="20"/>
                <w:szCs w:val="20"/>
                <w:color w:val="auto"/>
              </w:rPr>
            </w:pPr>
            <w:r>
              <w:rPr>
                <w:rFonts w:ascii="Arial" w:cs="Arial" w:eastAsia="Arial" w:hAnsi="Arial"/>
                <w:sz w:val="22"/>
                <w:szCs w:val="22"/>
                <w:color w:val="auto"/>
              </w:rPr>
              <w:t>Partner</w:t>
            </w:r>
          </w:p>
        </w:tc>
        <w:tc>
          <w:tcPr>
            <w:tcW w:w="4380" w:type="dxa"/>
            <w:vAlign w:val="bottom"/>
          </w:tcPr>
          <w:p>
            <w:pPr>
              <w:spacing w:after="0"/>
              <w:rPr>
                <w:sz w:val="23"/>
                <w:szCs w:val="2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ADVENT PARTNERS AGT CAYMAN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ADVENT PARTNERS AGT LIMITED PARTNERSHIP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ADVENT PARTNERS AGT-A LIMITED PARTNERSHIP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ADVENT GLOBAL TECHNOLOGY STRATEGIC INVESTORS LIMITED PARTNERSHIP</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AP AGT GP Limited Partnership, its</w:t>
            </w: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Global Technology LLC, its</w:t>
            </w: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w w:val="99"/>
              </w:rPr>
              <w:t>Manager</w:t>
            </w:r>
          </w:p>
        </w:tc>
        <w:tc>
          <w:tcPr>
            <w:tcW w:w="4940" w:type="dxa"/>
            <w:vAlign w:val="bottom"/>
          </w:tcPr>
          <w:p>
            <w:pPr>
              <w:spacing w:after="0"/>
              <w:rPr>
                <w:sz w:val="23"/>
                <w:szCs w:val="23"/>
                <w:color w:val="auto"/>
              </w:rPr>
            </w:pPr>
          </w:p>
        </w:tc>
      </w:tr>
      <w:tr>
        <w:trPr>
          <w:trHeight w:val="753"/>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r>
      <w:tr>
        <w:trPr>
          <w:trHeight w:val="271"/>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w w:val="93"/>
              </w:rPr>
              <w:t>Chief Legal Officer, General Counsel, and Managing</w:t>
            </w:r>
          </w:p>
        </w:tc>
      </w:tr>
      <w:tr>
        <w:trPr>
          <w:trHeight w:val="274"/>
        </w:trPr>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940" w:type="dxa"/>
            <w:vAlign w:val="bottom"/>
          </w:tcPr>
          <w:p>
            <w:pPr>
              <w:ind w:left="120"/>
              <w:spacing w:after="0"/>
              <w:rPr>
                <w:sz w:val="20"/>
                <w:szCs w:val="20"/>
                <w:color w:val="auto"/>
              </w:rPr>
            </w:pPr>
            <w:r>
              <w:rPr>
                <w:rFonts w:ascii="Arial" w:cs="Arial" w:eastAsia="Arial" w:hAnsi="Arial"/>
                <w:sz w:val="22"/>
                <w:szCs w:val="22"/>
                <w:color w:val="auto"/>
              </w:rPr>
              <w:t>Partner</w:t>
            </w:r>
          </w:p>
        </w:tc>
      </w:tr>
      <w:tr>
        <w:trPr>
          <w:trHeight w:val="553"/>
        </w:trPr>
        <w:tc>
          <w:tcPr>
            <w:tcW w:w="6860" w:type="dxa"/>
            <w:vAlign w:val="bottom"/>
            <w:gridSpan w:val="3"/>
          </w:tcPr>
          <w:p>
            <w:pPr>
              <w:spacing w:after="0"/>
              <w:rPr>
                <w:sz w:val="20"/>
                <w:szCs w:val="20"/>
                <w:color w:val="auto"/>
              </w:rPr>
            </w:pPr>
            <w:r>
              <w:rPr>
                <w:rFonts w:ascii="Arial" w:cs="Arial" w:eastAsia="Arial" w:hAnsi="Arial"/>
                <w:sz w:val="22"/>
                <w:szCs w:val="22"/>
                <w:color w:val="auto"/>
              </w:rPr>
              <w:t>SUNLEY HOUSE CAPITAL MASTER LIMITED PARTNERSHIP</w:t>
            </w:r>
          </w:p>
        </w:tc>
      </w:tr>
      <w:tr>
        <w:trPr>
          <w:trHeight w:val="495"/>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Sunley House Capital GP LP, its</w:t>
            </w: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279"/>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Sunley House Capital GP LLC, its</w:t>
            </w:r>
          </w:p>
        </w:tc>
      </w:tr>
      <w:tr>
        <w:trPr>
          <w:trHeight w:val="274"/>
        </w:trPr>
        <w:tc>
          <w:tcPr>
            <w:tcW w:w="1020" w:type="dxa"/>
            <w:vAlign w:val="bottom"/>
          </w:tcPr>
          <w:p>
            <w:pPr>
              <w:spacing w:after="0"/>
              <w:rPr>
                <w:sz w:val="23"/>
                <w:szCs w:val="23"/>
                <w:color w:val="auto"/>
              </w:rPr>
            </w:pP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General Partner</w:t>
            </w:r>
          </w:p>
        </w:tc>
      </w:tr>
      <w:tr>
        <w:trPr>
          <w:trHeight w:val="753"/>
        </w:trPr>
        <w:tc>
          <w:tcPr>
            <w:tcW w:w="1020" w:type="dxa"/>
            <w:vAlign w:val="bottom"/>
          </w:tcPr>
          <w:p>
            <w:pPr>
              <w:ind w:left="20"/>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Westra</w:t>
            </w:r>
          </w:p>
        </w:tc>
      </w:tr>
      <w:tr>
        <w:trPr>
          <w:trHeight w:val="274"/>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Name:</w:t>
            </w:r>
          </w:p>
        </w:tc>
        <w:tc>
          <w:tcPr>
            <w:tcW w:w="4940" w:type="dxa"/>
            <w:vAlign w:val="bottom"/>
          </w:tcPr>
          <w:p>
            <w:pPr>
              <w:ind w:left="120"/>
              <w:spacing w:after="0"/>
              <w:rPr>
                <w:sz w:val="20"/>
                <w:szCs w:val="20"/>
                <w:color w:val="auto"/>
              </w:rPr>
            </w:pPr>
            <w:r>
              <w:rPr>
                <w:rFonts w:ascii="Arial" w:cs="Arial" w:eastAsia="Arial" w:hAnsi="Arial"/>
                <w:sz w:val="22"/>
                <w:szCs w:val="22"/>
                <w:color w:val="auto"/>
              </w:rPr>
              <w:t>James Westra</w:t>
            </w:r>
          </w:p>
        </w:tc>
      </w:tr>
      <w:tr>
        <w:trPr>
          <w:trHeight w:val="276"/>
        </w:trPr>
        <w:tc>
          <w:tcPr>
            <w:tcW w:w="10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22"/>
                <w:szCs w:val="22"/>
                <w:color w:val="auto"/>
              </w:rPr>
              <w:t>Title:</w:t>
            </w:r>
          </w:p>
        </w:tc>
        <w:tc>
          <w:tcPr>
            <w:tcW w:w="4940" w:type="dxa"/>
            <w:vAlign w:val="bottom"/>
          </w:tcPr>
          <w:p>
            <w:pPr>
              <w:ind w:left="120"/>
              <w:spacing w:after="0"/>
              <w:rPr>
                <w:sz w:val="20"/>
                <w:szCs w:val="20"/>
                <w:color w:val="auto"/>
              </w:rPr>
            </w:pPr>
            <w:r>
              <w:rPr>
                <w:rFonts w:ascii="Arial" w:cs="Arial" w:eastAsia="Arial" w:hAnsi="Arial"/>
                <w:sz w:val="22"/>
                <w:szCs w:val="22"/>
                <w:color w:val="auto"/>
              </w:rPr>
              <w:t>Authorized Signatory</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3" w:name="page224"/>
    <w:bookmarkEnd w:id="223"/>
    <w:p>
      <w:pPr>
        <w:ind w:left="4200"/>
        <w:spacing w:after="0"/>
        <w:rPr>
          <w:sz w:val="20"/>
          <w:szCs w:val="20"/>
          <w:color w:val="auto"/>
        </w:rPr>
      </w:pPr>
      <w:r>
        <w:rPr>
          <w:rFonts w:ascii="Arial" w:cs="Arial" w:eastAsia="Arial" w:hAnsi="Arial"/>
          <w:sz w:val="22"/>
          <w:szCs w:val="22"/>
          <w:color w:val="auto"/>
        </w:rPr>
        <w:t>/s/ Jason R.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Jason R. Krantz</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224" w:name="page225"/>
    <w:bookmarkEnd w:id="224"/>
    <w:p>
      <w:pPr>
        <w:ind w:left="4200"/>
        <w:spacing w:after="0"/>
        <w:rPr>
          <w:sz w:val="20"/>
          <w:szCs w:val="20"/>
          <w:color w:val="auto"/>
        </w:rPr>
      </w:pPr>
      <w:r>
        <w:rPr>
          <w:rFonts w:ascii="Arial" w:cs="Arial" w:eastAsia="Arial" w:hAnsi="Arial"/>
          <w:sz w:val="22"/>
          <w:szCs w:val="22"/>
          <w:color w:val="auto"/>
        </w:rPr>
        <w:t>DH HOLDINGS (fka Jason R. Krantz 2009 Trust)</w:t>
      </w:r>
    </w:p>
    <w:p>
      <w:pPr>
        <w:spacing w:after="0" w:line="21" w:lineRule="exact"/>
        <w:rPr>
          <w:sz w:val="20"/>
          <w:szCs w:val="20"/>
          <w:color w:val="auto"/>
        </w:rPr>
      </w:pPr>
    </w:p>
    <w:tbl>
      <w:tblPr>
        <w:tblLayout w:type="fixed"/>
        <w:tblInd w:w="4200" w:type="dxa"/>
        <w:tblCellMar>
          <w:top w:w="0" w:type="dxa"/>
          <w:left w:w="0" w:type="dxa"/>
          <w:bottom w:w="0" w:type="dxa"/>
          <w:right w:w="0" w:type="dxa"/>
        </w:tblCellMar>
      </w:tblPr>
      <w:tr>
        <w:trPr>
          <w:trHeight w:val="273"/>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Jason Krantz</w:t>
            </w:r>
          </w:p>
        </w:tc>
      </w:tr>
      <w:tr>
        <w:trPr>
          <w:trHeight w:val="256"/>
        </w:trPr>
        <w:tc>
          <w:tcPr>
            <w:tcW w:w="1060" w:type="dxa"/>
            <w:vAlign w:val="bottom"/>
          </w:tcPr>
          <w:p>
            <w:pPr>
              <w:spacing w:after="0"/>
              <w:rPr>
                <w:sz w:val="20"/>
                <w:szCs w:val="20"/>
                <w:color w:val="auto"/>
              </w:rPr>
            </w:pPr>
            <w:r>
              <w:rPr>
                <w:rFonts w:ascii="Arial" w:cs="Arial" w:eastAsia="Arial" w:hAnsi="Arial"/>
                <w:sz w:val="22"/>
                <w:szCs w:val="22"/>
                <w:color w:val="auto"/>
              </w:rPr>
              <w:t>Name:</w:t>
            </w:r>
          </w:p>
        </w:tc>
        <w:tc>
          <w:tcPr>
            <w:tcW w:w="4860" w:type="dxa"/>
            <w:vAlign w:val="bottom"/>
          </w:tcPr>
          <w:p>
            <w:pPr>
              <w:ind w:left="20"/>
              <w:spacing w:after="0"/>
              <w:rPr>
                <w:sz w:val="20"/>
                <w:szCs w:val="20"/>
                <w:color w:val="auto"/>
              </w:rPr>
            </w:pPr>
            <w:r>
              <w:rPr>
                <w:rFonts w:ascii="Arial" w:cs="Arial" w:eastAsia="Arial" w:hAnsi="Arial"/>
                <w:sz w:val="22"/>
                <w:szCs w:val="22"/>
                <w:color w:val="auto"/>
              </w:rPr>
              <w:t>Jason Krantz</w:t>
            </w: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486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174"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1" w:right="339" w:bottom="1440" w:gutter="0" w:footer="0" w:header="0"/>
        </w:sectPr>
      </w:pPr>
    </w:p>
    <w:bookmarkStart w:id="225" w:name="page226"/>
    <w:bookmarkEnd w:id="225"/>
    <w:p>
      <w:pPr>
        <w:ind w:left="3380"/>
        <w:spacing w:after="0" w:line="276" w:lineRule="auto"/>
        <w:rPr>
          <w:sz w:val="20"/>
          <w:szCs w:val="20"/>
          <w:color w:val="auto"/>
        </w:rPr>
      </w:pPr>
      <w:r>
        <w:rPr>
          <w:rFonts w:ascii="Arial" w:cs="Arial" w:eastAsia="Arial" w:hAnsi="Arial"/>
          <w:sz w:val="22"/>
          <w:szCs w:val="22"/>
          <w:color w:val="auto"/>
        </w:rPr>
        <w:t>Signed and delivered on behalf of each of the following persons on an individual basis:</w:t>
      </w:r>
    </w:p>
    <w:p>
      <w:pPr>
        <w:spacing w:after="0" w:line="22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Allastair Meffen</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Alys Reynder Scott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Andrew Nelson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Catherine Wright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Dave Courville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Dave Peisach</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David Kronfeld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David Thornton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Jason Mitchell</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John Macek</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Julie Moore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Kevin P. Shone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Kurt Anderson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Mark Haddad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Echelon 2017, LP</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Patrick Roberts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Gleavy</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Stefan Evers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Todd Bellemare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Spencer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Anderson Lavor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Bauerle Lars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Björn Carlsson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Brian Harper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Chris Marcogliese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Christopher Brooks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Elizabeth McCann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Erin Moxley</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Evan Cox</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Gregg Vincent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Guy Bowman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Henrik Alburg</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Jake Christman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Janet Carlisle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Jason Reynolds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Jordan McAdams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Justin Steinman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Keegan Hellweg</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Ken Cote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Laine Lovell</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Maggie Fortune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Marc Delaronde</w:t>
      </w:r>
    </w:p>
    <w:p>
      <w:pPr>
        <w:spacing w:after="0" w:line="191"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57"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440" w:top="361" w:right="1019" w:bottom="1440" w:gutter="0" w:footer="0" w:header="0"/>
        </w:sectPr>
      </w:pPr>
    </w:p>
    <w:bookmarkStart w:id="226" w:name="page227"/>
    <w:bookmarkEnd w:id="226"/>
    <w:p>
      <w:pPr>
        <w:ind w:left="3380"/>
        <w:spacing w:after="0"/>
        <w:rPr>
          <w:sz w:val="20"/>
          <w:szCs w:val="20"/>
          <w:color w:val="auto"/>
        </w:rPr>
      </w:pPr>
      <w:r>
        <w:rPr>
          <w:rFonts w:ascii="Arial" w:cs="Arial" w:eastAsia="Arial" w:hAnsi="Arial"/>
          <w:sz w:val="22"/>
          <w:szCs w:val="22"/>
          <w:color w:val="auto"/>
        </w:rPr>
        <w:t>Marissa Peoples</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Mark Schroeder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Matthew Martocci</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Michelle Liro</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Naveen Hariprasad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Nils-Johan Hult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Oskar Thornblad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Paul Bolick</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Paula</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Randy Wambold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Groebel</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Robin Priddis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Ryan Sowers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Scott Oberlink</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Steve Aubertin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Steve Carr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Thomas Baker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Thomas Cribben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Tina Christopher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Jordan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Middleton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Penque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Jill Larsen Digital HR LLC</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W. Musslewhite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Musslewhite 2014 Family Trust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Kate Shamsuddin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Joseph Mirisola</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David Samuels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Richard Booth</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Samuel Allen Hamood Trust U/A 8/27/2010</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Michael Liu</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MHDH USA Inc.</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Paula Sjövall Boultbee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Joseph F Donahue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Joseph H</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Christopher Ahlberg</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Keep Enterprises LLC</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Lars Bauerle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Andrew H. Palmer</w:t>
      </w:r>
    </w:p>
    <w:p>
      <w:pPr>
        <w:spacing w:after="0" w:line="229" w:lineRule="exact"/>
        <w:rPr>
          <w:sz w:val="20"/>
          <w:szCs w:val="20"/>
          <w:color w:val="auto"/>
        </w:rPr>
      </w:pPr>
    </w:p>
    <w:p>
      <w:pPr>
        <w:jc w:val="right"/>
        <w:ind w:right="1259"/>
        <w:spacing w:after="0"/>
        <w:rPr>
          <w:sz w:val="20"/>
          <w:szCs w:val="20"/>
          <w:color w:val="auto"/>
        </w:rPr>
      </w:pPr>
      <w:r>
        <w:rPr>
          <w:rFonts w:ascii="Arial" w:cs="Arial" w:eastAsia="Arial" w:hAnsi="Arial"/>
          <w:sz w:val="22"/>
          <w:szCs w:val="22"/>
          <w:color w:val="auto"/>
        </w:rPr>
        <w:t>acting by each of their lawfully appointed attorney</w:t>
      </w:r>
    </w:p>
    <w:p>
      <w:pPr>
        <w:spacing w:after="0" w:line="28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Jason Krantz</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227" w:name="page228"/>
    <w:bookmarkEnd w:id="227"/>
    <w:p>
      <w:pPr>
        <w:ind w:left="4200"/>
        <w:spacing w:after="0"/>
        <w:rPr>
          <w:sz w:val="20"/>
          <w:szCs w:val="20"/>
          <w:color w:val="auto"/>
        </w:rPr>
      </w:pPr>
      <w:r>
        <w:rPr>
          <w:rFonts w:ascii="Arial" w:cs="Arial" w:eastAsia="Arial" w:hAnsi="Arial"/>
          <w:sz w:val="22"/>
          <w:szCs w:val="22"/>
          <w:color w:val="auto"/>
        </w:rPr>
        <w:t>/s/ Jeffrey C.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Jeffrey C. Haywood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228" w:name="page229"/>
    <w:bookmarkEnd w:id="228"/>
    <w:p>
      <w:pPr>
        <w:ind w:left="4200"/>
        <w:spacing w:after="0"/>
        <w:rPr>
          <w:sz w:val="20"/>
          <w:szCs w:val="20"/>
          <w:color w:val="auto"/>
        </w:rPr>
      </w:pPr>
      <w:r>
        <w:rPr>
          <w:rFonts w:ascii="Arial" w:cs="Arial" w:eastAsia="Arial" w:hAnsi="Arial"/>
          <w:sz w:val="19"/>
          <w:szCs w:val="19"/>
          <w:color w:val="auto"/>
        </w:rPr>
        <w:t>/s/ Christopher T.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37465</wp:posOffset>
            </wp:positionV>
            <wp:extent cx="37719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4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Christopher T. Mitchell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229" w:name="page230"/>
    <w:bookmarkEnd w:id="229"/>
    <w:p>
      <w:pPr>
        <w:jc w:val="center"/>
        <w:ind w:right="-239"/>
        <w:spacing w:after="0"/>
        <w:rPr>
          <w:sz w:val="20"/>
          <w:szCs w:val="20"/>
          <w:color w:val="auto"/>
        </w:rPr>
      </w:pPr>
      <w:r>
        <w:rPr>
          <w:rFonts w:ascii="Arial" w:cs="Arial" w:eastAsia="Arial" w:hAnsi="Arial"/>
          <w:sz w:val="22"/>
          <w:szCs w:val="22"/>
          <w:color w:val="auto"/>
        </w:rPr>
        <w:t>SE VII DHC AIV, L.P.</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Spectrum Equity Associates VII, L.P.,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SEA VII Management,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4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25" w:lineRule="exact"/>
        <w:rPr>
          <w:sz w:val="20"/>
          <w:szCs w:val="20"/>
          <w:color w:val="auto"/>
        </w:rPr>
      </w:pPr>
    </w:p>
    <w:p>
      <w:pPr>
        <w:jc w:val="right"/>
        <w:ind w:right="600"/>
        <w:spacing w:after="0"/>
        <w:rPr>
          <w:sz w:val="20"/>
          <w:szCs w:val="20"/>
          <w:color w:val="auto"/>
        </w:rPr>
      </w:pPr>
      <w:r>
        <w:rPr>
          <w:rFonts w:ascii="Arial" w:cs="Arial" w:eastAsia="Arial" w:hAnsi="Arial"/>
          <w:sz w:val="22"/>
          <w:szCs w:val="22"/>
          <w:color w:val="auto"/>
        </w:rPr>
        <w:t>SPECTRUM VII INVESTMENT MANAGERS' FUND, L.P.</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18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Pr>
          <w:p>
            <w:pPr>
              <w:ind w:left="20"/>
              <w:spacing w:after="0"/>
              <w:rPr>
                <w:sz w:val="20"/>
                <w:szCs w:val="20"/>
                <w:color w:val="auto"/>
              </w:rPr>
            </w:pPr>
            <w:r>
              <w:rPr>
                <w:rFonts w:ascii="Arial" w:cs="Arial" w:eastAsia="Arial" w:hAnsi="Arial"/>
                <w:sz w:val="22"/>
                <w:szCs w:val="22"/>
                <w:color w:val="auto"/>
              </w:rPr>
              <w:t>SEA VII Management, LLC, its</w:t>
            </w:r>
          </w:p>
        </w:tc>
      </w:tr>
      <w:tr>
        <w:trPr>
          <w:trHeight w:val="274"/>
        </w:trPr>
        <w:tc>
          <w:tcPr>
            <w:tcW w:w="118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540"/>
        </w:trPr>
        <w:tc>
          <w:tcPr>
            <w:tcW w:w="118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Mitchell</w:t>
            </w:r>
          </w:p>
        </w:tc>
      </w:tr>
      <w:tr>
        <w:trPr>
          <w:trHeight w:val="259"/>
        </w:trPr>
        <w:tc>
          <w:tcPr>
            <w:tcW w:w="1180" w:type="dxa"/>
            <w:vAlign w:val="bottom"/>
          </w:tcPr>
          <w:p>
            <w:pPr>
              <w:spacing w:after="0"/>
              <w:rPr>
                <w:sz w:val="20"/>
                <w:szCs w:val="20"/>
                <w:color w:val="auto"/>
              </w:rPr>
            </w:pPr>
            <w:r>
              <w:rPr>
                <w:rFonts w:ascii="Arial" w:cs="Arial" w:eastAsia="Arial" w:hAnsi="Arial"/>
                <w:sz w:val="22"/>
                <w:szCs w:val="22"/>
                <w:color w:val="auto"/>
              </w:rPr>
              <w:t>Name:</w:t>
            </w:r>
          </w:p>
        </w:tc>
        <w:tc>
          <w:tcPr>
            <w:tcW w:w="4740" w:type="dxa"/>
            <w:vAlign w:val="bottom"/>
          </w:tcPr>
          <w:p>
            <w:pPr>
              <w:ind w:left="20"/>
              <w:spacing w:after="0"/>
              <w:rPr>
                <w:sz w:val="20"/>
                <w:szCs w:val="20"/>
                <w:color w:val="auto"/>
              </w:rPr>
            </w:pPr>
            <w:r>
              <w:rPr>
                <w:rFonts w:ascii="Arial" w:cs="Arial" w:eastAsia="Arial" w:hAnsi="Arial"/>
                <w:sz w:val="22"/>
                <w:szCs w:val="22"/>
                <w:color w:val="auto"/>
              </w:rPr>
              <w:t>Christopher Mitchell</w:t>
            </w: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6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SPECTRUM VII CO-INVESTMENT FUND, L.P.</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4"/>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59"/>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74"/>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174"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1" w:right="339" w:bottom="1440" w:gutter="0" w:footer="0" w:header="0"/>
        </w:sectPr>
      </w:pPr>
    </w:p>
    <w:bookmarkStart w:id="230" w:name="page231"/>
    <w:bookmarkEnd w:id="230"/>
    <w:p>
      <w:pPr>
        <w:ind w:left="4200"/>
        <w:spacing w:after="0"/>
        <w:rPr>
          <w:sz w:val="20"/>
          <w:szCs w:val="20"/>
          <w:color w:val="auto"/>
        </w:rPr>
      </w:pPr>
      <w:r>
        <w:rPr>
          <w:rFonts w:ascii="Arial" w:cs="Arial" w:eastAsia="Arial" w:hAnsi="Arial"/>
          <w:sz w:val="22"/>
          <w:szCs w:val="22"/>
          <w:color w:val="auto"/>
        </w:rPr>
        <w:t>SE VII DHC AIV FEEDER CORPORATION</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SE VII DHC AIV Feeder, L.P.,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Sole Shareholder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Spectrum Equity Associates VII, L.P.,</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its General Partner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SEA VII Management,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4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Managing Director</w:t>
            </w:r>
          </w:p>
        </w:tc>
      </w:tr>
      <w:tr>
        <w:trPr>
          <w:trHeight w:val="540"/>
        </w:trPr>
        <w:tc>
          <w:tcPr>
            <w:tcW w:w="5920" w:type="dxa"/>
            <w:vAlign w:val="bottom"/>
            <w:gridSpan w:val="2"/>
          </w:tcPr>
          <w:p>
            <w:pPr>
              <w:spacing w:after="0"/>
              <w:rPr>
                <w:sz w:val="20"/>
                <w:szCs w:val="20"/>
                <w:color w:val="auto"/>
              </w:rPr>
            </w:pPr>
            <w:r>
              <w:rPr>
                <w:rFonts w:ascii="Arial" w:cs="Arial" w:eastAsia="Arial" w:hAnsi="Arial"/>
                <w:sz w:val="22"/>
                <w:szCs w:val="22"/>
                <w:color w:val="auto"/>
              </w:rPr>
              <w:t>SE VII DHC AIV FEEDER, L.P.</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Spectrum Equity Associates VII, L.P.,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SEA VII Management,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4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174"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22"/>
          <w:szCs w:val="22"/>
          <w:color w:val="auto"/>
        </w:rPr>
        <w:t>22 AIDH AIV LLC</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GP I,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GP I MM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Managing 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r>
        <w:trPr>
          <w:trHeight w:val="540"/>
        </w:trPr>
        <w:tc>
          <w:tcPr>
            <w:tcW w:w="5920" w:type="dxa"/>
            <w:vAlign w:val="bottom"/>
            <w:gridSpan w:val="2"/>
          </w:tcPr>
          <w:p>
            <w:pPr>
              <w:spacing w:after="0"/>
              <w:rPr>
                <w:sz w:val="20"/>
                <w:szCs w:val="20"/>
                <w:color w:val="auto"/>
              </w:rPr>
            </w:pPr>
            <w:r>
              <w:rPr>
                <w:rFonts w:ascii="Arial" w:cs="Arial" w:eastAsia="Arial" w:hAnsi="Arial"/>
                <w:sz w:val="22"/>
                <w:szCs w:val="22"/>
                <w:color w:val="auto"/>
              </w:rPr>
              <w:t>22C CAPITAL I-A, L.P.</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GP I,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GP I MM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Managing 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bl>
    <w:p>
      <w:pPr>
        <w:spacing w:after="0" w:line="174"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631" w:right="339" w:bottom="1440" w:gutter="0" w:footer="0" w:header="0"/>
        </w:sectPr>
      </w:pPr>
    </w:p>
    <w:bookmarkStart w:id="232" w:name="page233"/>
    <w:bookmarkEnd w:id="232"/>
    <w:p>
      <w:pPr>
        <w:jc w:val="center"/>
        <w:ind w:right="-139"/>
        <w:spacing w:after="0"/>
        <w:rPr>
          <w:sz w:val="20"/>
          <w:szCs w:val="20"/>
          <w:color w:val="auto"/>
        </w:rPr>
      </w:pPr>
      <w:r>
        <w:rPr>
          <w:rFonts w:ascii="Arial" w:cs="Arial" w:eastAsia="Arial" w:hAnsi="Arial"/>
          <w:sz w:val="22"/>
          <w:szCs w:val="22"/>
          <w:color w:val="auto"/>
        </w:rPr>
        <w:t>22C CAPITAL I, L.P.</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GP I,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53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GP I MM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Managing 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bl>
    <w:p>
      <w:pPr>
        <w:spacing w:after="0" w:line="22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22C AIDH TOPCO AGGREGATOR, L.L.C.</w:t>
      </w:r>
    </w:p>
    <w:p>
      <w:pPr>
        <w:spacing w:after="0" w:line="287"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Pr>
          <w:p>
            <w:pPr>
              <w:spacing w:after="0"/>
              <w:rPr>
                <w:sz w:val="20"/>
                <w:szCs w:val="20"/>
                <w:color w:val="auto"/>
              </w:rPr>
            </w:pPr>
            <w:r>
              <w:rPr>
                <w:rFonts w:ascii="Arial" w:cs="Arial" w:eastAsia="Arial" w:hAnsi="Arial"/>
                <w:sz w:val="22"/>
                <w:szCs w:val="22"/>
                <w:color w:val="auto"/>
              </w:rPr>
              <w:t>22C Capital LLC, its</w:t>
            </w:r>
          </w:p>
        </w:tc>
      </w:tr>
      <w:tr>
        <w:trPr>
          <w:trHeight w:val="274"/>
        </w:trPr>
        <w:tc>
          <w:tcPr>
            <w:tcW w:w="1000" w:type="dxa"/>
            <w:vAlign w:val="bottom"/>
          </w:tcPr>
          <w:p>
            <w:pPr>
              <w:spacing w:after="0"/>
              <w:rPr>
                <w:sz w:val="23"/>
                <w:szCs w:val="23"/>
                <w:color w:val="auto"/>
              </w:rPr>
            </w:pPr>
          </w:p>
        </w:tc>
        <w:tc>
          <w:tcPr>
            <w:tcW w:w="4920" w:type="dxa"/>
            <w:vAlign w:val="bottom"/>
          </w:tcPr>
          <w:p>
            <w:pPr>
              <w:spacing w:after="0"/>
              <w:rPr>
                <w:sz w:val="20"/>
                <w:szCs w:val="20"/>
                <w:color w:val="auto"/>
              </w:rPr>
            </w:pPr>
            <w:r>
              <w:rPr>
                <w:rFonts w:ascii="Arial" w:cs="Arial" w:eastAsia="Arial" w:hAnsi="Arial"/>
                <w:sz w:val="22"/>
                <w:szCs w:val="22"/>
                <w:color w:val="auto"/>
              </w:rPr>
              <w:t>Managing 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r>
        <w:trPr>
          <w:trHeight w:val="810"/>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59"/>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74"/>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Member</w:t>
            </w:r>
          </w:p>
        </w:tc>
      </w:tr>
    </w:tbl>
    <w:p>
      <w:pPr>
        <w:spacing w:after="0" w:line="174"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[SIGNATURE PAGE TO REGISTRATION RIGHTS AGREEMENT]</w:t>
      </w: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1" w:right="339" w:bottom="1440" w:gutter="0" w:footer="0" w:header="0"/>
        </w:sectPr>
      </w:pPr>
    </w:p>
    <w:bookmarkStart w:id="233" w:name="page234"/>
    <w:bookmarkEnd w:id="233"/>
    <w:p>
      <w:pPr>
        <w:ind w:left="4200"/>
        <w:spacing w:after="0"/>
        <w:rPr>
          <w:sz w:val="20"/>
          <w:szCs w:val="20"/>
          <w:color w:val="auto"/>
        </w:rPr>
      </w:pPr>
      <w:r>
        <w:rPr>
          <w:rFonts w:ascii="Arial" w:cs="Arial" w:eastAsia="Arial" w:hAnsi="Arial"/>
          <w:sz w:val="22"/>
          <w:szCs w:val="22"/>
          <w:b w:val="1"/>
          <w:bCs w:val="1"/>
          <w:color w:val="auto"/>
        </w:rPr>
        <w:t>GLENNARVID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GlennArvid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34" w:name="page235"/>
    <w:bookmarkEnd w:id="234"/>
    <w:p>
      <w:pPr>
        <w:ind w:left="4200"/>
        <w:spacing w:after="0"/>
        <w:rPr>
          <w:sz w:val="20"/>
          <w:szCs w:val="20"/>
          <w:color w:val="auto"/>
        </w:rPr>
      </w:pPr>
      <w:r>
        <w:rPr>
          <w:rFonts w:ascii="Arial" w:cs="Arial" w:eastAsia="Arial" w:hAnsi="Arial"/>
          <w:sz w:val="22"/>
          <w:szCs w:val="22"/>
          <w:b w:val="1"/>
          <w:bCs w:val="1"/>
          <w:color w:val="auto"/>
        </w:rPr>
        <w:t>GP BULLHOUND FUND IV SCSP</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GP Bullhound Fund IV SCSp,</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35" w:name="page236"/>
    <w:bookmarkEnd w:id="235"/>
    <w:p>
      <w:pPr>
        <w:ind w:left="4200"/>
        <w:spacing w:after="0"/>
        <w:rPr>
          <w:sz w:val="20"/>
          <w:szCs w:val="20"/>
          <w:color w:val="auto"/>
        </w:rPr>
      </w:pPr>
      <w:r>
        <w:rPr>
          <w:rFonts w:ascii="Arial" w:cs="Arial" w:eastAsia="Arial" w:hAnsi="Arial"/>
          <w:sz w:val="22"/>
          <w:szCs w:val="22"/>
          <w:b w:val="1"/>
          <w:bCs w:val="1"/>
          <w:color w:val="auto"/>
        </w:rPr>
        <w:t>GERHARD DAL</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Gerhard Dal,</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36" w:name="page237"/>
    <w:bookmarkEnd w:id="236"/>
    <w:p>
      <w:pPr>
        <w:ind w:left="4200"/>
        <w:spacing w:after="0"/>
        <w:rPr>
          <w:sz w:val="20"/>
          <w:szCs w:val="20"/>
          <w:color w:val="auto"/>
        </w:rPr>
      </w:pPr>
      <w:r>
        <w:rPr>
          <w:rFonts w:ascii="Arial" w:cs="Arial" w:eastAsia="Arial" w:hAnsi="Arial"/>
          <w:sz w:val="19"/>
          <w:szCs w:val="19"/>
          <w:b w:val="1"/>
          <w:bCs w:val="1"/>
          <w:color w:val="auto"/>
        </w:rPr>
        <w:t>OLOF GUSTAF PAULUS ISAKSSON</w:t>
      </w:r>
    </w:p>
    <w:p>
      <w:pPr>
        <w:spacing w:after="0" w:line="32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Olof Gustaf Paulus Isaksson,</w:t>
      </w:r>
    </w:p>
    <w:p>
      <w:pPr>
        <w:spacing w:after="0" w:line="17"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acting by its lawfully appointed attorney</w:t>
      </w:r>
    </w:p>
    <w:p>
      <w:pPr>
        <w:spacing w:after="0" w:line="200" w:lineRule="exact"/>
        <w:rPr>
          <w:sz w:val="20"/>
          <w:szCs w:val="20"/>
          <w:color w:val="auto"/>
        </w:rPr>
      </w:pPr>
    </w:p>
    <w:p>
      <w:pPr>
        <w:spacing w:after="0" w:line="38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37" w:name="page238"/>
    <w:bookmarkEnd w:id="237"/>
    <w:p>
      <w:pPr>
        <w:ind w:left="4200"/>
        <w:spacing w:after="0"/>
        <w:rPr>
          <w:sz w:val="20"/>
          <w:szCs w:val="20"/>
          <w:color w:val="auto"/>
        </w:rPr>
      </w:pPr>
      <w:r>
        <w:rPr>
          <w:rFonts w:ascii="Arial" w:cs="Arial" w:eastAsia="Arial" w:hAnsi="Arial"/>
          <w:sz w:val="22"/>
          <w:szCs w:val="22"/>
          <w:b w:val="1"/>
          <w:bCs w:val="1"/>
          <w:color w:val="auto"/>
        </w:rPr>
        <w:t>HENRIK LJUNGQVIST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Henrik Ljungqvist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38" w:name="page239"/>
    <w:bookmarkEnd w:id="238"/>
    <w:p>
      <w:pPr>
        <w:ind w:left="4200"/>
        <w:spacing w:after="0"/>
        <w:rPr>
          <w:sz w:val="20"/>
          <w:szCs w:val="20"/>
          <w:color w:val="auto"/>
        </w:rPr>
      </w:pPr>
      <w:r>
        <w:rPr>
          <w:rFonts w:ascii="Arial" w:cs="Arial" w:eastAsia="Arial" w:hAnsi="Arial"/>
          <w:sz w:val="22"/>
          <w:szCs w:val="22"/>
          <w:b w:val="1"/>
          <w:bCs w:val="1"/>
          <w:color w:val="auto"/>
        </w:rPr>
        <w:t>HEALTHCOM GMBH</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HealthCom GmbH,</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39" w:name="page240"/>
    <w:bookmarkEnd w:id="239"/>
    <w:p>
      <w:pPr>
        <w:ind w:left="4200"/>
        <w:spacing w:after="0"/>
        <w:rPr>
          <w:sz w:val="20"/>
          <w:szCs w:val="20"/>
          <w:color w:val="auto"/>
        </w:rPr>
      </w:pPr>
      <w:r>
        <w:rPr>
          <w:rFonts w:ascii="Arial" w:cs="Arial" w:eastAsia="Arial" w:hAnsi="Arial"/>
          <w:sz w:val="22"/>
          <w:szCs w:val="22"/>
          <w:b w:val="1"/>
          <w:bCs w:val="1"/>
          <w:color w:val="auto"/>
        </w:rPr>
        <w:t>GREG BATCHELLER</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Greg Batcheller,</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0" w:name="page241"/>
    <w:bookmarkEnd w:id="240"/>
    <w:p>
      <w:pPr>
        <w:ind w:left="4200"/>
        <w:spacing w:after="0"/>
        <w:rPr>
          <w:sz w:val="20"/>
          <w:szCs w:val="20"/>
          <w:color w:val="auto"/>
        </w:rPr>
      </w:pPr>
      <w:r>
        <w:rPr>
          <w:rFonts w:ascii="Arial" w:cs="Arial" w:eastAsia="Arial" w:hAnsi="Arial"/>
          <w:sz w:val="22"/>
          <w:szCs w:val="22"/>
          <w:b w:val="1"/>
          <w:bCs w:val="1"/>
          <w:color w:val="auto"/>
        </w:rPr>
        <w:t>ALBONJA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Albonja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1" w:name="page242"/>
    <w:bookmarkEnd w:id="241"/>
    <w:p>
      <w:pPr>
        <w:ind w:left="4200"/>
        <w:spacing w:after="0"/>
        <w:rPr>
          <w:sz w:val="20"/>
          <w:szCs w:val="20"/>
          <w:color w:val="auto"/>
        </w:rPr>
      </w:pPr>
      <w:r>
        <w:rPr>
          <w:rFonts w:ascii="Arial" w:cs="Arial" w:eastAsia="Arial" w:hAnsi="Arial"/>
          <w:sz w:val="22"/>
          <w:szCs w:val="22"/>
          <w:b w:val="1"/>
          <w:bCs w:val="1"/>
          <w:color w:val="auto"/>
        </w:rPr>
        <w:t>KAMEDA CONSULTING</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Kameda Consulting,</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2" w:name="page243"/>
    <w:bookmarkEnd w:id="242"/>
    <w:p>
      <w:pPr>
        <w:ind w:left="4200"/>
        <w:spacing w:after="0"/>
        <w:rPr>
          <w:sz w:val="20"/>
          <w:szCs w:val="20"/>
          <w:color w:val="auto"/>
        </w:rPr>
      </w:pPr>
      <w:r>
        <w:rPr>
          <w:rFonts w:ascii="Arial" w:cs="Arial" w:eastAsia="Arial" w:hAnsi="Arial"/>
          <w:sz w:val="22"/>
          <w:szCs w:val="22"/>
          <w:b w:val="1"/>
          <w:bCs w:val="1"/>
          <w:color w:val="auto"/>
        </w:rPr>
        <w:t>NILS GÖRAN GUMMESSON</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Nils Göran Gummesson,</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3" w:name="page244"/>
    <w:bookmarkEnd w:id="243"/>
    <w:p>
      <w:pPr>
        <w:ind w:left="4200"/>
        <w:spacing w:after="0"/>
        <w:rPr>
          <w:sz w:val="20"/>
          <w:szCs w:val="20"/>
          <w:color w:val="auto"/>
        </w:rPr>
      </w:pPr>
      <w:r>
        <w:rPr>
          <w:rFonts w:ascii="Arial" w:cs="Arial" w:eastAsia="Arial" w:hAnsi="Arial"/>
          <w:sz w:val="22"/>
          <w:szCs w:val="22"/>
          <w:b w:val="1"/>
          <w:bCs w:val="1"/>
          <w:color w:val="auto"/>
        </w:rPr>
        <w:t>BENGT HALSE</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Bengt Halse,</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4" w:name="page245"/>
    <w:bookmarkEnd w:id="244"/>
    <w:p>
      <w:pPr>
        <w:ind w:left="4200"/>
        <w:spacing w:after="0"/>
        <w:rPr>
          <w:sz w:val="20"/>
          <w:szCs w:val="20"/>
          <w:color w:val="auto"/>
        </w:rPr>
      </w:pPr>
      <w:r>
        <w:rPr>
          <w:rFonts w:ascii="Arial" w:cs="Arial" w:eastAsia="Arial" w:hAnsi="Arial"/>
          <w:sz w:val="22"/>
          <w:szCs w:val="22"/>
          <w:b w:val="1"/>
          <w:bCs w:val="1"/>
          <w:color w:val="auto"/>
        </w:rPr>
        <w:t>HEMSTIGEN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Hemstigen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5" w:name="page246"/>
    <w:bookmarkEnd w:id="245"/>
    <w:p>
      <w:pPr>
        <w:ind w:left="4200"/>
        <w:spacing w:after="0"/>
        <w:rPr>
          <w:sz w:val="20"/>
          <w:szCs w:val="20"/>
          <w:color w:val="auto"/>
        </w:rPr>
      </w:pPr>
      <w:r>
        <w:rPr>
          <w:rFonts w:ascii="Arial" w:cs="Arial" w:eastAsia="Arial" w:hAnsi="Arial"/>
          <w:sz w:val="22"/>
          <w:szCs w:val="22"/>
          <w:b w:val="1"/>
          <w:bCs w:val="1"/>
          <w:color w:val="auto"/>
        </w:rPr>
        <w:t>SKAGERACK VENTURES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Skagerack Ventures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6" w:name="page247"/>
    <w:bookmarkEnd w:id="246"/>
    <w:p>
      <w:pPr>
        <w:ind w:left="4200"/>
        <w:spacing w:after="0"/>
        <w:rPr>
          <w:sz w:val="20"/>
          <w:szCs w:val="20"/>
          <w:color w:val="auto"/>
        </w:rPr>
      </w:pPr>
      <w:r>
        <w:rPr>
          <w:rFonts w:ascii="Arial" w:cs="Arial" w:eastAsia="Arial" w:hAnsi="Arial"/>
          <w:sz w:val="22"/>
          <w:szCs w:val="22"/>
          <w:b w:val="1"/>
          <w:bCs w:val="1"/>
          <w:color w:val="auto"/>
        </w:rPr>
        <w:t>THOMAS HEDNER</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Thomas Hedner,</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7" w:name="page248"/>
    <w:bookmarkEnd w:id="247"/>
    <w:p>
      <w:pPr>
        <w:ind w:left="4200"/>
        <w:spacing w:after="0"/>
        <w:rPr>
          <w:sz w:val="20"/>
          <w:szCs w:val="20"/>
          <w:color w:val="auto"/>
        </w:rPr>
      </w:pPr>
      <w:r>
        <w:rPr>
          <w:rFonts w:ascii="Arial" w:cs="Arial" w:eastAsia="Arial" w:hAnsi="Arial"/>
          <w:sz w:val="22"/>
          <w:szCs w:val="22"/>
          <w:b w:val="1"/>
          <w:bCs w:val="1"/>
          <w:color w:val="auto"/>
        </w:rPr>
        <w:t>HANS OLOV SÖREN OLSSON</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Hans Olov Sören Olsson,</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8" w:name="page249"/>
    <w:bookmarkEnd w:id="248"/>
    <w:p>
      <w:pPr>
        <w:ind w:left="4200"/>
        <w:spacing w:after="0"/>
        <w:rPr>
          <w:sz w:val="20"/>
          <w:szCs w:val="20"/>
          <w:color w:val="auto"/>
        </w:rPr>
      </w:pPr>
      <w:r>
        <w:rPr>
          <w:rFonts w:ascii="Arial" w:cs="Arial" w:eastAsia="Arial" w:hAnsi="Arial"/>
          <w:sz w:val="22"/>
          <w:szCs w:val="22"/>
          <w:b w:val="1"/>
          <w:bCs w:val="1"/>
          <w:color w:val="auto"/>
        </w:rPr>
        <w:t>IJUNGFRUGATAN INVEST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iJungfrugatan Invest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49" w:name="page250"/>
    <w:bookmarkEnd w:id="249"/>
    <w:p>
      <w:pPr>
        <w:ind w:left="4200"/>
        <w:spacing w:after="0"/>
        <w:rPr>
          <w:sz w:val="20"/>
          <w:szCs w:val="20"/>
          <w:color w:val="auto"/>
        </w:rPr>
      </w:pPr>
      <w:r>
        <w:rPr>
          <w:rFonts w:ascii="Arial" w:cs="Arial" w:eastAsia="Arial" w:hAnsi="Arial"/>
          <w:sz w:val="22"/>
          <w:szCs w:val="22"/>
          <w:b w:val="1"/>
          <w:bCs w:val="1"/>
          <w:color w:val="auto"/>
        </w:rPr>
        <w:t>ROITAN HOLDING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Roitan Holding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0" w:name="page251"/>
    <w:bookmarkEnd w:id="250"/>
    <w:p>
      <w:pPr>
        <w:ind w:left="4200"/>
        <w:spacing w:after="0"/>
        <w:rPr>
          <w:sz w:val="20"/>
          <w:szCs w:val="20"/>
          <w:color w:val="auto"/>
        </w:rPr>
      </w:pPr>
      <w:r>
        <w:rPr>
          <w:rFonts w:ascii="Arial" w:cs="Arial" w:eastAsia="Arial" w:hAnsi="Arial"/>
          <w:sz w:val="22"/>
          <w:szCs w:val="22"/>
          <w:b w:val="1"/>
          <w:bCs w:val="1"/>
          <w:color w:val="auto"/>
        </w:rPr>
        <w:t>PETTER ERIKSSON</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Petter Eriksson,</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1" w:name="page252"/>
    <w:bookmarkEnd w:id="251"/>
    <w:p>
      <w:pPr>
        <w:ind w:left="4200"/>
        <w:spacing w:after="0"/>
        <w:rPr>
          <w:sz w:val="20"/>
          <w:szCs w:val="20"/>
          <w:color w:val="auto"/>
        </w:rPr>
      </w:pPr>
      <w:r>
        <w:rPr>
          <w:rFonts w:ascii="Arial" w:cs="Arial" w:eastAsia="Arial" w:hAnsi="Arial"/>
          <w:sz w:val="21"/>
          <w:szCs w:val="21"/>
          <w:b w:val="1"/>
          <w:bCs w:val="1"/>
          <w:color w:val="auto"/>
        </w:rPr>
        <w:t>KARIN JOHANSSON WINGSTRAND</w:t>
      </w:r>
    </w:p>
    <w:p>
      <w:pPr>
        <w:spacing w:after="0" w:line="30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Karin Johansson Wingstrand,</w:t>
      </w:r>
    </w:p>
    <w:p>
      <w:pPr>
        <w:spacing w:after="0" w:line="17" w:lineRule="exact"/>
        <w:rPr>
          <w:sz w:val="20"/>
          <w:szCs w:val="20"/>
          <w:color w:val="auto"/>
        </w:rPr>
      </w:pPr>
    </w:p>
    <w:p>
      <w:pPr>
        <w:ind w:left="4200"/>
        <w:spacing w:after="0"/>
        <w:rPr>
          <w:sz w:val="20"/>
          <w:szCs w:val="20"/>
          <w:color w:val="auto"/>
        </w:rPr>
      </w:pPr>
      <w:r>
        <w:rPr>
          <w:rFonts w:ascii="Arial" w:cs="Arial" w:eastAsia="Arial" w:hAnsi="Arial"/>
          <w:sz w:val="21"/>
          <w:szCs w:val="21"/>
          <w:color w:val="auto"/>
        </w:rPr>
        <w:t>acting by its lawfully appointed attorney</w:t>
      </w:r>
    </w:p>
    <w:p>
      <w:pPr>
        <w:spacing w:after="0" w:line="200" w:lineRule="exact"/>
        <w:rPr>
          <w:sz w:val="20"/>
          <w:szCs w:val="20"/>
          <w:color w:val="auto"/>
        </w:rPr>
      </w:pPr>
    </w:p>
    <w:p>
      <w:pPr>
        <w:spacing w:after="0" w:line="36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2" w:name="page253"/>
    <w:bookmarkEnd w:id="252"/>
    <w:p>
      <w:pPr>
        <w:ind w:left="4200"/>
        <w:spacing w:after="0"/>
        <w:rPr>
          <w:sz w:val="20"/>
          <w:szCs w:val="20"/>
          <w:color w:val="auto"/>
        </w:rPr>
      </w:pPr>
      <w:r>
        <w:rPr>
          <w:rFonts w:ascii="Arial" w:cs="Arial" w:eastAsia="Arial" w:hAnsi="Arial"/>
          <w:sz w:val="22"/>
          <w:szCs w:val="22"/>
          <w:b w:val="1"/>
          <w:bCs w:val="1"/>
          <w:color w:val="auto"/>
        </w:rPr>
        <w:t>STAFFAN TERNSTRÖM</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Staffan Ternström,</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3" w:name="page254"/>
    <w:bookmarkEnd w:id="253"/>
    <w:p>
      <w:pPr>
        <w:ind w:left="4200"/>
        <w:spacing w:after="0"/>
        <w:rPr>
          <w:sz w:val="20"/>
          <w:szCs w:val="20"/>
          <w:color w:val="auto"/>
        </w:rPr>
      </w:pPr>
      <w:r>
        <w:rPr>
          <w:rFonts w:ascii="Arial" w:cs="Arial" w:eastAsia="Arial" w:hAnsi="Arial"/>
          <w:sz w:val="22"/>
          <w:szCs w:val="22"/>
          <w:b w:val="1"/>
          <w:bCs w:val="1"/>
          <w:color w:val="auto"/>
        </w:rPr>
        <w:t>INVESTMENTAKTIEBOLAGET AKKUMULA</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Investmentaktiebolaget Akkumula,</w:t>
      </w:r>
    </w:p>
    <w:p>
      <w:pPr>
        <w:spacing w:after="0" w:line="1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4" w:name="page255"/>
    <w:bookmarkEnd w:id="254"/>
    <w:p>
      <w:pPr>
        <w:ind w:left="4200"/>
        <w:spacing w:after="0"/>
        <w:rPr>
          <w:sz w:val="20"/>
          <w:szCs w:val="20"/>
          <w:color w:val="auto"/>
        </w:rPr>
      </w:pPr>
      <w:r>
        <w:rPr>
          <w:rFonts w:ascii="Arial" w:cs="Arial" w:eastAsia="Arial" w:hAnsi="Arial"/>
          <w:sz w:val="22"/>
          <w:szCs w:val="22"/>
          <w:b w:val="1"/>
          <w:bCs w:val="1"/>
          <w:color w:val="auto"/>
        </w:rPr>
        <w:t>KRISTOFFER GUSTAFSSON</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Kristoffer Gustafsson,</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5" w:name="page256"/>
    <w:bookmarkEnd w:id="255"/>
    <w:p>
      <w:pPr>
        <w:ind w:left="4200"/>
        <w:spacing w:after="0"/>
        <w:rPr>
          <w:sz w:val="20"/>
          <w:szCs w:val="20"/>
          <w:color w:val="auto"/>
        </w:rPr>
      </w:pPr>
      <w:r>
        <w:rPr>
          <w:rFonts w:ascii="Arial" w:cs="Arial" w:eastAsia="Arial" w:hAnsi="Arial"/>
          <w:sz w:val="22"/>
          <w:szCs w:val="22"/>
          <w:b w:val="1"/>
          <w:bCs w:val="1"/>
          <w:color w:val="auto"/>
        </w:rPr>
        <w:t>STAFFAN INGEBORN</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of Staffan Ingeborn,</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6" w:name="page257"/>
    <w:bookmarkEnd w:id="256"/>
    <w:p>
      <w:pPr>
        <w:ind w:left="4200"/>
        <w:spacing w:after="0"/>
        <w:rPr>
          <w:sz w:val="20"/>
          <w:szCs w:val="20"/>
          <w:color w:val="auto"/>
        </w:rPr>
      </w:pPr>
      <w:r>
        <w:rPr>
          <w:rFonts w:ascii="Arial" w:cs="Arial" w:eastAsia="Arial" w:hAnsi="Arial"/>
          <w:sz w:val="22"/>
          <w:szCs w:val="22"/>
          <w:b w:val="1"/>
          <w:bCs w:val="1"/>
          <w:color w:val="auto"/>
        </w:rPr>
        <w:t>NO HOLDING BACK AB</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No Holding Back AB,</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7" w:name="page258"/>
    <w:bookmarkEnd w:id="257"/>
    <w:p>
      <w:pPr>
        <w:ind w:left="4200"/>
        <w:spacing w:after="0"/>
        <w:rPr>
          <w:sz w:val="20"/>
          <w:szCs w:val="20"/>
          <w:color w:val="auto"/>
        </w:rPr>
      </w:pPr>
      <w:r>
        <w:rPr>
          <w:rFonts w:ascii="Arial" w:cs="Arial" w:eastAsia="Arial" w:hAnsi="Arial"/>
          <w:sz w:val="21"/>
          <w:szCs w:val="21"/>
          <w:b w:val="1"/>
          <w:bCs w:val="1"/>
          <w:color w:val="auto"/>
        </w:rPr>
        <w:t>NGG ADVISORY AND INVESTMENT AB</w:t>
      </w:r>
    </w:p>
    <w:p>
      <w:pPr>
        <w:spacing w:after="0" w:line="30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NGG Advisory and Investment AB,</w:t>
      </w:r>
    </w:p>
    <w:p>
      <w:pPr>
        <w:spacing w:after="0" w:line="1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8" w:name="page259"/>
    <w:bookmarkEnd w:id="258"/>
    <w:p>
      <w:pPr>
        <w:ind w:left="4200"/>
        <w:spacing w:after="0"/>
        <w:rPr>
          <w:sz w:val="20"/>
          <w:szCs w:val="20"/>
          <w:color w:val="auto"/>
        </w:rPr>
      </w:pPr>
      <w:r>
        <w:rPr>
          <w:rFonts w:ascii="Arial" w:cs="Arial" w:eastAsia="Arial" w:hAnsi="Arial"/>
          <w:sz w:val="22"/>
          <w:szCs w:val="22"/>
          <w:b w:val="1"/>
          <w:bCs w:val="1"/>
          <w:color w:val="auto"/>
        </w:rPr>
        <w:t>HENRIK ALBURG</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 of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Henrik Alburg,</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59" w:name="page260"/>
    <w:bookmarkEnd w:id="259"/>
    <w:p>
      <w:pPr>
        <w:ind w:left="4200"/>
        <w:spacing w:after="0"/>
        <w:rPr>
          <w:sz w:val="20"/>
          <w:szCs w:val="20"/>
          <w:color w:val="auto"/>
        </w:rPr>
      </w:pPr>
      <w:r>
        <w:rPr>
          <w:rFonts w:ascii="Arial" w:cs="Arial" w:eastAsia="Arial" w:hAnsi="Arial"/>
          <w:sz w:val="22"/>
          <w:szCs w:val="22"/>
          <w:b w:val="1"/>
          <w:bCs w:val="1"/>
          <w:color w:val="auto"/>
        </w:rPr>
        <w:t>GUSTAF JUNGNELIUS</w:t>
      </w:r>
    </w:p>
    <w:p>
      <w:pPr>
        <w:spacing w:after="0" w:line="29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Signed and delivered on behalf</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Gustaf Jungnelius,</w:t>
      </w:r>
    </w:p>
    <w:p>
      <w:pPr>
        <w:spacing w:after="0" w:line="17" w:lineRule="exact"/>
        <w:rPr>
          <w:sz w:val="20"/>
          <w:szCs w:val="20"/>
          <w:color w:val="auto"/>
        </w:rPr>
      </w:pPr>
    </w:p>
    <w:p>
      <w:pPr>
        <w:jc w:val="right"/>
        <w:ind w:right="1319"/>
        <w:spacing w:after="0"/>
        <w:rPr>
          <w:sz w:val="20"/>
          <w:szCs w:val="20"/>
          <w:color w:val="auto"/>
        </w:rPr>
      </w:pPr>
      <w:r>
        <w:rPr>
          <w:rFonts w:ascii="Arial" w:cs="Arial" w:eastAsia="Arial" w:hAnsi="Arial"/>
          <w:sz w:val="22"/>
          <w:szCs w:val="22"/>
          <w:color w:val="auto"/>
        </w:rPr>
        <w:t>acting by its lawfully appointed attorney</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 Björn Carlsson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wp:posOffset>
            </wp:positionV>
            <wp:extent cx="37719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Björn Carlsson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60" w:name="page261"/>
    <w:bookmarkEnd w:id="260"/>
    <w:p>
      <w:pPr>
        <w:jc w:val="center"/>
        <w:ind w:right="-191"/>
        <w:spacing w:after="0"/>
        <w:rPr>
          <w:sz w:val="20"/>
          <w:szCs w:val="20"/>
          <w:color w:val="auto"/>
        </w:rPr>
      </w:pPr>
      <w:r>
        <w:rPr>
          <w:rFonts w:ascii="Arial" w:cs="Arial" w:eastAsia="Arial" w:hAnsi="Arial"/>
          <w:sz w:val="22"/>
          <w:szCs w:val="22"/>
          <w:u w:val="single" w:color="auto"/>
          <w:color w:val="auto"/>
        </w:rPr>
        <w:t>Schedule I</w:t>
      </w:r>
    </w:p>
    <w:p>
      <w:pPr>
        <w:spacing w:after="0" w:line="22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Key Holders</w:t>
      </w:r>
    </w:p>
    <w:p>
      <w:pPr>
        <w:spacing w:after="0" w:line="246" w:lineRule="exact"/>
        <w:rPr>
          <w:sz w:val="20"/>
          <w:szCs w:val="20"/>
          <w:color w:val="auto"/>
        </w:rPr>
      </w:pPr>
    </w:p>
    <w:p>
      <w:pPr>
        <w:ind w:left="332" w:hanging="332"/>
        <w:spacing w:after="0"/>
        <w:tabs>
          <w:tab w:leader="none" w:pos="3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Advent entities set forth on Schedule II and any of their permitted transferees.</w:t>
      </w:r>
    </w:p>
    <w:p>
      <w:pPr>
        <w:spacing w:after="0" w:line="23" w:lineRule="exact"/>
        <w:rPr>
          <w:rFonts w:ascii="Arial" w:cs="Arial" w:eastAsia="Arial" w:hAnsi="Arial"/>
          <w:sz w:val="18"/>
          <w:szCs w:val="18"/>
          <w:color w:val="auto"/>
        </w:rPr>
      </w:pPr>
    </w:p>
    <w:p>
      <w:pPr>
        <w:ind w:left="332" w:hanging="332"/>
        <w:spacing w:after="0" w:line="266" w:lineRule="auto"/>
        <w:tabs>
          <w:tab w:leader="none" w:pos="3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 VII DHC AIV Feeder, L.P., SE VII DHC AIV, L.P., Spectrum VII Investment Managers’ Fund, L.P., and Spectrum VII Co-Investment Fund, L.P. collectively, and any of their Permitted Transferees.</w:t>
      </w:r>
    </w:p>
    <w:p>
      <w:pPr>
        <w:ind w:left="332" w:hanging="332"/>
        <w:spacing w:after="0"/>
        <w:tabs>
          <w:tab w:leader="none" w:pos="3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22C Capital GP I, L.L.C. 22C Capital I, L.P., 22C AIDH AIV LLC collectively, and any of their permitted transferees.</w:t>
      </w:r>
    </w:p>
    <w:p>
      <w:pPr>
        <w:spacing w:after="0" w:line="22" w:lineRule="exact"/>
        <w:rPr>
          <w:rFonts w:ascii="Arial" w:cs="Arial" w:eastAsia="Arial" w:hAnsi="Arial"/>
          <w:sz w:val="18"/>
          <w:szCs w:val="18"/>
          <w:color w:val="auto"/>
        </w:rPr>
      </w:pPr>
    </w:p>
    <w:p>
      <w:pPr>
        <w:ind w:left="332" w:hanging="332"/>
        <w:spacing w:after="0"/>
        <w:tabs>
          <w:tab w:leader="none" w:pos="3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Jason R. Krantz, DH Holdings LLC (fka Jason R. Krantz 2009 Trust) and any of their permitted transferees.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537" w:right="519" w:bottom="1440" w:gutter="0" w:footer="0" w:header="0"/>
        </w:sectPr>
      </w:pPr>
    </w:p>
    <w:bookmarkStart w:id="261" w:name="page262"/>
    <w:bookmarkEnd w:id="261"/>
    <w:p>
      <w:pPr>
        <w:jc w:val="center"/>
        <w:ind w:right="-1100"/>
        <w:spacing w:after="0"/>
        <w:rPr>
          <w:sz w:val="20"/>
          <w:szCs w:val="20"/>
          <w:color w:val="auto"/>
        </w:rPr>
      </w:pPr>
      <w:r>
        <w:rPr>
          <w:rFonts w:ascii="Arial" w:cs="Arial" w:eastAsia="Arial" w:hAnsi="Arial"/>
          <w:sz w:val="22"/>
          <w:szCs w:val="22"/>
          <w:u w:val="single" w:color="auto"/>
          <w:color w:val="auto"/>
        </w:rPr>
        <w:t>Schedule II</w:t>
      </w:r>
    </w:p>
    <w:p>
      <w:pPr>
        <w:spacing w:after="0" w:line="233" w:lineRule="exact"/>
        <w:rPr>
          <w:sz w:val="20"/>
          <w:szCs w:val="20"/>
          <w:color w:val="auto"/>
        </w:rPr>
      </w:pPr>
    </w:p>
    <w:p>
      <w:pPr>
        <w:jc w:val="right"/>
        <w:ind w:right="3839"/>
        <w:spacing w:after="0"/>
        <w:rPr>
          <w:sz w:val="20"/>
          <w:szCs w:val="20"/>
          <w:color w:val="auto"/>
        </w:rPr>
      </w:pPr>
      <w:r>
        <w:rPr>
          <w:rFonts w:ascii="Arial" w:cs="Arial" w:eastAsia="Arial" w:hAnsi="Arial"/>
          <w:sz w:val="22"/>
          <w:szCs w:val="22"/>
          <w:color w:val="auto"/>
        </w:rPr>
        <w:t>Advent Entities</w:t>
      </w:r>
    </w:p>
    <w:p>
      <w:pPr>
        <w:spacing w:after="0" w:line="240"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 Limited Partnership</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IX-A SCSp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IX-B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IX-C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IX-D SCSp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IX-E SCSp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IX-F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IX-G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IX-H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International GPE IX-I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GPE IX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GPE IX-A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GPE IX Strategic Investors SCSP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GPE IX-A Cayman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GPE IX-B Cayman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GPE IX Cayman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Global Technology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Global Technology-A SCSp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Global Technology-B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Global Technology-C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Global Technology-D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AGT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AGT Cayman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Partners AGT-A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Advent Global Technology Strategic Investors Limited Partnership</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Sunley House Capital Master Limited Partnership</w:t>
      </w:r>
    </w:p>
    <w:p>
      <w:pPr>
        <w:spacing w:after="0" w:line="200" w:lineRule="exact"/>
        <w:rPr>
          <w:sz w:val="20"/>
          <w:szCs w:val="20"/>
          <w:color w:val="auto"/>
        </w:rPr>
      </w:pPr>
    </w:p>
    <w:p>
      <w:pPr>
        <w:spacing w:after="0" w:line="26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THIS JOINDER AGREEMENT (this “Joinder”) is made and entered into as of [ ● ] by the undersigned (the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Holder</w:t>
      </w:r>
      <w:r>
        <w:rPr>
          <w:rFonts w:ascii="Arial" w:cs="Arial" w:eastAsia="Arial" w:hAnsi="Arial"/>
          <w:sz w:val="22"/>
          <w:szCs w:val="22"/>
          <w:color w:val="auto"/>
        </w:rPr>
        <w:t>”) in accordance with the terms and conditions set forth in that certain Registration Rights Agreement by and among Definitive Healthcare Corp., a Delaware corporation (including any successor,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Holders party thereto, dated as of September 14, 2021 (as the same may be amended, restated or otherwise modified from time to time, the “</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for the benefit of, and for reliance upon by, the Company and the Holders party thereto. Capitalized terms used herein but not otherwise defined shall have the meanings given to them in the Registration Rights Agreement.</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WHEREAS, the New Holder desires to exercise certain rights granted to it under the Registration Rights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WHEREAS, the execution and delivery to the Company of this Joinder by the New Holder is a condition precedent to the New Holder’s exercise of any of its rights under the Registration Rights Agreement.</w:t>
      </w:r>
    </w:p>
    <w:p>
      <w:pPr>
        <w:spacing w:after="0" w:line="174" w:lineRule="exact"/>
        <w:rPr>
          <w:sz w:val="20"/>
          <w:szCs w:val="20"/>
          <w:color w:val="auto"/>
        </w:rPr>
      </w:pPr>
    </w:p>
    <w:p>
      <w:pPr>
        <w:jc w:val="both"/>
        <w:ind w:right="20" w:firstLine="749"/>
        <w:spacing w:after="0" w:line="301" w:lineRule="auto"/>
        <w:rPr>
          <w:sz w:val="20"/>
          <w:szCs w:val="20"/>
          <w:color w:val="auto"/>
        </w:rPr>
      </w:pPr>
      <w:r>
        <w:rPr>
          <w:rFonts w:ascii="Arial" w:cs="Arial" w:eastAsia="Arial" w:hAnsi="Arial"/>
          <w:sz w:val="21"/>
          <w:szCs w:val="21"/>
          <w:color w:val="auto"/>
        </w:rPr>
        <w:t>NOW, THEREFORE, in consideration of the premises and covenants herein, and for other good and valuable consideration (the receipt and sufficiency of which are hereby acknowledged), the New Holder hereby agrees as follows:</w:t>
      </w:r>
    </w:p>
    <w:p>
      <w:pPr>
        <w:spacing w:after="0" w:line="150" w:lineRule="exact"/>
        <w:rPr>
          <w:sz w:val="20"/>
          <w:szCs w:val="20"/>
          <w:color w:val="auto"/>
        </w:rPr>
      </w:pPr>
    </w:p>
    <w:p>
      <w:pPr>
        <w:jc w:val="both"/>
        <w:ind w:firstLine="757"/>
        <w:spacing w:after="0" w:line="259" w:lineRule="auto"/>
        <w:tabs>
          <w:tab w:leader="none" w:pos="96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Joinder</w:t>
      </w:r>
      <w:r>
        <w:rPr>
          <w:rFonts w:ascii="Arial" w:cs="Arial" w:eastAsia="Arial" w:hAnsi="Arial"/>
          <w:sz w:val="22"/>
          <w:szCs w:val="22"/>
          <w:color w:val="auto"/>
        </w:rPr>
        <w:t>. By the execution and delivery of this Joinder, the New Holder hereby agrees to become, and to be deemed to be, and shall become and be deemed to be, for all purposes under the Registration Rights Agreement, a Holder, with the same force and effect as if the New Holder had been an original signatory thereto, and the New Holder agrees to be bound by all of the terms and conditions of, and to assume all of the obligations of, a Holder under, the Registration Rights Agreement. All of the terms, provisions, representations, warranties, covenants and agreements set forth in the Registration Rights Agreement with respect to a Holder are incorporated by reference herein and shall be legally binding upon, and inure to the benefit of, the New Holder.</w:t>
      </w:r>
    </w:p>
    <w:p>
      <w:pPr>
        <w:spacing w:after="0" w:line="195" w:lineRule="exact"/>
        <w:rPr>
          <w:rFonts w:ascii="Arial" w:cs="Arial" w:eastAsia="Arial" w:hAnsi="Arial"/>
          <w:sz w:val="22"/>
          <w:szCs w:val="22"/>
          <w:color w:val="auto"/>
        </w:rPr>
      </w:pPr>
    </w:p>
    <w:p>
      <w:pPr>
        <w:jc w:val="both"/>
        <w:ind w:firstLine="757"/>
        <w:spacing w:after="0" w:line="266" w:lineRule="auto"/>
        <w:tabs>
          <w:tab w:leader="none" w:pos="992"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New Holder agrees to perform any further acts and execute and deliver any additional documents and instruments that may be necessary or reasonably requested by the Company to carry out the provisions of this Joinder or the Registration Rights Agreement.</w:t>
      </w:r>
    </w:p>
    <w:p>
      <w:pPr>
        <w:spacing w:after="0" w:line="184" w:lineRule="exact"/>
        <w:rPr>
          <w:rFonts w:ascii="Arial" w:cs="Arial" w:eastAsia="Arial" w:hAnsi="Arial"/>
          <w:sz w:val="22"/>
          <w:szCs w:val="22"/>
          <w:color w:val="auto"/>
        </w:rPr>
      </w:pPr>
    </w:p>
    <w:p>
      <w:pPr>
        <w:jc w:val="both"/>
        <w:ind w:firstLine="757"/>
        <w:spacing w:after="0" w:line="327" w:lineRule="auto"/>
        <w:tabs>
          <w:tab w:leader="none" w:pos="992"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This Joinder and the Registration Rights Agreement shall be binding upon, and shall inure to the benefit of, the New Holder and its successors and permitted assigns, subject to the terms and provisions of the Registration Rights Agreement. It shall not be necessary in connection with the New Holder’s status as a Holder to make reference to this Joinder.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3" w:name="page264"/>
    <w:bookmarkEnd w:id="263"/>
    <w:p>
      <w:pPr>
        <w:ind w:left="760"/>
        <w:spacing w:after="0"/>
        <w:rPr>
          <w:sz w:val="20"/>
          <w:szCs w:val="20"/>
          <w:color w:val="auto"/>
        </w:rPr>
      </w:pPr>
      <w:r>
        <w:rPr>
          <w:rFonts w:ascii="Arial" w:cs="Arial" w:eastAsia="Arial" w:hAnsi="Arial"/>
          <w:sz w:val="19"/>
          <w:szCs w:val="19"/>
          <w:color w:val="auto"/>
        </w:rPr>
        <w:t>IN WITNESS WHEREOF, the New Holder has executed this Joinder as of the date first above written.</w:t>
      </w:r>
    </w:p>
    <w:p>
      <w:pPr>
        <w:spacing w:after="0" w:line="26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[NEW HOLDER]</w:t>
      </w:r>
    </w:p>
    <w:p>
      <w:pPr>
        <w:spacing w:after="0" w:line="28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15875</wp:posOffset>
            </wp:positionV>
            <wp:extent cx="30861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Title:</w:t>
      </w:r>
    </w:p>
    <w:p>
      <w:pPr>
        <w:spacing w:after="0" w:line="28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204470</wp:posOffset>
            </wp:positionV>
            <wp:extent cx="37719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393065</wp:posOffset>
            </wp:positionV>
            <wp:extent cx="37719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581660</wp:posOffset>
            </wp:positionV>
            <wp:extent cx="37719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377190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770255</wp:posOffset>
            </wp:positionV>
            <wp:extent cx="37719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Definitive Healthcare Corp.</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15875</wp:posOffset>
            </wp:positionV>
            <wp:extent cx="27260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15875</wp:posOffset>
            </wp:positionV>
            <wp:extent cx="27260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15875</wp:posOffset>
            </wp:positionV>
            <wp:extent cx="27260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43180</wp:posOffset>
            </wp:positionV>
            <wp:extent cx="7132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TAX RECEIVABLE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AIDH TOPCO,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the several TRA HOLDERS (as defined herein)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OTHER TRA 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September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204470</wp:posOffset>
            </wp:positionV>
            <wp:extent cx="71323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221615</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911860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05"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80"/>
        </w:trPr>
        <w:tc>
          <w:tcPr>
            <w:tcW w:w="2620" w:type="dxa"/>
            <w:vAlign w:val="bottom"/>
          </w:tcPr>
          <w:p>
            <w:pPr>
              <w:spacing w:after="0"/>
              <w:rPr>
                <w:sz w:val="24"/>
                <w:szCs w:val="24"/>
                <w:color w:val="auto"/>
              </w:rPr>
            </w:pPr>
          </w:p>
        </w:tc>
        <w:tc>
          <w:tcPr>
            <w:tcW w:w="6800" w:type="dxa"/>
            <w:vAlign w:val="bottom"/>
          </w:tcPr>
          <w:p>
            <w:pPr>
              <w:ind w:left="2400"/>
              <w:spacing w:after="0"/>
              <w:rPr>
                <w:sz w:val="20"/>
                <w:szCs w:val="20"/>
                <w:color w:val="auto"/>
              </w:rPr>
            </w:pPr>
            <w:r>
              <w:rPr>
                <w:rFonts w:ascii="Arial" w:cs="Arial" w:eastAsia="Arial" w:hAnsi="Arial"/>
                <w:sz w:val="22"/>
                <w:szCs w:val="22"/>
                <w:b w:val="1"/>
                <w:bCs w:val="1"/>
                <w:color w:val="auto"/>
              </w:rPr>
              <w:t>CONTENTS</w:t>
            </w:r>
          </w:p>
        </w:tc>
        <w:tc>
          <w:tcPr>
            <w:tcW w:w="1820" w:type="dxa"/>
            <w:vAlign w:val="bottom"/>
          </w:tcPr>
          <w:p>
            <w:pPr>
              <w:spacing w:after="0"/>
              <w:rPr>
                <w:sz w:val="24"/>
                <w:szCs w:val="24"/>
                <w:color w:val="auto"/>
              </w:rPr>
            </w:pPr>
          </w:p>
        </w:tc>
      </w:tr>
      <w:tr>
        <w:trPr>
          <w:trHeight w:val="486"/>
        </w:trPr>
        <w:tc>
          <w:tcPr>
            <w:tcW w:w="26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99"/>
        </w:trPr>
        <w:tc>
          <w:tcPr>
            <w:tcW w:w="2620" w:type="dxa"/>
            <w:vAlign w:val="bottom"/>
          </w:tcPr>
          <w:p>
            <w:pPr>
              <w:ind w:left="20"/>
              <w:spacing w:after="0"/>
              <w:rPr>
                <w:sz w:val="20"/>
                <w:szCs w:val="20"/>
                <w:color w:val="auto"/>
              </w:rPr>
            </w:pPr>
            <w:r>
              <w:rPr>
                <w:rFonts w:ascii="Arial" w:cs="Arial" w:eastAsia="Arial" w:hAnsi="Arial"/>
                <w:sz w:val="22"/>
                <w:szCs w:val="22"/>
                <w:color w:val="auto"/>
              </w:rPr>
              <w:t>Article I. DEFINITIONS</w:t>
            </w:r>
          </w:p>
        </w:tc>
        <w:tc>
          <w:tcPr>
            <w:tcW w:w="68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1.1</w:t>
            </w:r>
          </w:p>
        </w:tc>
        <w:tc>
          <w:tcPr>
            <w:tcW w:w="6800" w:type="dxa"/>
            <w:vAlign w:val="bottom"/>
          </w:tcPr>
          <w:p>
            <w:pPr>
              <w:ind w:left="140"/>
              <w:spacing w:after="0"/>
              <w:rPr>
                <w:sz w:val="20"/>
                <w:szCs w:val="20"/>
                <w:color w:val="auto"/>
              </w:rPr>
            </w:pPr>
            <w:r>
              <w:rPr>
                <w:rFonts w:ascii="Arial" w:cs="Arial" w:eastAsia="Arial" w:hAnsi="Arial"/>
                <w:sz w:val="22"/>
                <w:szCs w:val="22"/>
                <w:color w:val="auto"/>
              </w:rPr>
              <w:t>Definitions</w:t>
            </w:r>
          </w:p>
        </w:tc>
        <w:tc>
          <w:tcPr>
            <w:tcW w:w="18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1.2</w:t>
            </w:r>
          </w:p>
        </w:tc>
        <w:tc>
          <w:tcPr>
            <w:tcW w:w="6800" w:type="dxa"/>
            <w:vAlign w:val="bottom"/>
          </w:tcPr>
          <w:p>
            <w:pPr>
              <w:ind w:left="140"/>
              <w:spacing w:after="0"/>
              <w:rPr>
                <w:sz w:val="20"/>
                <w:szCs w:val="20"/>
                <w:color w:val="auto"/>
              </w:rPr>
            </w:pPr>
            <w:r>
              <w:rPr>
                <w:rFonts w:ascii="Arial" w:cs="Arial" w:eastAsia="Arial" w:hAnsi="Arial"/>
                <w:sz w:val="22"/>
                <w:szCs w:val="22"/>
                <w:color w:val="auto"/>
              </w:rPr>
              <w:t>Rules of Construction</w:t>
            </w:r>
          </w:p>
        </w:tc>
        <w:tc>
          <w:tcPr>
            <w:tcW w:w="18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92"/>
        </w:trPr>
        <w:tc>
          <w:tcPr>
            <w:tcW w:w="9420" w:type="dxa"/>
            <w:vAlign w:val="bottom"/>
            <w:gridSpan w:val="2"/>
          </w:tcPr>
          <w:p>
            <w:pPr>
              <w:ind w:left="20"/>
              <w:spacing w:after="0"/>
              <w:rPr>
                <w:sz w:val="20"/>
                <w:szCs w:val="20"/>
                <w:color w:val="auto"/>
              </w:rPr>
            </w:pPr>
            <w:r>
              <w:rPr>
                <w:rFonts w:ascii="Arial" w:cs="Arial" w:eastAsia="Arial" w:hAnsi="Arial"/>
                <w:sz w:val="22"/>
                <w:szCs w:val="22"/>
                <w:color w:val="auto"/>
              </w:rPr>
              <w:t>Article II. DETERMINATION OF REALIZED TAX BENEFIT</w:t>
            </w:r>
          </w:p>
        </w:tc>
        <w:tc>
          <w:tcPr>
            <w:tcW w:w="1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2.1</w:t>
            </w:r>
          </w:p>
        </w:tc>
        <w:tc>
          <w:tcPr>
            <w:tcW w:w="6800" w:type="dxa"/>
            <w:vAlign w:val="bottom"/>
          </w:tcPr>
          <w:p>
            <w:pPr>
              <w:ind w:left="140"/>
              <w:spacing w:after="0"/>
              <w:rPr>
                <w:sz w:val="20"/>
                <w:szCs w:val="20"/>
                <w:color w:val="auto"/>
              </w:rPr>
            </w:pPr>
            <w:r>
              <w:rPr>
                <w:rFonts w:ascii="Arial" w:cs="Arial" w:eastAsia="Arial" w:hAnsi="Arial"/>
                <w:sz w:val="22"/>
                <w:szCs w:val="22"/>
                <w:color w:val="auto"/>
              </w:rPr>
              <w:t>Basis Adjustments; LLC 754 Election</w:t>
            </w:r>
          </w:p>
        </w:tc>
        <w:tc>
          <w:tcPr>
            <w:tcW w:w="1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2.2</w:t>
            </w:r>
          </w:p>
        </w:tc>
        <w:tc>
          <w:tcPr>
            <w:tcW w:w="6800" w:type="dxa"/>
            <w:vAlign w:val="bottom"/>
          </w:tcPr>
          <w:p>
            <w:pPr>
              <w:ind w:left="140"/>
              <w:spacing w:after="0"/>
              <w:rPr>
                <w:sz w:val="20"/>
                <w:szCs w:val="20"/>
                <w:color w:val="auto"/>
              </w:rPr>
            </w:pPr>
            <w:r>
              <w:rPr>
                <w:rFonts w:ascii="Arial" w:cs="Arial" w:eastAsia="Arial" w:hAnsi="Arial"/>
                <w:sz w:val="22"/>
                <w:szCs w:val="22"/>
                <w:color w:val="auto"/>
              </w:rPr>
              <w:t>Attribute Schedules</w:t>
            </w:r>
          </w:p>
        </w:tc>
        <w:tc>
          <w:tcPr>
            <w:tcW w:w="1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2.3</w:t>
            </w:r>
          </w:p>
        </w:tc>
        <w:tc>
          <w:tcPr>
            <w:tcW w:w="6800" w:type="dxa"/>
            <w:vAlign w:val="bottom"/>
          </w:tcPr>
          <w:p>
            <w:pPr>
              <w:ind w:left="140"/>
              <w:spacing w:after="0"/>
              <w:rPr>
                <w:sz w:val="20"/>
                <w:szCs w:val="20"/>
                <w:color w:val="auto"/>
              </w:rPr>
            </w:pPr>
            <w:r>
              <w:rPr>
                <w:rFonts w:ascii="Arial" w:cs="Arial" w:eastAsia="Arial" w:hAnsi="Arial"/>
                <w:sz w:val="22"/>
                <w:szCs w:val="22"/>
                <w:color w:val="auto"/>
              </w:rPr>
              <w:t>Tax Benefit Schedules</w:t>
            </w:r>
          </w:p>
        </w:tc>
        <w:tc>
          <w:tcPr>
            <w:tcW w:w="18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2.4</w:t>
            </w:r>
          </w:p>
        </w:tc>
        <w:tc>
          <w:tcPr>
            <w:tcW w:w="6800" w:type="dxa"/>
            <w:vAlign w:val="bottom"/>
          </w:tcPr>
          <w:p>
            <w:pPr>
              <w:ind w:left="140"/>
              <w:spacing w:after="0"/>
              <w:rPr>
                <w:sz w:val="20"/>
                <w:szCs w:val="20"/>
                <w:color w:val="auto"/>
              </w:rPr>
            </w:pPr>
            <w:r>
              <w:rPr>
                <w:rFonts w:ascii="Arial" w:cs="Arial" w:eastAsia="Arial" w:hAnsi="Arial"/>
                <w:sz w:val="22"/>
                <w:szCs w:val="22"/>
                <w:color w:val="auto"/>
              </w:rPr>
              <w:t>Procedures; Amendments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91"/>
        </w:trPr>
        <w:tc>
          <w:tcPr>
            <w:tcW w:w="9420" w:type="dxa"/>
            <w:vAlign w:val="bottom"/>
            <w:gridSpan w:val="2"/>
          </w:tcPr>
          <w:p>
            <w:pPr>
              <w:ind w:left="20"/>
              <w:spacing w:after="0"/>
              <w:rPr>
                <w:sz w:val="20"/>
                <w:szCs w:val="20"/>
                <w:color w:val="auto"/>
              </w:rPr>
            </w:pPr>
            <w:r>
              <w:rPr>
                <w:rFonts w:ascii="Arial" w:cs="Arial" w:eastAsia="Arial" w:hAnsi="Arial"/>
                <w:sz w:val="22"/>
                <w:szCs w:val="22"/>
                <w:color w:val="auto"/>
              </w:rPr>
              <w:t>Article III. TAX BENEFIT PAYMENTS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3.1</w:t>
            </w:r>
          </w:p>
        </w:tc>
        <w:tc>
          <w:tcPr>
            <w:tcW w:w="6800" w:type="dxa"/>
            <w:vAlign w:val="bottom"/>
          </w:tcPr>
          <w:p>
            <w:pPr>
              <w:ind w:left="140"/>
              <w:spacing w:after="0"/>
              <w:rPr>
                <w:sz w:val="20"/>
                <w:szCs w:val="20"/>
                <w:color w:val="auto"/>
              </w:rPr>
            </w:pPr>
            <w:r>
              <w:rPr>
                <w:rFonts w:ascii="Arial" w:cs="Arial" w:eastAsia="Arial" w:hAnsi="Arial"/>
                <w:sz w:val="22"/>
                <w:szCs w:val="22"/>
                <w:color w:val="auto"/>
              </w:rPr>
              <w:t>Timing and Amount of Tax Benefit Payments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3.2</w:t>
            </w:r>
          </w:p>
        </w:tc>
        <w:tc>
          <w:tcPr>
            <w:tcW w:w="6800" w:type="dxa"/>
            <w:vAlign w:val="bottom"/>
          </w:tcPr>
          <w:p>
            <w:pPr>
              <w:ind w:left="140"/>
              <w:spacing w:after="0"/>
              <w:rPr>
                <w:sz w:val="20"/>
                <w:szCs w:val="20"/>
                <w:color w:val="auto"/>
              </w:rPr>
            </w:pPr>
            <w:r>
              <w:rPr>
                <w:rFonts w:ascii="Arial" w:cs="Arial" w:eastAsia="Arial" w:hAnsi="Arial"/>
                <w:sz w:val="22"/>
                <w:szCs w:val="22"/>
                <w:color w:val="auto"/>
              </w:rPr>
              <w:t>No Duplicative Payments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3.3</w:t>
            </w:r>
          </w:p>
        </w:tc>
        <w:tc>
          <w:tcPr>
            <w:tcW w:w="6800" w:type="dxa"/>
            <w:vAlign w:val="bottom"/>
          </w:tcPr>
          <w:p>
            <w:pPr>
              <w:ind w:left="140"/>
              <w:spacing w:after="0"/>
              <w:rPr>
                <w:sz w:val="20"/>
                <w:szCs w:val="20"/>
                <w:color w:val="auto"/>
              </w:rPr>
            </w:pPr>
            <w:r>
              <w:rPr>
                <w:rFonts w:ascii="Arial" w:cs="Arial" w:eastAsia="Arial" w:hAnsi="Arial"/>
                <w:sz w:val="22"/>
                <w:szCs w:val="22"/>
                <w:color w:val="auto"/>
              </w:rPr>
              <w:t>Pro-Ration of Payments as Between the TRA Holders</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3.4</w:t>
            </w:r>
          </w:p>
        </w:tc>
        <w:tc>
          <w:tcPr>
            <w:tcW w:w="6800" w:type="dxa"/>
            <w:vAlign w:val="bottom"/>
          </w:tcPr>
          <w:p>
            <w:pPr>
              <w:ind w:left="140"/>
              <w:spacing w:after="0"/>
              <w:rPr>
                <w:sz w:val="20"/>
                <w:szCs w:val="20"/>
                <w:color w:val="auto"/>
              </w:rPr>
            </w:pPr>
            <w:r>
              <w:rPr>
                <w:rFonts w:ascii="Arial" w:cs="Arial" w:eastAsia="Arial" w:hAnsi="Arial"/>
                <w:sz w:val="22"/>
                <w:szCs w:val="22"/>
                <w:color w:val="auto"/>
              </w:rPr>
              <w:t>Excess Payments</w:t>
            </w:r>
          </w:p>
        </w:tc>
        <w:tc>
          <w:tcPr>
            <w:tcW w:w="18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92"/>
        </w:trPr>
        <w:tc>
          <w:tcPr>
            <w:tcW w:w="2620" w:type="dxa"/>
            <w:vAlign w:val="bottom"/>
          </w:tcPr>
          <w:p>
            <w:pPr>
              <w:ind w:left="20"/>
              <w:spacing w:after="0"/>
              <w:rPr>
                <w:sz w:val="20"/>
                <w:szCs w:val="20"/>
                <w:color w:val="auto"/>
              </w:rPr>
            </w:pPr>
            <w:r>
              <w:rPr>
                <w:rFonts w:ascii="Arial" w:cs="Arial" w:eastAsia="Arial" w:hAnsi="Arial"/>
                <w:sz w:val="22"/>
                <w:szCs w:val="22"/>
                <w:color w:val="auto"/>
              </w:rPr>
              <w:t>Article IV. TERMINATION</w:t>
            </w:r>
          </w:p>
        </w:tc>
        <w:tc>
          <w:tcPr>
            <w:tcW w:w="68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4.1</w:t>
            </w:r>
          </w:p>
        </w:tc>
        <w:tc>
          <w:tcPr>
            <w:tcW w:w="6800" w:type="dxa"/>
            <w:vAlign w:val="bottom"/>
          </w:tcPr>
          <w:p>
            <w:pPr>
              <w:ind w:left="140"/>
              <w:spacing w:after="0"/>
              <w:rPr>
                <w:sz w:val="20"/>
                <w:szCs w:val="20"/>
                <w:color w:val="auto"/>
              </w:rPr>
            </w:pPr>
            <w:r>
              <w:rPr>
                <w:rFonts w:ascii="Arial" w:cs="Arial" w:eastAsia="Arial" w:hAnsi="Arial"/>
                <w:sz w:val="22"/>
                <w:szCs w:val="22"/>
                <w:color w:val="auto"/>
              </w:rPr>
              <w:t>Early Termination of Agreement; Breach of Agreement</w:t>
            </w:r>
          </w:p>
        </w:tc>
        <w:tc>
          <w:tcPr>
            <w:tcW w:w="18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4.2</w:t>
            </w:r>
          </w:p>
        </w:tc>
        <w:tc>
          <w:tcPr>
            <w:tcW w:w="6800" w:type="dxa"/>
            <w:vAlign w:val="bottom"/>
          </w:tcPr>
          <w:p>
            <w:pPr>
              <w:ind w:left="140"/>
              <w:spacing w:after="0"/>
              <w:rPr>
                <w:sz w:val="20"/>
                <w:szCs w:val="20"/>
                <w:color w:val="auto"/>
              </w:rPr>
            </w:pPr>
            <w:r>
              <w:rPr>
                <w:rFonts w:ascii="Arial" w:cs="Arial" w:eastAsia="Arial" w:hAnsi="Arial"/>
                <w:sz w:val="22"/>
                <w:szCs w:val="22"/>
                <w:color w:val="auto"/>
              </w:rPr>
              <w:t>Early Termination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4.3</w:t>
            </w:r>
          </w:p>
        </w:tc>
        <w:tc>
          <w:tcPr>
            <w:tcW w:w="6800" w:type="dxa"/>
            <w:vAlign w:val="bottom"/>
          </w:tcPr>
          <w:p>
            <w:pPr>
              <w:ind w:left="140"/>
              <w:spacing w:after="0"/>
              <w:rPr>
                <w:sz w:val="20"/>
                <w:szCs w:val="20"/>
                <w:color w:val="auto"/>
              </w:rPr>
            </w:pPr>
            <w:r>
              <w:rPr>
                <w:rFonts w:ascii="Arial" w:cs="Arial" w:eastAsia="Arial" w:hAnsi="Arial"/>
                <w:sz w:val="22"/>
                <w:szCs w:val="22"/>
                <w:color w:val="auto"/>
              </w:rPr>
              <w:t>Payment Upon Early Termination</w:t>
            </w:r>
          </w:p>
        </w:tc>
        <w:tc>
          <w:tcPr>
            <w:tcW w:w="18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92"/>
        </w:trPr>
        <w:tc>
          <w:tcPr>
            <w:tcW w:w="9420" w:type="dxa"/>
            <w:vAlign w:val="bottom"/>
            <w:gridSpan w:val="2"/>
          </w:tcPr>
          <w:p>
            <w:pPr>
              <w:ind w:left="20"/>
              <w:spacing w:after="0"/>
              <w:rPr>
                <w:sz w:val="20"/>
                <w:szCs w:val="20"/>
                <w:color w:val="auto"/>
              </w:rPr>
            </w:pPr>
            <w:r>
              <w:rPr>
                <w:rFonts w:ascii="Arial" w:cs="Arial" w:eastAsia="Arial" w:hAnsi="Arial"/>
                <w:sz w:val="22"/>
                <w:szCs w:val="22"/>
                <w:color w:val="auto"/>
              </w:rPr>
              <w:t>Article V. SUBORDINATION AND LATE PAYMENTS</w:t>
            </w:r>
          </w:p>
        </w:tc>
        <w:tc>
          <w:tcPr>
            <w:tcW w:w="18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5.1</w:t>
            </w:r>
          </w:p>
        </w:tc>
        <w:tc>
          <w:tcPr>
            <w:tcW w:w="6800" w:type="dxa"/>
            <w:vAlign w:val="bottom"/>
          </w:tcPr>
          <w:p>
            <w:pPr>
              <w:ind w:left="140"/>
              <w:spacing w:after="0"/>
              <w:rPr>
                <w:sz w:val="20"/>
                <w:szCs w:val="20"/>
                <w:color w:val="auto"/>
              </w:rPr>
            </w:pPr>
            <w:r>
              <w:rPr>
                <w:rFonts w:ascii="Arial" w:cs="Arial" w:eastAsia="Arial" w:hAnsi="Arial"/>
                <w:sz w:val="22"/>
                <w:szCs w:val="22"/>
                <w:color w:val="auto"/>
              </w:rPr>
              <w:t>Subordination</w:t>
            </w:r>
          </w:p>
        </w:tc>
        <w:tc>
          <w:tcPr>
            <w:tcW w:w="18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5.2</w:t>
            </w:r>
          </w:p>
        </w:tc>
        <w:tc>
          <w:tcPr>
            <w:tcW w:w="6800" w:type="dxa"/>
            <w:vAlign w:val="bottom"/>
          </w:tcPr>
          <w:p>
            <w:pPr>
              <w:ind w:left="140"/>
              <w:spacing w:after="0"/>
              <w:rPr>
                <w:sz w:val="20"/>
                <w:szCs w:val="20"/>
                <w:color w:val="auto"/>
              </w:rPr>
            </w:pPr>
            <w:r>
              <w:rPr>
                <w:rFonts w:ascii="Arial" w:cs="Arial" w:eastAsia="Arial" w:hAnsi="Arial"/>
                <w:sz w:val="22"/>
                <w:szCs w:val="22"/>
                <w:color w:val="auto"/>
              </w:rPr>
              <w:t>Late Payments by PubCo</w:t>
            </w:r>
          </w:p>
        </w:tc>
        <w:tc>
          <w:tcPr>
            <w:tcW w:w="18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91"/>
        </w:trPr>
        <w:tc>
          <w:tcPr>
            <w:tcW w:w="9420" w:type="dxa"/>
            <w:vAlign w:val="bottom"/>
            <w:gridSpan w:val="2"/>
          </w:tcPr>
          <w:p>
            <w:pPr>
              <w:ind w:left="20"/>
              <w:spacing w:after="0"/>
              <w:rPr>
                <w:sz w:val="20"/>
                <w:szCs w:val="20"/>
                <w:color w:val="auto"/>
              </w:rPr>
            </w:pPr>
            <w:r>
              <w:rPr>
                <w:rFonts w:ascii="Arial" w:cs="Arial" w:eastAsia="Arial" w:hAnsi="Arial"/>
                <w:sz w:val="22"/>
                <w:szCs w:val="22"/>
                <w:color w:val="auto"/>
              </w:rPr>
              <w:t>Article VI. TAX MATTERS; CONSISTENCY; COOPERATION</w:t>
            </w:r>
          </w:p>
        </w:tc>
        <w:tc>
          <w:tcPr>
            <w:tcW w:w="18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6.1</w:t>
            </w:r>
          </w:p>
        </w:tc>
        <w:tc>
          <w:tcPr>
            <w:tcW w:w="6800" w:type="dxa"/>
            <w:vAlign w:val="bottom"/>
          </w:tcPr>
          <w:p>
            <w:pPr>
              <w:ind w:left="140"/>
              <w:spacing w:after="0"/>
              <w:rPr>
                <w:sz w:val="20"/>
                <w:szCs w:val="20"/>
                <w:color w:val="auto"/>
              </w:rPr>
            </w:pPr>
            <w:r>
              <w:rPr>
                <w:rFonts w:ascii="Arial" w:cs="Arial" w:eastAsia="Arial" w:hAnsi="Arial"/>
                <w:sz w:val="22"/>
                <w:szCs w:val="22"/>
                <w:color w:val="auto"/>
              </w:rPr>
              <w:t>Participation in the Corporation’s and the LLC’s Tax Matters</w:t>
            </w:r>
          </w:p>
        </w:tc>
        <w:tc>
          <w:tcPr>
            <w:tcW w:w="18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6.2</w:t>
            </w:r>
          </w:p>
        </w:tc>
        <w:tc>
          <w:tcPr>
            <w:tcW w:w="6800" w:type="dxa"/>
            <w:vAlign w:val="bottom"/>
          </w:tcPr>
          <w:p>
            <w:pPr>
              <w:ind w:left="140"/>
              <w:spacing w:after="0"/>
              <w:rPr>
                <w:sz w:val="20"/>
                <w:szCs w:val="20"/>
                <w:color w:val="auto"/>
              </w:rPr>
            </w:pPr>
            <w:r>
              <w:rPr>
                <w:rFonts w:ascii="Arial" w:cs="Arial" w:eastAsia="Arial" w:hAnsi="Arial"/>
                <w:sz w:val="22"/>
                <w:szCs w:val="22"/>
                <w:color w:val="auto"/>
              </w:rPr>
              <w:t>Consistency</w:t>
            </w:r>
          </w:p>
        </w:tc>
        <w:tc>
          <w:tcPr>
            <w:tcW w:w="18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6.3</w:t>
            </w:r>
          </w:p>
        </w:tc>
        <w:tc>
          <w:tcPr>
            <w:tcW w:w="6800" w:type="dxa"/>
            <w:vAlign w:val="bottom"/>
          </w:tcPr>
          <w:p>
            <w:pPr>
              <w:ind w:left="140"/>
              <w:spacing w:after="0"/>
              <w:rPr>
                <w:sz w:val="20"/>
                <w:szCs w:val="20"/>
                <w:color w:val="auto"/>
              </w:rPr>
            </w:pPr>
            <w:r>
              <w:rPr>
                <w:rFonts w:ascii="Arial" w:cs="Arial" w:eastAsia="Arial" w:hAnsi="Arial"/>
                <w:sz w:val="22"/>
                <w:szCs w:val="22"/>
                <w:color w:val="auto"/>
              </w:rPr>
              <w:t>Cooperation</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91"/>
        </w:trPr>
        <w:tc>
          <w:tcPr>
            <w:tcW w:w="9420" w:type="dxa"/>
            <w:vAlign w:val="bottom"/>
            <w:gridSpan w:val="2"/>
          </w:tcPr>
          <w:p>
            <w:pPr>
              <w:ind w:left="20"/>
              <w:spacing w:after="0"/>
              <w:rPr>
                <w:sz w:val="20"/>
                <w:szCs w:val="20"/>
                <w:color w:val="auto"/>
              </w:rPr>
            </w:pPr>
            <w:r>
              <w:rPr>
                <w:rFonts w:ascii="Arial" w:cs="Arial" w:eastAsia="Arial" w:hAnsi="Arial"/>
                <w:sz w:val="22"/>
                <w:szCs w:val="22"/>
                <w:color w:val="auto"/>
              </w:rPr>
              <w:t>Article VII. MISCELLANEOUS</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92"/>
        </w:trPr>
        <w:tc>
          <w:tcPr>
            <w:tcW w:w="2620" w:type="dxa"/>
            <w:vAlign w:val="bottom"/>
          </w:tcPr>
          <w:p>
            <w:pPr>
              <w:ind w:left="660"/>
              <w:spacing w:after="0"/>
              <w:rPr>
                <w:sz w:val="20"/>
                <w:szCs w:val="20"/>
                <w:color w:val="auto"/>
              </w:rPr>
            </w:pPr>
            <w:r>
              <w:rPr>
                <w:rFonts w:ascii="Arial" w:cs="Arial" w:eastAsia="Arial" w:hAnsi="Arial"/>
                <w:sz w:val="22"/>
                <w:szCs w:val="22"/>
                <w:color w:val="auto"/>
              </w:rPr>
              <w:t>Section 7.1</w:t>
            </w:r>
          </w:p>
        </w:tc>
        <w:tc>
          <w:tcPr>
            <w:tcW w:w="6800" w:type="dxa"/>
            <w:vAlign w:val="bottom"/>
          </w:tcPr>
          <w:p>
            <w:pPr>
              <w:ind w:left="140"/>
              <w:spacing w:after="0"/>
              <w:rPr>
                <w:sz w:val="20"/>
                <w:szCs w:val="20"/>
                <w:color w:val="auto"/>
              </w:rPr>
            </w:pPr>
            <w:r>
              <w:rPr>
                <w:rFonts w:ascii="Arial" w:cs="Arial" w:eastAsia="Arial" w:hAnsi="Arial"/>
                <w:sz w:val="22"/>
                <w:szCs w:val="22"/>
                <w:color w:val="auto"/>
              </w:rPr>
              <w:t>Notices</w:t>
            </w:r>
          </w:p>
        </w:tc>
        <w:tc>
          <w:tcPr>
            <w:tcW w:w="18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7.2</w:t>
            </w:r>
          </w:p>
        </w:tc>
        <w:tc>
          <w:tcPr>
            <w:tcW w:w="680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18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7.3</w:t>
            </w:r>
          </w:p>
        </w:tc>
        <w:tc>
          <w:tcPr>
            <w:tcW w:w="6800" w:type="dxa"/>
            <w:vAlign w:val="bottom"/>
          </w:tcPr>
          <w:p>
            <w:pPr>
              <w:ind w:left="140"/>
              <w:spacing w:after="0"/>
              <w:rPr>
                <w:sz w:val="20"/>
                <w:szCs w:val="20"/>
                <w:color w:val="auto"/>
              </w:rPr>
            </w:pPr>
            <w:r>
              <w:rPr>
                <w:rFonts w:ascii="Arial" w:cs="Arial" w:eastAsia="Arial" w:hAnsi="Arial"/>
                <w:sz w:val="22"/>
                <w:szCs w:val="22"/>
                <w:color w:val="auto"/>
              </w:rPr>
              <w:t>Entire Agreement; No Third Party Beneficiaries</w:t>
            </w:r>
          </w:p>
        </w:tc>
        <w:tc>
          <w:tcPr>
            <w:tcW w:w="18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7.4</w:t>
            </w:r>
          </w:p>
        </w:tc>
        <w:tc>
          <w:tcPr>
            <w:tcW w:w="6800" w:type="dxa"/>
            <w:vAlign w:val="bottom"/>
          </w:tcPr>
          <w:p>
            <w:pPr>
              <w:ind w:left="140"/>
              <w:spacing w:after="0"/>
              <w:rPr>
                <w:sz w:val="20"/>
                <w:szCs w:val="20"/>
                <w:color w:val="auto"/>
              </w:rPr>
            </w:pPr>
            <w:r>
              <w:rPr>
                <w:rFonts w:ascii="Arial" w:cs="Arial" w:eastAsia="Arial" w:hAnsi="Arial"/>
                <w:sz w:val="22"/>
                <w:szCs w:val="22"/>
                <w:color w:val="auto"/>
              </w:rPr>
              <w:t>Governing Law</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7.5</w:t>
            </w:r>
          </w:p>
        </w:tc>
        <w:tc>
          <w:tcPr>
            <w:tcW w:w="6800" w:type="dxa"/>
            <w:vAlign w:val="bottom"/>
          </w:tcPr>
          <w:p>
            <w:pPr>
              <w:ind w:left="140"/>
              <w:spacing w:after="0"/>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91"/>
        </w:trPr>
        <w:tc>
          <w:tcPr>
            <w:tcW w:w="2620" w:type="dxa"/>
            <w:vAlign w:val="bottom"/>
          </w:tcPr>
          <w:p>
            <w:pPr>
              <w:ind w:left="660"/>
              <w:spacing w:after="0"/>
              <w:rPr>
                <w:sz w:val="20"/>
                <w:szCs w:val="20"/>
                <w:color w:val="auto"/>
              </w:rPr>
            </w:pPr>
            <w:r>
              <w:rPr>
                <w:rFonts w:ascii="Arial" w:cs="Arial" w:eastAsia="Arial" w:hAnsi="Arial"/>
                <w:sz w:val="22"/>
                <w:szCs w:val="22"/>
                <w:color w:val="auto"/>
              </w:rPr>
              <w:t>Section 7.6</w:t>
            </w:r>
          </w:p>
        </w:tc>
        <w:tc>
          <w:tcPr>
            <w:tcW w:w="6800" w:type="dxa"/>
            <w:vAlign w:val="bottom"/>
          </w:tcPr>
          <w:p>
            <w:pPr>
              <w:ind w:left="140"/>
              <w:spacing w:after="0"/>
              <w:rPr>
                <w:sz w:val="20"/>
                <w:szCs w:val="20"/>
                <w:color w:val="auto"/>
              </w:rPr>
            </w:pPr>
            <w:r>
              <w:rPr>
                <w:rFonts w:ascii="Arial" w:cs="Arial" w:eastAsia="Arial" w:hAnsi="Arial"/>
                <w:sz w:val="22"/>
                <w:szCs w:val="22"/>
                <w:color w:val="auto"/>
              </w:rPr>
              <w:t>Assignments; Amendments; Successors; No Waiver</w:t>
            </w:r>
          </w:p>
        </w:tc>
        <w:tc>
          <w:tcPr>
            <w:tcW w:w="18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823"/>
        </w:trPr>
        <w:tc>
          <w:tcPr>
            <w:tcW w:w="2620" w:type="dxa"/>
            <w:vAlign w:val="bottom"/>
          </w:tcPr>
          <w:p>
            <w:pPr>
              <w:spacing w:after="0"/>
              <w:rPr>
                <w:sz w:val="24"/>
                <w:szCs w:val="24"/>
                <w:color w:val="auto"/>
              </w:rPr>
            </w:pPr>
          </w:p>
        </w:tc>
        <w:tc>
          <w:tcPr>
            <w:tcW w:w="6800" w:type="dxa"/>
            <w:vAlign w:val="bottom"/>
          </w:tcPr>
          <w:p>
            <w:pPr>
              <w:ind w:left="2960"/>
              <w:spacing w:after="0"/>
              <w:rPr>
                <w:sz w:val="20"/>
                <w:szCs w:val="20"/>
                <w:color w:val="auto"/>
              </w:rPr>
            </w:pPr>
            <w:r>
              <w:rPr>
                <w:rFonts w:ascii="Arial" w:cs="Arial" w:eastAsia="Arial" w:hAnsi="Arial"/>
                <w:sz w:val="22"/>
                <w:szCs w:val="22"/>
                <w:color w:val="auto"/>
              </w:rPr>
              <w:t>2</w:t>
            </w:r>
          </w:p>
        </w:tc>
        <w:tc>
          <w:tcPr>
            <w:tcW w:w="1820" w:type="dxa"/>
            <w:vAlign w:val="bottom"/>
          </w:tcPr>
          <w:p>
            <w:pPr>
              <w:spacing w:after="0"/>
              <w:rPr>
                <w:sz w:val="24"/>
                <w:szCs w:val="24"/>
                <w:color w:val="auto"/>
              </w:rPr>
            </w:pPr>
          </w:p>
        </w:tc>
      </w:tr>
      <w:tr>
        <w:trPr>
          <w:trHeight w:val="119"/>
        </w:trPr>
        <w:tc>
          <w:tcPr>
            <w:tcW w:w="2620" w:type="dxa"/>
            <w:vAlign w:val="bottom"/>
            <w:tcBorders>
              <w:bottom w:val="single" w:sz="8" w:color="9A9A9A"/>
            </w:tcBorders>
          </w:tcPr>
          <w:p>
            <w:pPr>
              <w:spacing w:after="0"/>
              <w:rPr>
                <w:sz w:val="10"/>
                <w:szCs w:val="10"/>
                <w:color w:val="auto"/>
              </w:rPr>
            </w:pPr>
          </w:p>
        </w:tc>
        <w:tc>
          <w:tcPr>
            <w:tcW w:w="68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6" w:name="page267"/>
    <w:bookmarkEnd w:id="266"/>
    <w:tbl>
      <w:tblPr>
        <w:tblLayout w:type="fixed"/>
        <w:tblInd w:w="660" w:type="dxa"/>
        <w:tblCellMar>
          <w:top w:w="0" w:type="dxa"/>
          <w:left w:w="0" w:type="dxa"/>
          <w:bottom w:w="0" w:type="dxa"/>
          <w:right w:w="0" w:type="dxa"/>
        </w:tblCellMar>
      </w:tblP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Section 7.7</w:t>
            </w:r>
          </w:p>
        </w:tc>
        <w:tc>
          <w:tcPr>
            <w:tcW w:w="8040" w:type="dxa"/>
            <w:vAlign w:val="bottom"/>
          </w:tcPr>
          <w:p>
            <w:pPr>
              <w:ind w:left="500"/>
              <w:spacing w:after="0"/>
              <w:rPr>
                <w:sz w:val="20"/>
                <w:szCs w:val="20"/>
                <w:color w:val="auto"/>
              </w:rPr>
            </w:pPr>
            <w:r>
              <w:rPr>
                <w:rFonts w:ascii="Arial" w:cs="Arial" w:eastAsia="Arial" w:hAnsi="Arial"/>
                <w:sz w:val="22"/>
                <w:szCs w:val="22"/>
                <w:color w:val="auto"/>
              </w:rPr>
              <w:t>Titles and Subtitles</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2"/>
        </w:trPr>
        <w:tc>
          <w:tcPr>
            <w:tcW w:w="1600" w:type="dxa"/>
            <w:vAlign w:val="bottom"/>
          </w:tcPr>
          <w:p>
            <w:pPr>
              <w:spacing w:after="0"/>
              <w:rPr>
                <w:sz w:val="20"/>
                <w:szCs w:val="20"/>
                <w:color w:val="auto"/>
              </w:rPr>
            </w:pPr>
            <w:r>
              <w:rPr>
                <w:rFonts w:ascii="Arial" w:cs="Arial" w:eastAsia="Arial" w:hAnsi="Arial"/>
                <w:sz w:val="22"/>
                <w:szCs w:val="22"/>
                <w:color w:val="auto"/>
              </w:rPr>
              <w:t>Section 7.8</w:t>
            </w:r>
          </w:p>
        </w:tc>
        <w:tc>
          <w:tcPr>
            <w:tcW w:w="8040" w:type="dxa"/>
            <w:vAlign w:val="bottom"/>
          </w:tcPr>
          <w:p>
            <w:pPr>
              <w:ind w:left="500"/>
              <w:spacing w:after="0"/>
              <w:rPr>
                <w:sz w:val="20"/>
                <w:szCs w:val="20"/>
                <w:color w:val="auto"/>
              </w:rPr>
            </w:pPr>
            <w:r>
              <w:rPr>
                <w:rFonts w:ascii="Arial" w:cs="Arial" w:eastAsia="Arial" w:hAnsi="Arial"/>
                <w:sz w:val="22"/>
                <w:szCs w:val="22"/>
                <w:color w:val="auto"/>
              </w:rPr>
              <w:t>Consent to Jurisdiction; Waiver of Jury Trial</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2"/>
        </w:trPr>
        <w:tc>
          <w:tcPr>
            <w:tcW w:w="1600" w:type="dxa"/>
            <w:vAlign w:val="bottom"/>
          </w:tcPr>
          <w:p>
            <w:pPr>
              <w:spacing w:after="0"/>
              <w:rPr>
                <w:sz w:val="20"/>
                <w:szCs w:val="20"/>
                <w:color w:val="auto"/>
              </w:rPr>
            </w:pPr>
            <w:r>
              <w:rPr>
                <w:rFonts w:ascii="Arial" w:cs="Arial" w:eastAsia="Arial" w:hAnsi="Arial"/>
                <w:sz w:val="22"/>
                <w:szCs w:val="22"/>
                <w:color w:val="auto"/>
              </w:rPr>
              <w:t>Section 7.9</w:t>
            </w:r>
          </w:p>
        </w:tc>
        <w:tc>
          <w:tcPr>
            <w:tcW w:w="8040" w:type="dxa"/>
            <w:vAlign w:val="bottom"/>
          </w:tcPr>
          <w:p>
            <w:pPr>
              <w:ind w:left="500"/>
              <w:spacing w:after="0"/>
              <w:rPr>
                <w:sz w:val="20"/>
                <w:szCs w:val="20"/>
                <w:color w:val="auto"/>
              </w:rPr>
            </w:pPr>
            <w:r>
              <w:rPr>
                <w:rFonts w:ascii="Arial" w:cs="Arial" w:eastAsia="Arial" w:hAnsi="Arial"/>
                <w:sz w:val="22"/>
                <w:szCs w:val="22"/>
                <w:color w:val="auto"/>
              </w:rPr>
              <w:t>Reconciliation</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91"/>
        </w:trPr>
        <w:tc>
          <w:tcPr>
            <w:tcW w:w="1600" w:type="dxa"/>
            <w:vAlign w:val="bottom"/>
          </w:tcPr>
          <w:p>
            <w:pPr>
              <w:spacing w:after="0"/>
              <w:rPr>
                <w:sz w:val="20"/>
                <w:szCs w:val="20"/>
                <w:color w:val="auto"/>
              </w:rPr>
            </w:pPr>
            <w:r>
              <w:rPr>
                <w:rFonts w:ascii="Arial" w:cs="Arial" w:eastAsia="Arial" w:hAnsi="Arial"/>
                <w:sz w:val="22"/>
                <w:szCs w:val="22"/>
                <w:color w:val="auto"/>
              </w:rPr>
              <w:t>Section 7.10</w:t>
            </w:r>
          </w:p>
        </w:tc>
        <w:tc>
          <w:tcPr>
            <w:tcW w:w="8040" w:type="dxa"/>
            <w:vAlign w:val="bottom"/>
          </w:tcPr>
          <w:p>
            <w:pPr>
              <w:ind w:left="500"/>
              <w:spacing w:after="0"/>
              <w:rPr>
                <w:sz w:val="20"/>
                <w:szCs w:val="20"/>
                <w:color w:val="auto"/>
              </w:rPr>
            </w:pPr>
            <w:r>
              <w:rPr>
                <w:rFonts w:ascii="Arial" w:cs="Arial" w:eastAsia="Arial" w:hAnsi="Arial"/>
                <w:sz w:val="22"/>
                <w:szCs w:val="22"/>
                <w:color w:val="auto"/>
              </w:rPr>
              <w:t>Withholding</w:t>
            </w:r>
          </w:p>
        </w:tc>
        <w:tc>
          <w:tcPr>
            <w:tcW w:w="9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92"/>
        </w:trPr>
        <w:tc>
          <w:tcPr>
            <w:tcW w:w="1600" w:type="dxa"/>
            <w:vAlign w:val="bottom"/>
          </w:tcPr>
          <w:p>
            <w:pPr>
              <w:spacing w:after="0"/>
              <w:rPr>
                <w:sz w:val="20"/>
                <w:szCs w:val="20"/>
                <w:color w:val="auto"/>
              </w:rPr>
            </w:pPr>
            <w:r>
              <w:rPr>
                <w:rFonts w:ascii="Arial" w:cs="Arial" w:eastAsia="Arial" w:hAnsi="Arial"/>
                <w:sz w:val="22"/>
                <w:szCs w:val="22"/>
                <w:color w:val="auto"/>
              </w:rPr>
              <w:t>Section 7.11</w:t>
            </w:r>
          </w:p>
        </w:tc>
        <w:tc>
          <w:tcPr>
            <w:tcW w:w="8040" w:type="dxa"/>
            <w:vAlign w:val="bottom"/>
          </w:tcPr>
          <w:p>
            <w:pPr>
              <w:ind w:left="500"/>
              <w:spacing w:after="0"/>
              <w:rPr>
                <w:sz w:val="20"/>
                <w:szCs w:val="20"/>
                <w:color w:val="auto"/>
              </w:rPr>
            </w:pPr>
            <w:r>
              <w:rPr>
                <w:rFonts w:ascii="Arial" w:cs="Arial" w:eastAsia="Arial" w:hAnsi="Arial"/>
                <w:sz w:val="22"/>
                <w:szCs w:val="22"/>
                <w:color w:val="auto"/>
                <w:w w:val="98"/>
              </w:rPr>
              <w:t>Admission of PubCo into a Consolidated Group; Transfers of Corporate Assets</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92"/>
        </w:trPr>
        <w:tc>
          <w:tcPr>
            <w:tcW w:w="1600" w:type="dxa"/>
            <w:vAlign w:val="bottom"/>
          </w:tcPr>
          <w:p>
            <w:pPr>
              <w:spacing w:after="0"/>
              <w:rPr>
                <w:sz w:val="20"/>
                <w:szCs w:val="20"/>
                <w:color w:val="auto"/>
              </w:rPr>
            </w:pPr>
            <w:r>
              <w:rPr>
                <w:rFonts w:ascii="Arial" w:cs="Arial" w:eastAsia="Arial" w:hAnsi="Arial"/>
                <w:sz w:val="22"/>
                <w:szCs w:val="22"/>
                <w:color w:val="auto"/>
              </w:rPr>
              <w:t>Section 7.12</w:t>
            </w:r>
          </w:p>
        </w:tc>
        <w:tc>
          <w:tcPr>
            <w:tcW w:w="8040" w:type="dxa"/>
            <w:vAlign w:val="bottom"/>
          </w:tcPr>
          <w:p>
            <w:pPr>
              <w:ind w:left="500"/>
              <w:spacing w:after="0"/>
              <w:rPr>
                <w:sz w:val="20"/>
                <w:szCs w:val="20"/>
                <w:color w:val="auto"/>
              </w:rPr>
            </w:pPr>
            <w:r>
              <w:rPr>
                <w:rFonts w:ascii="Arial" w:cs="Arial" w:eastAsia="Arial" w:hAnsi="Arial"/>
                <w:sz w:val="22"/>
                <w:szCs w:val="22"/>
                <w:color w:val="auto"/>
              </w:rPr>
              <w:t>Confidentiality</w:t>
            </w:r>
          </w:p>
        </w:tc>
        <w:tc>
          <w:tcPr>
            <w:tcW w:w="9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92"/>
        </w:trPr>
        <w:tc>
          <w:tcPr>
            <w:tcW w:w="1600" w:type="dxa"/>
            <w:vAlign w:val="bottom"/>
          </w:tcPr>
          <w:p>
            <w:pPr>
              <w:spacing w:after="0"/>
              <w:rPr>
                <w:sz w:val="20"/>
                <w:szCs w:val="20"/>
                <w:color w:val="auto"/>
              </w:rPr>
            </w:pPr>
            <w:r>
              <w:rPr>
                <w:rFonts w:ascii="Arial" w:cs="Arial" w:eastAsia="Arial" w:hAnsi="Arial"/>
                <w:sz w:val="22"/>
                <w:szCs w:val="22"/>
                <w:color w:val="auto"/>
              </w:rPr>
              <w:t>Section 7.13</w:t>
            </w:r>
          </w:p>
        </w:tc>
        <w:tc>
          <w:tcPr>
            <w:tcW w:w="8040" w:type="dxa"/>
            <w:vAlign w:val="bottom"/>
          </w:tcPr>
          <w:p>
            <w:pPr>
              <w:ind w:left="500"/>
              <w:spacing w:after="0"/>
              <w:rPr>
                <w:sz w:val="20"/>
                <w:szCs w:val="20"/>
                <w:color w:val="auto"/>
              </w:rPr>
            </w:pPr>
            <w:r>
              <w:rPr>
                <w:rFonts w:ascii="Arial" w:cs="Arial" w:eastAsia="Arial" w:hAnsi="Arial"/>
                <w:sz w:val="22"/>
                <w:szCs w:val="22"/>
                <w:color w:val="auto"/>
              </w:rPr>
              <w:t>Change in Law</w:t>
            </w:r>
          </w:p>
        </w:tc>
        <w:tc>
          <w:tcPr>
            <w:tcW w:w="9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91"/>
        </w:trPr>
        <w:tc>
          <w:tcPr>
            <w:tcW w:w="1600" w:type="dxa"/>
            <w:vAlign w:val="bottom"/>
          </w:tcPr>
          <w:p>
            <w:pPr>
              <w:spacing w:after="0"/>
              <w:rPr>
                <w:sz w:val="20"/>
                <w:szCs w:val="20"/>
                <w:color w:val="auto"/>
              </w:rPr>
            </w:pPr>
            <w:r>
              <w:rPr>
                <w:rFonts w:ascii="Arial" w:cs="Arial" w:eastAsia="Arial" w:hAnsi="Arial"/>
                <w:sz w:val="22"/>
                <w:szCs w:val="22"/>
                <w:color w:val="auto"/>
              </w:rPr>
              <w:t>Section 7.14</w:t>
            </w:r>
          </w:p>
        </w:tc>
        <w:tc>
          <w:tcPr>
            <w:tcW w:w="8040" w:type="dxa"/>
            <w:vAlign w:val="bottom"/>
          </w:tcPr>
          <w:p>
            <w:pPr>
              <w:ind w:left="500"/>
              <w:spacing w:after="0"/>
              <w:rPr>
                <w:sz w:val="20"/>
                <w:szCs w:val="20"/>
                <w:color w:val="auto"/>
              </w:rPr>
            </w:pPr>
            <w:r>
              <w:rPr>
                <w:rFonts w:ascii="Arial" w:cs="Arial" w:eastAsia="Arial" w:hAnsi="Arial"/>
                <w:sz w:val="22"/>
                <w:szCs w:val="22"/>
                <w:color w:val="auto"/>
              </w:rPr>
              <w:t>Independent Nature of Rights and Obligations</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92"/>
        </w:trPr>
        <w:tc>
          <w:tcPr>
            <w:tcW w:w="1600" w:type="dxa"/>
            <w:vAlign w:val="bottom"/>
          </w:tcPr>
          <w:p>
            <w:pPr>
              <w:spacing w:after="0"/>
              <w:rPr>
                <w:sz w:val="20"/>
                <w:szCs w:val="20"/>
                <w:color w:val="auto"/>
              </w:rPr>
            </w:pPr>
            <w:r>
              <w:rPr>
                <w:rFonts w:ascii="Arial" w:cs="Arial" w:eastAsia="Arial" w:hAnsi="Arial"/>
                <w:sz w:val="22"/>
                <w:szCs w:val="22"/>
                <w:color w:val="auto"/>
              </w:rPr>
              <w:t>Section 7.15</w:t>
            </w:r>
          </w:p>
        </w:tc>
        <w:tc>
          <w:tcPr>
            <w:tcW w:w="8040" w:type="dxa"/>
            <w:vAlign w:val="bottom"/>
          </w:tcPr>
          <w:p>
            <w:pPr>
              <w:ind w:left="500"/>
              <w:spacing w:after="0"/>
              <w:rPr>
                <w:sz w:val="20"/>
                <w:szCs w:val="20"/>
                <w:color w:val="auto"/>
              </w:rPr>
            </w:pPr>
            <w:r>
              <w:rPr>
                <w:rFonts w:ascii="Arial" w:cs="Arial" w:eastAsia="Arial" w:hAnsi="Arial"/>
                <w:sz w:val="22"/>
                <w:szCs w:val="22"/>
                <w:color w:val="auto"/>
              </w:rPr>
              <w:t>TRA Holder Representative</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5" w:right="359" w:bottom="1440" w:gutter="0" w:footer="0" w:header="0"/>
        </w:sectPr>
      </w:pPr>
    </w:p>
    <w:bookmarkStart w:id="267" w:name="page268"/>
    <w:bookmarkEnd w:id="267"/>
    <w:p>
      <w:pPr>
        <w:jc w:val="center"/>
        <w:ind w:right="-99"/>
        <w:spacing w:after="0"/>
        <w:rPr>
          <w:sz w:val="20"/>
          <w:szCs w:val="20"/>
          <w:color w:val="auto"/>
        </w:rPr>
      </w:pPr>
      <w:r>
        <w:rPr>
          <w:rFonts w:ascii="Arial" w:cs="Arial" w:eastAsia="Arial" w:hAnsi="Arial"/>
          <w:sz w:val="22"/>
          <w:szCs w:val="22"/>
          <w:b w:val="1"/>
          <w:bCs w:val="1"/>
          <w:color w:val="auto"/>
        </w:rPr>
        <w:t>TAX RECEIVABLE AGREEMENT</w:t>
      </w:r>
    </w:p>
    <w:p>
      <w:pPr>
        <w:spacing w:after="0" w:line="239" w:lineRule="exact"/>
        <w:rPr>
          <w:sz w:val="20"/>
          <w:szCs w:val="20"/>
          <w:color w:val="auto"/>
        </w:rPr>
      </w:pPr>
    </w:p>
    <w:p>
      <w:pPr>
        <w:ind w:right="20"/>
        <w:spacing w:after="0" w:line="311" w:lineRule="auto"/>
        <w:rPr>
          <w:sz w:val="20"/>
          <w:szCs w:val="20"/>
          <w:color w:val="auto"/>
        </w:rPr>
      </w:pPr>
      <w:r>
        <w:rPr>
          <w:rFonts w:ascii="Arial" w:cs="Arial" w:eastAsia="Arial" w:hAnsi="Arial"/>
          <w:sz w:val="19"/>
          <w:szCs w:val="19"/>
          <w:color w:val="auto"/>
        </w:rPr>
        <w:t>This TAX RECEIVABLE AGREEMENT (as the same may be amended, restated, amended and restated,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September 14, 2021, is hereby entered into by and among Definitive Healthcare Corp., a Delaware corporation (including any successor corporation, “</w:t>
      </w:r>
      <w:r>
        <w:rPr>
          <w:rFonts w:ascii="Arial" w:cs="Arial" w:eastAsia="Arial" w:hAnsi="Arial"/>
          <w:sz w:val="19"/>
          <w:szCs w:val="19"/>
          <w:u w:val="single" w:color="auto"/>
          <w:color w:val="auto"/>
        </w:rPr>
        <w:t>PubCo</w:t>
      </w:r>
      <w:r>
        <w:rPr>
          <w:rFonts w:ascii="Arial" w:cs="Arial" w:eastAsia="Arial" w:hAnsi="Arial"/>
          <w:sz w:val="19"/>
          <w:szCs w:val="19"/>
          <w:color w:val="auto"/>
        </w:rPr>
        <w:t>”), AIDH TopCo, LLC, a Delaware limited liability company (the “</w:t>
      </w:r>
      <w:r>
        <w:rPr>
          <w:rFonts w:ascii="Arial" w:cs="Arial" w:eastAsia="Arial" w:hAnsi="Arial"/>
          <w:sz w:val="19"/>
          <w:szCs w:val="19"/>
          <w:u w:val="single" w:color="auto"/>
          <w:color w:val="auto"/>
        </w:rPr>
        <w:t>LLC</w:t>
      </w:r>
      <w:r>
        <w:rPr>
          <w:rFonts w:ascii="Arial" w:cs="Arial" w:eastAsia="Arial" w:hAnsi="Arial"/>
          <w:sz w:val="19"/>
          <w:szCs w:val="19"/>
          <w:color w:val="auto"/>
        </w:rPr>
        <w:t>”), and each of the undersigned parties, and each of the other persons from time to time that become a party hereto (each, excluding PubCo and the LLC, a “</w:t>
      </w:r>
      <w:r>
        <w:rPr>
          <w:rFonts w:ascii="Arial" w:cs="Arial" w:eastAsia="Arial" w:hAnsi="Arial"/>
          <w:sz w:val="19"/>
          <w:szCs w:val="19"/>
          <w:u w:val="single" w:color="auto"/>
          <w:color w:val="auto"/>
        </w:rPr>
        <w:t>TRA Holder</w:t>
      </w:r>
      <w:r>
        <w:rPr>
          <w:rFonts w:ascii="Arial" w:cs="Arial" w:eastAsia="Arial" w:hAnsi="Arial"/>
          <w:sz w:val="19"/>
          <w:szCs w:val="19"/>
          <w:color w:val="auto"/>
        </w:rPr>
        <w:t>” and together the “</w:t>
      </w:r>
      <w:r>
        <w:rPr>
          <w:rFonts w:ascii="Arial" w:cs="Arial" w:eastAsia="Arial" w:hAnsi="Arial"/>
          <w:sz w:val="19"/>
          <w:szCs w:val="19"/>
          <w:u w:val="single" w:color="auto"/>
          <w:color w:val="auto"/>
        </w:rPr>
        <w:t>TRA Holders</w:t>
      </w:r>
      <w:r>
        <w:rPr>
          <w:rFonts w:ascii="Arial" w:cs="Arial" w:eastAsia="Arial" w:hAnsi="Arial"/>
          <w:sz w:val="19"/>
          <w:szCs w:val="19"/>
          <w:color w:val="auto"/>
        </w:rPr>
        <w:t>”).</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right="240" w:firstLine="749"/>
        <w:spacing w:after="0" w:line="276" w:lineRule="auto"/>
        <w:rPr>
          <w:sz w:val="20"/>
          <w:szCs w:val="20"/>
          <w:color w:val="auto"/>
        </w:rPr>
      </w:pPr>
      <w:r>
        <w:rPr>
          <w:rFonts w:ascii="Arial" w:cs="Arial" w:eastAsia="Arial" w:hAnsi="Arial"/>
          <w:sz w:val="22"/>
          <w:szCs w:val="22"/>
          <w:color w:val="auto"/>
        </w:rPr>
        <w:t>WHEREAS, the TRA Holders directly or indirectly hold limited liability company interests in the LLC (the “</w:t>
      </w:r>
      <w:r>
        <w:rPr>
          <w:rFonts w:ascii="Arial" w:cs="Arial" w:eastAsia="Arial" w:hAnsi="Arial"/>
          <w:sz w:val="22"/>
          <w:szCs w:val="22"/>
          <w:u w:val="single" w:color="auto"/>
          <w:color w:val="auto"/>
        </w:rPr>
        <w:t>Units</w:t>
      </w:r>
      <w:r>
        <w:rPr>
          <w:rFonts w:ascii="Arial" w:cs="Arial" w:eastAsia="Arial" w:hAnsi="Arial"/>
          <w:sz w:val="22"/>
          <w:szCs w:val="22"/>
          <w:color w:val="auto"/>
        </w:rPr>
        <w:t>”), which is treated as a partnership for U.S. federal income tax purposes;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WHEREAS, after the IPO (as defined below), PubCo will be the sole managing member of the LLC, and will hold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Units;</w:t>
      </w:r>
    </w:p>
    <w:p>
      <w:pPr>
        <w:spacing w:after="0" w:line="229" w:lineRule="exact"/>
        <w:rPr>
          <w:sz w:val="20"/>
          <w:szCs w:val="20"/>
          <w:color w:val="auto"/>
        </w:rPr>
      </w:pPr>
    </w:p>
    <w:p>
      <w:pPr>
        <w:ind w:right="380" w:firstLine="749"/>
        <w:spacing w:after="0" w:line="276" w:lineRule="auto"/>
        <w:rPr>
          <w:sz w:val="20"/>
          <w:szCs w:val="20"/>
          <w:color w:val="auto"/>
        </w:rPr>
      </w:pPr>
      <w:r>
        <w:rPr>
          <w:rFonts w:ascii="Arial" w:cs="Arial" w:eastAsia="Arial" w:hAnsi="Arial"/>
          <w:sz w:val="22"/>
          <w:szCs w:val="22"/>
          <w:color w:val="auto"/>
        </w:rPr>
        <w:t>WHEREAS, each of the Blockers (as defined below) is classified as an association taxable as a corporation for U.S. federal income tax purposes;</w:t>
      </w:r>
    </w:p>
    <w:p>
      <w:pPr>
        <w:spacing w:after="0" w:line="174" w:lineRule="exact"/>
        <w:rPr>
          <w:sz w:val="20"/>
          <w:szCs w:val="20"/>
          <w:color w:val="auto"/>
        </w:rPr>
      </w:pPr>
    </w:p>
    <w:p>
      <w:pPr>
        <w:ind w:right="20" w:firstLine="749"/>
        <w:spacing w:after="0" w:line="274" w:lineRule="auto"/>
        <w:rPr>
          <w:sz w:val="20"/>
          <w:szCs w:val="20"/>
          <w:color w:val="auto"/>
        </w:rPr>
      </w:pPr>
      <w:r>
        <w:rPr>
          <w:rFonts w:ascii="Arial" w:cs="Arial" w:eastAsia="Arial" w:hAnsi="Arial"/>
          <w:sz w:val="21"/>
          <w:szCs w:val="21"/>
          <w:color w:val="auto"/>
        </w:rPr>
        <w:t>WHEREAS, pursuant to the Reorganization Agreement dated on or about the IPO Date (as defined below), among PubCo and the parties named therein, in connection with the IPO, among other things, (i) a separately wholly-owned, direct Subsidiary (as defined below) of PubCo will merge with and into each of the Blockers, in each case, with the respective Blocker surviving the merger and (ii) immediately thereafter, each of the Blockers, in turn, will merge with and into PubCo, with PubCo surviving the merger (such transactions together, the “</w:t>
      </w:r>
      <w:r>
        <w:rPr>
          <w:rFonts w:ascii="Arial" w:cs="Arial" w:eastAsia="Arial" w:hAnsi="Arial"/>
          <w:sz w:val="21"/>
          <w:szCs w:val="21"/>
          <w:u w:val="single" w:color="auto"/>
          <w:color w:val="auto"/>
        </w:rPr>
        <w:t>Reorganization Transactions</w:t>
      </w:r>
      <w:r>
        <w:rPr>
          <w:rFonts w:ascii="Arial" w:cs="Arial" w:eastAsia="Arial" w:hAnsi="Arial"/>
          <w:sz w:val="21"/>
          <w:szCs w:val="21"/>
          <w:color w:val="auto"/>
        </w:rPr>
        <w:t>”), and as a result of such transactions, PubCo will obtain or be entitled to utilize the Blocker Attributes (as defined below);</w:t>
      </w:r>
    </w:p>
    <w:p>
      <w:pPr>
        <w:spacing w:after="0" w:line="182" w:lineRule="exact"/>
        <w:rPr>
          <w:sz w:val="20"/>
          <w:szCs w:val="20"/>
          <w:color w:val="auto"/>
        </w:rPr>
      </w:pPr>
    </w:p>
    <w:p>
      <w:pPr>
        <w:ind w:right="40" w:firstLine="749"/>
        <w:spacing w:after="0" w:line="327" w:lineRule="auto"/>
        <w:rPr>
          <w:sz w:val="20"/>
          <w:szCs w:val="20"/>
          <w:color w:val="auto"/>
        </w:rPr>
      </w:pPr>
      <w:r>
        <w:rPr>
          <w:rFonts w:ascii="Arial" w:cs="Arial" w:eastAsia="Arial" w:hAnsi="Arial"/>
          <w:sz w:val="19"/>
          <w:szCs w:val="19"/>
          <w:color w:val="auto"/>
        </w:rPr>
        <w:t>WHEREAS, PubCo will use the net proceeds from the IPO to (i) purchase Units from certain TRA Holders (the “</w:t>
      </w:r>
      <w:r>
        <w:rPr>
          <w:rFonts w:ascii="Arial" w:cs="Arial" w:eastAsia="Arial" w:hAnsi="Arial"/>
          <w:sz w:val="19"/>
          <w:szCs w:val="19"/>
          <w:u w:val="single" w:color="auto"/>
          <w:color w:val="auto"/>
        </w:rPr>
        <w:t>Initial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Sales</w:t>
      </w:r>
      <w:r>
        <w:rPr>
          <w:rFonts w:ascii="Arial" w:cs="Arial" w:eastAsia="Arial" w:hAnsi="Arial"/>
          <w:sz w:val="19"/>
          <w:szCs w:val="19"/>
          <w:color w:val="auto"/>
        </w:rPr>
        <w:t>”) and (ii) purchase newly-issued Units directly from the LLC, which proceeds will be used by the LLC to repay outstanding borrowings under the LLC’s Senior Credit Facilities (as defined in the S-1) and for general company purposes;</w:t>
      </w:r>
    </w:p>
    <w:p>
      <w:pPr>
        <w:spacing w:after="0" w:line="133" w:lineRule="exact"/>
        <w:rPr>
          <w:sz w:val="20"/>
          <w:szCs w:val="20"/>
          <w:color w:val="auto"/>
        </w:rPr>
      </w:pPr>
    </w:p>
    <w:p>
      <w:pPr>
        <w:ind w:firstLine="749"/>
        <w:spacing w:after="0" w:line="308" w:lineRule="auto"/>
        <w:rPr>
          <w:sz w:val="20"/>
          <w:szCs w:val="20"/>
          <w:color w:val="auto"/>
        </w:rPr>
      </w:pPr>
      <w:r>
        <w:rPr>
          <w:rFonts w:ascii="Arial" w:cs="Arial" w:eastAsia="Arial" w:hAnsi="Arial"/>
          <w:sz w:val="19"/>
          <w:szCs w:val="19"/>
          <w:color w:val="auto"/>
        </w:rPr>
        <w:t>WHEREAS, the LLC and each of its direct and indirect Subsidiaries treated as a partnership for U.S. federal income tax purposes currently have and will have in effect an election under Section 754 of the Code (as defined below), for each Taxable Year (as defined below) that includes the IPO Date and for each Taxable Year in which a non-taxable or taxable acquisition (including a deemed taxable acquisition under Section 707(a) of the Code) of Units by PubCo (a “</w:t>
      </w:r>
      <w:r>
        <w:rPr>
          <w:rFonts w:ascii="Arial" w:cs="Arial" w:eastAsia="Arial" w:hAnsi="Arial"/>
          <w:sz w:val="19"/>
          <w:szCs w:val="19"/>
          <w:u w:val="single" w:color="auto"/>
          <w:color w:val="auto"/>
        </w:rPr>
        <w:t>Direct Exchange</w:t>
      </w:r>
      <w:r>
        <w:rPr>
          <w:rFonts w:ascii="Arial" w:cs="Arial" w:eastAsia="Arial" w:hAnsi="Arial"/>
          <w:sz w:val="19"/>
          <w:szCs w:val="19"/>
          <w:color w:val="auto"/>
        </w:rPr>
        <w:t>”) or by the LLC (a “</w:t>
      </w:r>
      <w:r>
        <w:rPr>
          <w:rFonts w:ascii="Arial" w:cs="Arial" w:eastAsia="Arial" w:hAnsi="Arial"/>
          <w:sz w:val="19"/>
          <w:szCs w:val="19"/>
          <w:u w:val="single" w:color="auto"/>
          <w:color w:val="auto"/>
        </w:rPr>
        <w:t>Redemption</w:t>
      </w:r>
      <w:r>
        <w:rPr>
          <w:rFonts w:ascii="Arial" w:cs="Arial" w:eastAsia="Arial" w:hAnsi="Arial"/>
          <w:sz w:val="19"/>
          <w:szCs w:val="19"/>
          <w:color w:val="auto"/>
        </w:rPr>
        <w:t>” and together with an Initial Sale and a Direct Exchange an “</w:t>
      </w:r>
      <w:r>
        <w:rPr>
          <w:rFonts w:ascii="Arial" w:cs="Arial" w:eastAsia="Arial" w:hAnsi="Arial"/>
          <w:sz w:val="19"/>
          <w:szCs w:val="19"/>
          <w:u w:val="single" w:color="auto"/>
          <w:color w:val="auto"/>
        </w:rPr>
        <w:t>Exchange</w:t>
      </w:r>
      <w:r>
        <w:rPr>
          <w:rFonts w:ascii="Arial" w:cs="Arial" w:eastAsia="Arial" w:hAnsi="Arial"/>
          <w:sz w:val="19"/>
          <w:szCs w:val="19"/>
          <w:color w:val="auto"/>
        </w:rPr>
        <w:t>”) from any of the TRA Holders (an “</w:t>
      </w:r>
      <w:r>
        <w:rPr>
          <w:rFonts w:ascii="Arial" w:cs="Arial" w:eastAsia="Arial" w:hAnsi="Arial"/>
          <w:sz w:val="19"/>
          <w:szCs w:val="19"/>
          <w:u w:val="single" w:color="auto"/>
          <w:color w:val="auto"/>
        </w:rPr>
        <w:t>Exchange TRA Holder</w:t>
      </w:r>
      <w:r>
        <w:rPr>
          <w:rFonts w:ascii="Arial" w:cs="Arial" w:eastAsia="Arial" w:hAnsi="Arial"/>
          <w:sz w:val="19"/>
          <w:szCs w:val="19"/>
          <w:color w:val="auto"/>
        </w:rPr>
        <w:t>”) for Class A common stock of PubCo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occurs;</w:t>
      </w:r>
    </w:p>
    <w:p>
      <w:pPr>
        <w:spacing w:after="0" w:line="154" w:lineRule="exact"/>
        <w:rPr>
          <w:sz w:val="20"/>
          <w:szCs w:val="20"/>
          <w:color w:val="auto"/>
        </w:rPr>
      </w:pPr>
    </w:p>
    <w:p>
      <w:pPr>
        <w:ind w:right="280" w:firstLine="749"/>
        <w:spacing w:after="0" w:line="276" w:lineRule="auto"/>
        <w:rPr>
          <w:sz w:val="20"/>
          <w:szCs w:val="20"/>
          <w:color w:val="auto"/>
        </w:rPr>
      </w:pPr>
      <w:r>
        <w:rPr>
          <w:rFonts w:ascii="Arial" w:cs="Arial" w:eastAsia="Arial" w:hAnsi="Arial"/>
          <w:sz w:val="22"/>
          <w:szCs w:val="22"/>
          <w:color w:val="auto"/>
        </w:rPr>
        <w:t>WHEREAS, as a result of an Exchange, the Corporation will be entitled to the Basis Adjustments (as defined below) relating to such Units exchanged in the Exchange;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268" w:name="page269"/>
    <w:bookmarkEnd w:id="268"/>
    <w:p>
      <w:pPr>
        <w:ind w:right="820" w:firstLine="749"/>
        <w:spacing w:after="0" w:line="276" w:lineRule="auto"/>
        <w:rPr>
          <w:sz w:val="20"/>
          <w:szCs w:val="20"/>
          <w:color w:val="auto"/>
        </w:rPr>
      </w:pPr>
      <w:r>
        <w:rPr>
          <w:rFonts w:ascii="Arial" w:cs="Arial" w:eastAsia="Arial" w:hAnsi="Arial"/>
          <w:sz w:val="22"/>
          <w:szCs w:val="22"/>
          <w:color w:val="auto"/>
        </w:rPr>
        <w:t>WHEREAS, the income, gain, loss, expense and other Tax items of the Corporation may be affected by the Tax Attributes (as defined below); and</w:t>
      </w:r>
    </w:p>
    <w:p>
      <w:pPr>
        <w:spacing w:after="0" w:line="174" w:lineRule="exact"/>
        <w:rPr>
          <w:sz w:val="20"/>
          <w:szCs w:val="20"/>
          <w:color w:val="auto"/>
        </w:rPr>
      </w:pPr>
    </w:p>
    <w:p>
      <w:pPr>
        <w:jc w:val="both"/>
        <w:ind w:right="280" w:firstLine="749"/>
        <w:spacing w:after="0" w:line="266" w:lineRule="auto"/>
        <w:rPr>
          <w:sz w:val="20"/>
          <w:szCs w:val="20"/>
          <w:color w:val="auto"/>
        </w:rPr>
      </w:pPr>
      <w:r>
        <w:rPr>
          <w:rFonts w:ascii="Arial" w:cs="Arial" w:eastAsia="Arial" w:hAnsi="Arial"/>
          <w:sz w:val="22"/>
          <w:szCs w:val="22"/>
          <w:color w:val="auto"/>
        </w:rPr>
        <w:t>WHEREAS, the parties to this Agreement desire to provide for certain payments and make certain arrangements with respect to any tax benefits to be derived by the Corporation as a result of the Tax Attributes and the making of payments under this Agreement.</w:t>
      </w:r>
    </w:p>
    <w:p>
      <w:pPr>
        <w:spacing w:after="0" w:line="185" w:lineRule="exact"/>
        <w:rPr>
          <w:sz w:val="20"/>
          <w:szCs w:val="20"/>
          <w:color w:val="auto"/>
        </w:rPr>
      </w:pPr>
    </w:p>
    <w:p>
      <w:pPr>
        <w:ind w:right="320" w:firstLine="749"/>
        <w:spacing w:after="0" w:line="276" w:lineRule="auto"/>
        <w:rPr>
          <w:sz w:val="20"/>
          <w:szCs w:val="20"/>
          <w:color w:val="auto"/>
        </w:rPr>
      </w:pPr>
      <w:r>
        <w:rPr>
          <w:rFonts w:ascii="Arial" w:cs="Arial" w:eastAsia="Arial" w:hAnsi="Arial"/>
          <w:sz w:val="22"/>
          <w:szCs w:val="22"/>
          <w:color w:val="auto"/>
        </w:rPr>
        <w:t>NOW, THEREFORE, in consideration of the foregoing and the respective covenants and agreements set forth herein, and intending to be legally bound hereby, the parties hereto agree as follows: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29" w:lineRule="exact"/>
        <w:rPr>
          <w:sz w:val="20"/>
          <w:szCs w:val="20"/>
          <w:color w:val="auto"/>
        </w:rPr>
      </w:pPr>
    </w:p>
    <w:p>
      <w:pPr>
        <w:ind w:right="440"/>
        <w:spacing w:after="0" w:line="266" w:lineRule="auto"/>
        <w:rPr>
          <w:sz w:val="20"/>
          <w:szCs w:val="20"/>
          <w:color w:val="auto"/>
        </w:rPr>
      </w:pPr>
      <w:r>
        <w:rPr>
          <w:rFonts w:ascii="Arial" w:cs="Arial" w:eastAsia="Arial" w:hAnsi="Arial"/>
          <w:sz w:val="22"/>
          <w:szCs w:val="22"/>
          <w:color w:val="auto"/>
        </w:rPr>
        <w:t>Section 1.1 Definitions. As used in this Agreement, the terms set forth in this Article I shall have the following meanings (such meanings to be equally applicable to both (i) the singular and plural and (ii) the active and passive forms of the terms defined).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22C Blocker</w:t>
      </w:r>
      <w:r>
        <w:rPr>
          <w:rFonts w:ascii="Arial" w:cs="Arial" w:eastAsia="Arial" w:hAnsi="Arial"/>
          <w:sz w:val="22"/>
          <w:szCs w:val="22"/>
          <w:color w:val="auto"/>
        </w:rPr>
        <w:t>” means 22C AIDH TopCo Blocker L.L.C., a Delaware limited liability company.</w:t>
      </w:r>
    </w:p>
    <w:p>
      <w:pPr>
        <w:spacing w:after="0" w:line="233" w:lineRule="exact"/>
        <w:rPr>
          <w:sz w:val="20"/>
          <w:szCs w:val="20"/>
          <w:color w:val="auto"/>
        </w:rPr>
      </w:pPr>
    </w:p>
    <w:p>
      <w:pPr>
        <w:ind w:right="60" w:firstLine="749"/>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22C Funds</w:t>
      </w:r>
      <w:r>
        <w:rPr>
          <w:rFonts w:ascii="Arial" w:cs="Arial" w:eastAsia="Arial" w:hAnsi="Arial"/>
          <w:sz w:val="21"/>
          <w:szCs w:val="21"/>
          <w:color w:val="auto"/>
        </w:rPr>
        <w:t>” means, individually or collectively, any investment fund, co-investment vehicles and/or similar vehicles or accounts, in each case managed by an Affiliate of 22C Capital LLC, or any of their respective successors.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22C TRA Holder</w:t>
      </w:r>
      <w:r>
        <w:rPr>
          <w:rFonts w:ascii="Arial" w:cs="Arial" w:eastAsia="Arial" w:hAnsi="Arial"/>
          <w:sz w:val="22"/>
          <w:szCs w:val="22"/>
          <w:color w:val="auto"/>
        </w:rPr>
        <w:t>” means any 22C Fund that is a TRA Holder.</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22C TRA Representative</w:t>
      </w:r>
      <w:r>
        <w:rPr>
          <w:rFonts w:ascii="Arial" w:cs="Arial" w:eastAsia="Arial" w:hAnsi="Arial"/>
          <w:sz w:val="21"/>
          <w:szCs w:val="21"/>
          <w:color w:val="auto"/>
        </w:rPr>
        <w:t>” means 22C Capital LLC, or such other Person designated by the 22C TRA Holders.</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Actual Interest Amount</w:t>
      </w:r>
      <w:r>
        <w:rPr>
          <w:rFonts w:ascii="Arial" w:cs="Arial" w:eastAsia="Arial" w:hAnsi="Arial"/>
          <w:sz w:val="22"/>
          <w:szCs w:val="22"/>
          <w:color w:val="auto"/>
        </w:rPr>
        <w:t>” is defined in Section 3.1(b)(vi) of this Agreement.</w:t>
      </w:r>
    </w:p>
    <w:p>
      <w:pPr>
        <w:spacing w:after="0" w:line="233" w:lineRule="exact"/>
        <w:rPr>
          <w:sz w:val="20"/>
          <w:szCs w:val="20"/>
          <w:color w:val="auto"/>
        </w:rPr>
      </w:pPr>
    </w:p>
    <w:p>
      <w:pPr>
        <w:ind w:firstLine="749"/>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Actual Tax Liability</w:t>
      </w:r>
      <w:r>
        <w:rPr>
          <w:rFonts w:ascii="Arial" w:cs="Arial" w:eastAsia="Arial" w:hAnsi="Arial"/>
          <w:sz w:val="19"/>
          <w:szCs w:val="19"/>
          <w:color w:val="auto"/>
        </w:rPr>
        <w:t>” means, with respect to any Taxable Year, the sum of (i) (A) the actual liability for U.S. federal income taxes of the Corporation as reported on its IRS Form 1120 (or any successor form) for such Taxable Year or, if applicable, determined in accordance with a Determination, plus (B) without duplication, the portion of any liability for U.S. federal income taxes imposed directly on the LLC (and the LLC’s applicable subsidiaries) under Section 6225 or any similar provision of the Code that is allocable to the Corporation under Section 704 of the Code in each case using the same methods, elections, conventions and similar practices used on the relevant IRS Form 1120 (or any successor form) and (ii) the product of the amount of the U.S. federal taxable income or gain for such Taxable Year reported on the Corporation’s IRS Form 1120 (or any successor form) (or, if applicable, determined in accordance with a Determination) and the Assumed State and Local Tax Rate.</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Advent Blocker</w:t>
      </w:r>
      <w:r>
        <w:rPr>
          <w:rFonts w:ascii="Arial" w:cs="Arial" w:eastAsia="Arial" w:hAnsi="Arial"/>
          <w:sz w:val="22"/>
          <w:szCs w:val="22"/>
          <w:color w:val="auto"/>
        </w:rPr>
        <w:t>” means AIDH Holdings, Inc., a Delaware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69" w:name="page270"/>
    <w:bookmarkEnd w:id="269"/>
    <w:p>
      <w:pPr>
        <w:ind w:right="20" w:firstLine="749"/>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Advent Funds</w:t>
      </w:r>
      <w:r>
        <w:rPr>
          <w:rFonts w:ascii="Arial" w:cs="Arial" w:eastAsia="Arial" w:hAnsi="Arial"/>
          <w:sz w:val="19"/>
          <w:szCs w:val="19"/>
          <w:color w:val="auto"/>
        </w:rPr>
        <w:t>” means, individually or collectively, any investment fund, co-investment vehicles and/or similar vehicles or accounts, in each case managed by an Affiliate of Advent International Corporation, or any of their respective successors.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Advent TRA Holder</w:t>
      </w:r>
      <w:r>
        <w:rPr>
          <w:rFonts w:ascii="Arial" w:cs="Arial" w:eastAsia="Arial" w:hAnsi="Arial"/>
          <w:sz w:val="22"/>
          <w:szCs w:val="22"/>
          <w:color w:val="auto"/>
        </w:rPr>
        <w:t>” means any Advent Fund that is a TRA Holder.</w:t>
      </w:r>
    </w:p>
    <w:p>
      <w:pPr>
        <w:spacing w:after="0" w:line="233" w:lineRule="exact"/>
        <w:rPr>
          <w:sz w:val="20"/>
          <w:szCs w:val="20"/>
          <w:color w:val="auto"/>
        </w:rPr>
      </w:pPr>
    </w:p>
    <w:p>
      <w:pPr>
        <w:ind w:right="18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Advent TRA Representative</w:t>
      </w:r>
      <w:r>
        <w:rPr>
          <w:rFonts w:ascii="Arial" w:cs="Arial" w:eastAsia="Arial" w:hAnsi="Arial"/>
          <w:sz w:val="22"/>
          <w:szCs w:val="22"/>
          <w:color w:val="auto"/>
        </w:rPr>
        <w:t>” means Advent International Corporation or such other Person designated by the Advent TRA Holders.</w:t>
      </w:r>
    </w:p>
    <w:p>
      <w:pPr>
        <w:spacing w:after="0" w:line="174" w:lineRule="exact"/>
        <w:rPr>
          <w:sz w:val="20"/>
          <w:szCs w:val="20"/>
          <w:color w:val="auto"/>
        </w:rPr>
      </w:pPr>
    </w:p>
    <w:p>
      <w:pPr>
        <w:ind w:right="920" w:firstLine="749"/>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through one or more intermediaries, Controls, is Controlled by, or is under common Control with, such first Person.</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Rate</w:t>
      </w:r>
      <w:r>
        <w:rPr>
          <w:rFonts w:ascii="Arial" w:cs="Arial" w:eastAsia="Arial" w:hAnsi="Arial"/>
          <w:sz w:val="22"/>
          <w:szCs w:val="22"/>
          <w:color w:val="auto"/>
        </w:rPr>
        <w:t>” means LIBOR plus 100 basis points.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 to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Schedule</w:t>
      </w:r>
      <w:r>
        <w:rPr>
          <w:rFonts w:ascii="Arial" w:cs="Arial" w:eastAsia="Arial" w:hAnsi="Arial"/>
          <w:sz w:val="22"/>
          <w:szCs w:val="22"/>
          <w:color w:val="auto"/>
        </w:rPr>
        <w:t>” is defined in Section 2.4(b) of this Agreement.</w:t>
      </w:r>
    </w:p>
    <w:p>
      <w:pPr>
        <w:spacing w:after="0" w:line="233" w:lineRule="exact"/>
        <w:rPr>
          <w:sz w:val="20"/>
          <w:szCs w:val="20"/>
          <w:color w:val="auto"/>
        </w:rPr>
      </w:pPr>
    </w:p>
    <w:p>
      <w:pPr>
        <w:ind w:right="80" w:firstLine="749"/>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Assumed State and Local Tax Rate</w:t>
      </w:r>
      <w:r>
        <w:rPr>
          <w:rFonts w:ascii="Arial" w:cs="Arial" w:eastAsia="Arial" w:hAnsi="Arial"/>
          <w:sz w:val="19"/>
          <w:szCs w:val="19"/>
          <w:color w:val="auto"/>
        </w:rPr>
        <w:t>” means the Tax rate equal to the sum of the products of (x) the Corporation’s income and franchise tax apportionment factor for each state and local jurisdiction in which the Corporation files income or franchise Tax Returns for the relevant Taxable Year and (y) the highest corporate income and franchise Tax rate(s) for each such state and local jurisdiction in which the Corporation files income or franchise Tax Returns for each relevant Taxable Year. As an illustration of the calculation of the Assumed State and Local Tax Rate for a Taxable Year, if the Corporation solely files Tax Returns in State 1 and State 2 in a Taxable Year, the maximum applicable corporate Tax rates in effect in such states in such Taxable Year are 6.5% and 5.5%, respectively, and the apportionment factors for such states in such Taxable Year are 55% and 45% respectively, then the Assumed State and Local Tax Rate for such Taxable Year is equal to 6.05% (i.e., 6.5% multiplied by 55% plus 5.5% multiplied by 45%).</w:t>
      </w:r>
    </w:p>
    <w:p>
      <w:pPr>
        <w:spacing w:after="0" w:line="155" w:lineRule="exact"/>
        <w:rPr>
          <w:sz w:val="20"/>
          <w:szCs w:val="20"/>
          <w:color w:val="auto"/>
        </w:rPr>
      </w:pPr>
    </w:p>
    <w:p>
      <w:pPr>
        <w:ind w:right="18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w:t>
      </w:r>
      <w:r>
        <w:rPr>
          <w:rFonts w:ascii="Arial" w:cs="Arial" w:eastAsia="Arial" w:hAnsi="Arial"/>
          <w:sz w:val="22"/>
          <w:szCs w:val="22"/>
          <w:color w:val="auto"/>
        </w:rPr>
        <w:t>” means the portion of any Tax Attribute of the Corporation that is “Attributable” to the TRA Holders and shall be determined by reference to the Tax Attributes, under the following principles:</w:t>
      </w:r>
    </w:p>
    <w:p>
      <w:pPr>
        <w:spacing w:after="0" w:line="174" w:lineRule="exact"/>
        <w:rPr>
          <w:sz w:val="20"/>
          <w:szCs w:val="20"/>
          <w:color w:val="auto"/>
        </w:rPr>
      </w:pPr>
    </w:p>
    <w:p>
      <w:pPr>
        <w:ind w:left="760" w:right="240" w:firstLine="745"/>
        <w:spacing w:after="0" w:line="327" w:lineRule="auto"/>
        <w:tabs>
          <w:tab w:leader="none" w:pos="194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any Basis Adjustments shall be determined separately with respect to each Exchange TRA Holder, using reasonable methods for tracking such Basis Adjustments, and are Attributable to each Exchange TRA Holder in an amount equal to the total Basis Adjustments relating to such Units Exchanged by such Exchange TRA Holder;</w:t>
      </w:r>
    </w:p>
    <w:p>
      <w:pPr>
        <w:spacing w:after="0" w:line="132" w:lineRule="exact"/>
        <w:rPr>
          <w:rFonts w:ascii="Arial" w:cs="Arial" w:eastAsia="Arial" w:hAnsi="Arial"/>
          <w:sz w:val="19"/>
          <w:szCs w:val="19"/>
          <w:color w:val="auto"/>
        </w:rPr>
      </w:pPr>
    </w:p>
    <w:p>
      <w:pPr>
        <w:ind w:left="760" w:right="200" w:firstLine="745"/>
        <w:spacing w:after="0" w:line="266" w:lineRule="auto"/>
        <w:tabs>
          <w:tab w:leader="none" w:pos="194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any Blocker Attributes shall be determined separately with respect to each Blocker, using reasonable methods for tracking such Blocker Attributes, and are Attributable to the Blocker TRA Holders of each Blocker whose Blocker Attributes carried over to the Corporation;</w:t>
      </w:r>
    </w:p>
    <w:p>
      <w:pPr>
        <w:spacing w:after="0" w:line="184" w:lineRule="exact"/>
        <w:rPr>
          <w:rFonts w:ascii="Arial" w:cs="Arial" w:eastAsia="Arial" w:hAnsi="Arial"/>
          <w:sz w:val="22"/>
          <w:szCs w:val="22"/>
          <w:color w:val="auto"/>
        </w:rPr>
      </w:pPr>
    </w:p>
    <w:p>
      <w:pPr>
        <w:ind w:left="760" w:firstLine="745"/>
        <w:spacing w:after="0" w:line="276" w:lineRule="auto"/>
        <w:tabs>
          <w:tab w:leader="none" w:pos="194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any Blocker Attributes that are Attributable to the Blocker TRA Holders of a Blocker as described above in clause (ii) shall be Attributable to each Blocker TRA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0" w:name="page271"/>
    <w:bookmarkEnd w:id="270"/>
    <w:p>
      <w:pPr>
        <w:ind w:left="760" w:right="260"/>
        <w:spacing w:after="0" w:line="276" w:lineRule="auto"/>
        <w:rPr>
          <w:sz w:val="20"/>
          <w:szCs w:val="20"/>
          <w:color w:val="auto"/>
        </w:rPr>
      </w:pPr>
      <w:r>
        <w:rPr>
          <w:rFonts w:ascii="Arial" w:cs="Arial" w:eastAsia="Arial" w:hAnsi="Arial"/>
          <w:sz w:val="22"/>
          <w:szCs w:val="22"/>
          <w:color w:val="auto"/>
        </w:rPr>
        <w:t>Holder in proportion to such Blocker TRA Holder’s interest in such Blocker prior to the Reorganization Transactions; and</w:t>
      </w:r>
    </w:p>
    <w:p>
      <w:pPr>
        <w:spacing w:after="0" w:line="174" w:lineRule="exact"/>
        <w:rPr>
          <w:sz w:val="20"/>
          <w:szCs w:val="20"/>
          <w:color w:val="auto"/>
        </w:rPr>
      </w:pPr>
    </w:p>
    <w:p>
      <w:pPr>
        <w:ind w:left="760" w:right="380" w:firstLine="745"/>
        <w:spacing w:after="0" w:line="266" w:lineRule="auto"/>
        <w:tabs>
          <w:tab w:leader="none" w:pos="194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deduction to the Corporation with respect to a Taxable Year in respect of Imputed Interest is Attributable to the TRA Holder that is required to include the Imputed Interest in income (without regard to whether such TRA Holder is actually subject to Tax thereon).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Attribute Schedule</w:t>
      </w:r>
      <w:r>
        <w:rPr>
          <w:rFonts w:ascii="Arial" w:cs="Arial" w:eastAsia="Arial" w:hAnsi="Arial"/>
          <w:sz w:val="22"/>
          <w:szCs w:val="22"/>
          <w:color w:val="auto"/>
        </w:rPr>
        <w:t>” is defined in Section 2.2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 Committee</w:t>
      </w:r>
      <w:r>
        <w:rPr>
          <w:rFonts w:ascii="Arial" w:cs="Arial" w:eastAsia="Arial" w:hAnsi="Arial"/>
          <w:sz w:val="22"/>
          <w:szCs w:val="22"/>
          <w:color w:val="auto"/>
        </w:rPr>
        <w:t>” means the audit committee of the Board.</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is defined in Section 4.1(b) of this Agreement.</w:t>
      </w:r>
    </w:p>
    <w:p>
      <w:pPr>
        <w:spacing w:after="0" w:line="233" w:lineRule="exact"/>
        <w:rPr>
          <w:sz w:val="20"/>
          <w:szCs w:val="20"/>
          <w:color w:val="auto"/>
        </w:rPr>
      </w:pPr>
    </w:p>
    <w:p>
      <w:pPr>
        <w:ind w:right="40" w:firstLine="749"/>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Basis Adjustment</w:t>
      </w:r>
      <w:r>
        <w:rPr>
          <w:rFonts w:ascii="Arial" w:cs="Arial" w:eastAsia="Arial" w:hAnsi="Arial"/>
          <w:sz w:val="21"/>
          <w:szCs w:val="21"/>
          <w:color w:val="auto"/>
        </w:rPr>
        <w:t>” means the increase or decrease to the tax basis of, or the Corporation’s share of, the tax basis of the Reference Assets (i) under Sections 734(b), 743(b) and/or 754 of the Code (in situations where, following an Exchange, the LLC remains in existence as an entity for tax purposes) and (ii) under Sections 732, 734(b) and/or 1012 of the Code (in situations where, as a result of one or more Exchanges, the LLC becomes an entity that is disregarded as separate from its owner for tax purposes), in each case, as a result of any Exchange and any payment made under this Agreement in respect of such Exchange. Notwithstanding any other provision of this Agreement, the amount of any Basis Adjustment resulting from an Exchange of one or more Units shall be determined without regard to any Pre- Exchange Transfer of such Units and as if any such Pre-Exchange Transfer had not occurred. The amount of any Basis Adjustment shall be determined using the Market Value at the time of the Exchange.</w:t>
      </w:r>
    </w:p>
    <w:p>
      <w:pPr>
        <w:spacing w:after="0" w:line="183" w:lineRule="exact"/>
        <w:rPr>
          <w:sz w:val="20"/>
          <w:szCs w:val="20"/>
          <w:color w:val="auto"/>
        </w:rPr>
      </w:pPr>
    </w:p>
    <w:p>
      <w:pPr>
        <w:ind w:right="260"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means, with respect to any security, a Person who directly or indirectly, through any contract, arrangement, understanding, relationship or otherwise, has or shares: (i) voting power, which includes the power to vote, or to direct the voting of, with respect to such security and/or (ii) investment power, which includes the power to dispose of, or to direct the disposition of, such security. The terms “</w:t>
      </w:r>
      <w:r>
        <w:rPr>
          <w:rFonts w:ascii="Arial" w:cs="Arial" w:eastAsia="Arial" w:hAnsi="Arial"/>
          <w:sz w:val="22"/>
          <w:szCs w:val="22"/>
          <w:u w:val="single" w:color="auto"/>
          <w:color w:val="auto"/>
        </w:rPr>
        <w:t>Beneficially Own</w:t>
      </w:r>
      <w:r>
        <w:rPr>
          <w:rFonts w:ascii="Arial" w:cs="Arial" w:eastAsia="Arial" w:hAnsi="Arial"/>
          <w:sz w:val="22"/>
          <w:szCs w:val="22"/>
          <w:color w:val="auto"/>
        </w:rPr>
        <w:t>” and “</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shall have correlative meanings.</w:t>
      </w:r>
    </w:p>
    <w:p>
      <w:pPr>
        <w:spacing w:after="0" w:line="190" w:lineRule="exact"/>
        <w:rPr>
          <w:sz w:val="20"/>
          <w:szCs w:val="20"/>
          <w:color w:val="auto"/>
        </w:rPr>
      </w:pPr>
    </w:p>
    <w:p>
      <w:pPr>
        <w:ind w:firstLine="749"/>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Blocker Attributes</w:t>
      </w:r>
      <w:r>
        <w:rPr>
          <w:rFonts w:ascii="Arial" w:cs="Arial" w:eastAsia="Arial" w:hAnsi="Arial"/>
          <w:sz w:val="19"/>
          <w:szCs w:val="19"/>
          <w:color w:val="auto"/>
        </w:rPr>
        <w:t>” means (i) without duplication, the net operating losses, excess Section 163(j) limitation carryforwards and capital losses that the Corporation is entitled to utilize as a result of the Blockers’ participation in the Reorganization Transactions that relate to periods (or portions thereof) prior to the Reorganization Transactions and (ii) the tax basis of any Reference Asset resulting from any adjustment under Section 743(b) of the Code attributable to Units acquired by a Blocker prior to the IPO Date; provided, however, that in order to determine whether any such Tax attribute is a Blocker Attribute, the Taxable Year of the Corporation that includes the effective date of the Reorganization Transactions shall be deemed to end as of the close of such effective date. Notwithstanding the foregoing, the term “Blocker Attributes” shall not include any tax attribute of a Blocker that is used to offset income Taxes of such Blocker, if such offset Taxes are attributable to taxable periods (or portion thereof) ending on or prior to the date of the Reorganization Transactions.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71" w:name="page272"/>
    <w:bookmarkEnd w:id="271"/>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w:t>
      </w:r>
      <w:r>
        <w:rPr>
          <w:rFonts w:ascii="Arial" w:cs="Arial" w:eastAsia="Arial" w:hAnsi="Arial"/>
          <w:sz w:val="22"/>
          <w:szCs w:val="22"/>
          <w:color w:val="auto"/>
        </w:rPr>
        <w:t>” means each of the 22C Blocker and the Advent Blocker (collectively, the “</w:t>
      </w:r>
      <w:r>
        <w:rPr>
          <w:rFonts w:ascii="Arial" w:cs="Arial" w:eastAsia="Arial" w:hAnsi="Arial"/>
          <w:sz w:val="22"/>
          <w:szCs w:val="22"/>
          <w:u w:val="single" w:color="auto"/>
          <w:color w:val="auto"/>
        </w:rPr>
        <w:t>Blockers</w:t>
      </w:r>
      <w:r>
        <w:rPr>
          <w:rFonts w:ascii="Arial" w:cs="Arial" w:eastAsia="Arial" w:hAnsi="Arial"/>
          <w:sz w:val="22"/>
          <w:szCs w:val="22"/>
          <w:color w:val="auto"/>
        </w:rPr>
        <w:t>”).</w:t>
      </w:r>
    </w:p>
    <w:p>
      <w:pPr>
        <w:spacing w:after="0" w:line="233" w:lineRule="exact"/>
        <w:rPr>
          <w:sz w:val="20"/>
          <w:szCs w:val="20"/>
          <w:color w:val="auto"/>
        </w:rPr>
      </w:pPr>
    </w:p>
    <w:p>
      <w:pPr>
        <w:ind w:right="64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Blocker TRA Holders</w:t>
      </w:r>
      <w:r>
        <w:rPr>
          <w:rFonts w:ascii="Arial" w:cs="Arial" w:eastAsia="Arial" w:hAnsi="Arial"/>
          <w:sz w:val="22"/>
          <w:szCs w:val="22"/>
          <w:color w:val="auto"/>
        </w:rPr>
        <w:t>” means a Person who, prior to the Reorganization Transactions, holds equity interests of a Blocker, and as a result of the Reorganization Transactions, holds Class A Common Stock.</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PubCo.</w:t>
      </w:r>
    </w:p>
    <w:p>
      <w:pPr>
        <w:spacing w:after="0" w:line="233" w:lineRule="exact"/>
        <w:rPr>
          <w:sz w:val="20"/>
          <w:szCs w:val="20"/>
          <w:color w:val="auto"/>
        </w:rPr>
      </w:pPr>
    </w:p>
    <w:p>
      <w:pPr>
        <w:ind w:right="44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excluding Saturday, Sunday and any day that is a legal holiday under the laws of the State of New York or is a day on which banking institutions located in New York are closed.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any of the following events:</w:t>
      </w:r>
    </w:p>
    <w:p>
      <w:pPr>
        <w:spacing w:after="0" w:line="233" w:lineRule="exact"/>
        <w:rPr>
          <w:sz w:val="20"/>
          <w:szCs w:val="20"/>
          <w:color w:val="auto"/>
        </w:rPr>
      </w:pPr>
    </w:p>
    <w:p>
      <w:pPr>
        <w:ind w:left="760" w:firstLine="745"/>
        <w:spacing w:after="0" w:line="306" w:lineRule="auto"/>
        <w:tabs>
          <w:tab w:leader="none" w:pos="194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Person or any group of Persons acting together that would constitute a “group” for purposes of Section 13(d) of the Securities Exchange Act of 1934, as amended or any successor provisions thereto (excluding (a) a corporation or other entity owned, directly or indirectly, by the stockholders of PubCo in substantially the same proportions as their ownership of stock of PubCo or (b) a group of Persons in which one or more Affiliates of Permitted Transferees, directly or indirectly hold Beneficial Ownership of securities representing more than 50% of the total voting power held by such group) is or becomes the Beneficial Owner, directly or indirectly, of securities of PubCo representing more than 50% of the combined voting power of PubCo’s then outstanding voting securities;</w:t>
      </w:r>
    </w:p>
    <w:p>
      <w:pPr>
        <w:spacing w:after="0" w:line="156" w:lineRule="exact"/>
        <w:rPr>
          <w:rFonts w:ascii="Arial" w:cs="Arial" w:eastAsia="Arial" w:hAnsi="Arial"/>
          <w:sz w:val="19"/>
          <w:szCs w:val="19"/>
          <w:color w:val="auto"/>
        </w:rPr>
      </w:pPr>
    </w:p>
    <w:p>
      <w:pPr>
        <w:ind w:left="760" w:right="60" w:firstLine="745"/>
        <w:spacing w:after="0" w:line="260" w:lineRule="auto"/>
        <w:tabs>
          <w:tab w:leader="none" w:pos="194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following individuals cease for any reason to constitute a majority of the number of directors of PubCo then serving: individuals who, on the IPO Date, constitute the Board and any new director whose appointment or election by the Board or nomination for election by PubCo’s stockholders was approved or recommended by a vote of at least two-thirds (2/3) of the directors then still in office who either were directors on the IPO Date or whose appointment, election or nomination for election was previously so approved or recommended by the directors referred to in this clause (2);</w:t>
      </w:r>
    </w:p>
    <w:p>
      <w:pPr>
        <w:spacing w:after="0" w:line="191" w:lineRule="exact"/>
        <w:rPr>
          <w:rFonts w:ascii="Arial" w:cs="Arial" w:eastAsia="Arial" w:hAnsi="Arial"/>
          <w:sz w:val="22"/>
          <w:szCs w:val="22"/>
          <w:color w:val="auto"/>
        </w:rPr>
      </w:pPr>
    </w:p>
    <w:p>
      <w:pPr>
        <w:ind w:left="760" w:right="340" w:firstLine="745"/>
        <w:spacing w:after="0" w:line="317" w:lineRule="auto"/>
        <w:tabs>
          <w:tab w:leader="none" w:pos="194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shareholders of PubCo approve a plan of complete liquidation or dissolution of PubCo or there is consummated an agreement or series of related agreements for the sale or other disposition, directly or indirectly, by PubCo of all or substantially all of PubCo’s assets (including a sale of all or substantially all of the assets of the LLC) (which assets, for the avoidance of doubt, include the equity interests of PubCo’s Subsidiaries); or</w:t>
      </w:r>
    </w:p>
    <w:p>
      <w:pPr>
        <w:spacing w:after="0" w:line="141" w:lineRule="exact"/>
        <w:rPr>
          <w:rFonts w:ascii="Arial" w:cs="Arial" w:eastAsia="Arial" w:hAnsi="Arial"/>
          <w:sz w:val="19"/>
          <w:szCs w:val="19"/>
          <w:color w:val="auto"/>
        </w:rPr>
      </w:pPr>
    </w:p>
    <w:p>
      <w:pPr>
        <w:ind w:left="760" w:right="20" w:firstLine="745"/>
        <w:spacing w:after="0" w:line="260" w:lineRule="auto"/>
        <w:tabs>
          <w:tab w:leader="none" w:pos="194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there is consummated a merger or consolidation of PubCo with any other corporation or entity, and, immediately after the consummation of such merger or consolidation, either (x) the Board immediately prior to the merger or consolidation does not constitute at least a majority of the board of directors of the company surviving the merger or, if the surviving company is a Subsidiary, the ultimate parent thereof, or (y) the voting securities of PubCo immediately prior to such merger or consolidation do not continue to represent, or are not converted into, more than 50% of the combined voting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2" w:name="page273"/>
    <w:bookmarkEnd w:id="272"/>
    <w:p>
      <w:pPr>
        <w:ind w:left="760" w:right="580"/>
        <w:spacing w:after="0" w:line="276" w:lineRule="auto"/>
        <w:rPr>
          <w:sz w:val="20"/>
          <w:szCs w:val="20"/>
          <w:color w:val="auto"/>
        </w:rPr>
      </w:pPr>
      <w:r>
        <w:rPr>
          <w:rFonts w:ascii="Arial" w:cs="Arial" w:eastAsia="Arial" w:hAnsi="Arial"/>
          <w:sz w:val="22"/>
          <w:szCs w:val="22"/>
          <w:color w:val="auto"/>
        </w:rPr>
        <w:t>power of the then outstanding voting securities of the Person resulting from such merger or consolidation or, if the surviving company is a Subsidiary, the ultimate parent thereof.</w:t>
      </w:r>
    </w:p>
    <w:p>
      <w:pPr>
        <w:spacing w:after="0" w:line="174" w:lineRule="exact"/>
        <w:rPr>
          <w:sz w:val="20"/>
          <w:szCs w:val="20"/>
          <w:color w:val="auto"/>
        </w:rPr>
      </w:pPr>
    </w:p>
    <w:p>
      <w:pPr>
        <w:ind w:firstLine="749"/>
        <w:spacing w:after="0" w:line="308" w:lineRule="auto"/>
        <w:rPr>
          <w:sz w:val="20"/>
          <w:szCs w:val="20"/>
          <w:color w:val="auto"/>
        </w:rPr>
      </w:pPr>
      <w:r>
        <w:rPr>
          <w:rFonts w:ascii="Arial" w:cs="Arial" w:eastAsia="Arial" w:hAnsi="Arial"/>
          <w:sz w:val="19"/>
          <w:szCs w:val="19"/>
          <w:color w:val="auto"/>
        </w:rPr>
        <w:t>Notwithstanding the foregoing, except with respect to clause (2) and clause (4)(x) above, a “</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not be deemed to have occurred by virtue of the consummation of any transaction or series of integrated transactions immediately following which the record holders of the Class A Common Stock, Class B Common Stock, preferred stock and/or any other class or classes of capital stock of PubCo (if any) immediately prior to such transaction or series of transactions continue to have substantially the same proportionate ownership in and voting control over, and own substantially all of the shares of, an entity which owns all or substantially all of the assets of PubCo immediately following such transaction or series of transactions.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is defined in the recitals to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means shares of Class B stock, par value $0.0001 per share, of PubCo.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33" w:lineRule="exact"/>
        <w:rPr>
          <w:sz w:val="20"/>
          <w:szCs w:val="20"/>
          <w:color w:val="auto"/>
        </w:rPr>
      </w:pPr>
    </w:p>
    <w:p>
      <w:pPr>
        <w:ind w:right="220" w:firstLine="749"/>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 or indirect, of the power to direct or cause the direction of the management and policies of a Person, whether through ownership of voting securities, by contract or other agreement.</w:t>
      </w:r>
    </w:p>
    <w:p>
      <w:pPr>
        <w:spacing w:after="0" w:line="104" w:lineRule="exact"/>
        <w:rPr>
          <w:sz w:val="20"/>
          <w:szCs w:val="20"/>
          <w:color w:val="auto"/>
        </w:rPr>
      </w:pPr>
    </w:p>
    <w:p>
      <w:pPr>
        <w:ind w:right="34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PubCo and any company that is a member of any consolidated Tax Return of which PubCo is a member, where appropriate.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Person</w:t>
      </w:r>
      <w:r>
        <w:rPr>
          <w:rFonts w:ascii="Arial" w:cs="Arial" w:eastAsia="Arial" w:hAnsi="Arial"/>
          <w:sz w:val="22"/>
          <w:szCs w:val="22"/>
          <w:color w:val="auto"/>
        </w:rPr>
        <w:t>” is defined in Section 7.15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Net Realized Tax Benefit</w:t>
      </w:r>
      <w:r>
        <w:rPr>
          <w:rFonts w:ascii="Arial" w:cs="Arial" w:eastAsia="Arial" w:hAnsi="Arial"/>
          <w:sz w:val="22"/>
          <w:szCs w:val="22"/>
          <w:color w:val="auto"/>
        </w:rPr>
        <w:t>” is defined in Section 3.1(b)(ii)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means LIBOR plus 500 basis points.</w:t>
      </w:r>
    </w:p>
    <w:p>
      <w:pPr>
        <w:spacing w:after="0" w:line="233" w:lineRule="exact"/>
        <w:rPr>
          <w:sz w:val="20"/>
          <w:szCs w:val="20"/>
          <w:color w:val="auto"/>
        </w:rPr>
      </w:pPr>
    </w:p>
    <w:p>
      <w:pPr>
        <w:ind w:right="100"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w:t>
      </w:r>
      <w:r>
        <w:rPr>
          <w:rFonts w:ascii="Arial" w:cs="Arial" w:eastAsia="Arial" w:hAnsi="Arial"/>
          <w:sz w:val="22"/>
          <w:szCs w:val="22"/>
          <w:color w:val="auto"/>
        </w:rPr>
        <w:t>” shall have the meaning ascribed to such term in Section 1313(a) of the Code or similar provision of U.S. state Tax law, as applicable, or any other event (including the execution of IRS Form 870-AD) that finally and conclusively establishes the amount of any liability for Tax.</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Exchange</w:t>
      </w:r>
      <w:r>
        <w:rPr>
          <w:rFonts w:ascii="Arial" w:cs="Arial" w:eastAsia="Arial" w:hAnsi="Arial"/>
          <w:sz w:val="22"/>
          <w:szCs w:val="22"/>
          <w:color w:val="auto"/>
        </w:rPr>
        <w:t>” is defined in the recitals to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is defined in Section 7.8(a) of this Agreement.</w:t>
      </w:r>
    </w:p>
    <w:p>
      <w:pPr>
        <w:spacing w:after="0" w:line="233"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Effective Date</w:t>
      </w:r>
      <w:r>
        <w:rPr>
          <w:rFonts w:ascii="Arial" w:cs="Arial" w:eastAsia="Arial" w:hAnsi="Arial"/>
          <w:sz w:val="22"/>
          <w:szCs w:val="22"/>
          <w:color w:val="auto"/>
        </w:rPr>
        <w:t>” means the date of an Early Termination Notice for purposes of determining the Early Termination Payment.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Notice</w:t>
      </w:r>
      <w:r>
        <w:rPr>
          <w:rFonts w:ascii="Arial" w:cs="Arial" w:eastAsia="Arial" w:hAnsi="Arial"/>
          <w:sz w:val="22"/>
          <w:szCs w:val="22"/>
          <w:color w:val="auto"/>
        </w:rPr>
        <w:t>” is defined in Section 4.2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Payment</w:t>
      </w:r>
      <w:r>
        <w:rPr>
          <w:rFonts w:ascii="Arial" w:cs="Arial" w:eastAsia="Arial" w:hAnsi="Arial"/>
          <w:sz w:val="22"/>
          <w:szCs w:val="22"/>
          <w:color w:val="auto"/>
        </w:rPr>
        <w:t>” is defined in Section 4.3(b) of this Agreement.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3" w:name="page274"/>
    <w:bookmarkEnd w:id="273"/>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Rate</w:t>
      </w:r>
      <w:r>
        <w:rPr>
          <w:rFonts w:ascii="Arial" w:cs="Arial" w:eastAsia="Arial" w:hAnsi="Arial"/>
          <w:sz w:val="22"/>
          <w:szCs w:val="22"/>
          <w:color w:val="auto"/>
        </w:rPr>
        <w:t>” means the Agreed Rate.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Reference Date</w:t>
      </w:r>
      <w:r>
        <w:rPr>
          <w:rFonts w:ascii="Arial" w:cs="Arial" w:eastAsia="Arial" w:hAnsi="Arial"/>
          <w:sz w:val="22"/>
          <w:szCs w:val="22"/>
          <w:color w:val="auto"/>
        </w:rPr>
        <w:t>” is defined in Section 4.2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Schedule</w:t>
      </w:r>
      <w:r>
        <w:rPr>
          <w:rFonts w:ascii="Arial" w:cs="Arial" w:eastAsia="Arial" w:hAnsi="Arial"/>
          <w:sz w:val="22"/>
          <w:szCs w:val="22"/>
          <w:color w:val="auto"/>
        </w:rPr>
        <w:t>” is defined in Section 4.2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is defined in the recitals to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means the date of any Exchange.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Expert</w:t>
      </w:r>
      <w:r>
        <w:rPr>
          <w:rFonts w:ascii="Arial" w:cs="Arial" w:eastAsia="Arial" w:hAnsi="Arial"/>
          <w:sz w:val="22"/>
          <w:szCs w:val="22"/>
          <w:color w:val="auto"/>
        </w:rPr>
        <w:t>” is defined in Section 7.9 of this Agreement.</w:t>
      </w:r>
    </w:p>
    <w:p>
      <w:pPr>
        <w:spacing w:after="0" w:line="233" w:lineRule="exact"/>
        <w:rPr>
          <w:sz w:val="20"/>
          <w:szCs w:val="20"/>
          <w:color w:val="auto"/>
        </w:rPr>
      </w:pPr>
    </w:p>
    <w:p>
      <w:pPr>
        <w:ind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Hypothetical Tax Liability</w:t>
      </w:r>
      <w:r>
        <w:rPr>
          <w:rFonts w:ascii="Arial" w:cs="Arial" w:eastAsia="Arial" w:hAnsi="Arial"/>
          <w:sz w:val="19"/>
          <w:szCs w:val="19"/>
          <w:color w:val="auto"/>
        </w:rPr>
        <w:t>” means, with respect to any Taxable Year, the sum of (i) (A) the liability for U.S. federal income taxes of the Corporation plus (B) without duplication, the portion of any liability for U.S. federal income taxes imposed directly on the LLC (and the LLC’s applicable subsidiaries) under Section 6225 or any similar provision of the Code that is allocable to the Corporation under Section 704 of the Code, in each case using the same methods, elections, conventions and similar practices used on the relevant IRS Form 1120 (or any successor form) or, if applicable, determined in accordance with a Determination, and (ii) the product of the U.S. federal Taxable income for such Taxable Year reported on the Corporation’s IRS Form 1120 (or any successor form) (or, if applicable, determined in accordance with a Determination) and the Assumed State and Local Tax Rate, but, in the determination of the liability in clauses (i) and (ii), above, (a) calculating depreciation, amortization, or other similar deductions, or otherwise calculating any items of income, gain, or loss, using the Corporation’s share of the Non-Adjusted Tax Basis as reflected on the Attribute Schedule, including amendments thereto for the Taxable Year, (b) excluding the effect of any and all Blocker Attributes for the Taxable Year and (c) excluding any deduction attributable to Imputed Interest for the Taxable Year. For the avoidance of doubt, (i) the Hypothetical Tax Liability shall be determined without taking into account the carryover or carryback of any Tax item attributable to Imputed Interest, Blocker Attributes or a Basis Adjustment (or portions thereof); and (ii) the calculation of the Hypothetical Tax Liability shall take into account the federal benefit received by the Corporation with respect to state and local jurisdiction income Taxes (with such benefit taking into account the Corporation’s marginal U.S. federal income tax rate for the relevant Taxable Year, the Assumed State and Local Tax Rate, and the deductibility, if any, of state and local jurisdiction income Taxes).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Imputed Interest</w:t>
      </w:r>
      <w:r>
        <w:rPr>
          <w:rFonts w:ascii="Arial" w:cs="Arial" w:eastAsia="Arial" w:hAnsi="Arial"/>
          <w:sz w:val="22"/>
          <w:szCs w:val="22"/>
          <w:color w:val="auto"/>
        </w:rPr>
        <w:t>” is defined in Section 3.1(b)(v) of this Agreement.</w:t>
      </w:r>
    </w:p>
    <w:p>
      <w:pPr>
        <w:spacing w:after="0" w:line="233" w:lineRule="exact"/>
        <w:rPr>
          <w:sz w:val="20"/>
          <w:szCs w:val="20"/>
          <w:color w:val="auto"/>
        </w:rPr>
      </w:pPr>
    </w:p>
    <w:p>
      <w:pPr>
        <w:ind w:right="26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the initial public offering of Class A Common Stock by PubCo (including any greenshoe related to such initial public offering).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 Date</w:t>
      </w:r>
      <w:r>
        <w:rPr>
          <w:rFonts w:ascii="Arial" w:cs="Arial" w:eastAsia="Arial" w:hAnsi="Arial"/>
          <w:sz w:val="22"/>
          <w:szCs w:val="22"/>
          <w:color w:val="auto"/>
        </w:rPr>
        <w:t>” means the closing date of the IPO.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w:t>
      </w:r>
      <w:r>
        <w:rPr>
          <w:rFonts w:ascii="Arial" w:cs="Arial" w:eastAsia="Arial" w:hAnsi="Arial"/>
          <w:sz w:val="19"/>
          <w:szCs w:val="19"/>
          <w:color w:val="auto"/>
        </w:rPr>
        <w:t>” means a joinder to this Agreement, in form and substance substantially similar to Exhibit A to this Agreement.</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4" w:name="page275"/>
    <w:bookmarkEnd w:id="274"/>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Requirement</w:t>
      </w:r>
      <w:r>
        <w:rPr>
          <w:rFonts w:ascii="Arial" w:cs="Arial" w:eastAsia="Arial" w:hAnsi="Arial"/>
          <w:sz w:val="22"/>
          <w:szCs w:val="22"/>
          <w:color w:val="auto"/>
        </w:rPr>
        <w:t>” is defined in Section 7.6(a)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Krantz</w:t>
      </w:r>
      <w:r>
        <w:rPr>
          <w:rFonts w:ascii="Arial" w:cs="Arial" w:eastAsia="Arial" w:hAnsi="Arial"/>
          <w:sz w:val="22"/>
          <w:szCs w:val="22"/>
          <w:color w:val="auto"/>
        </w:rPr>
        <w:t>” means Jason Krantz, DH Holdings, LLC and their Permitted Transferees.</w:t>
      </w:r>
    </w:p>
    <w:p>
      <w:pPr>
        <w:spacing w:after="0" w:line="233" w:lineRule="exact"/>
        <w:rPr>
          <w:sz w:val="20"/>
          <w:szCs w:val="20"/>
          <w:color w:val="auto"/>
        </w:rPr>
      </w:pPr>
    </w:p>
    <w:p>
      <w:pPr>
        <w:ind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during any period, the rate which appears on the Bloomberg Page BBAM1 (or on such other substitute Bloomberg page that displays rates at which U.S. dollar deposits are offered by leading banks in the London interbank deposit market or such other commercially available source providing quotations of such rates as may be designated by PubCo from time to time), or the rate which is quoted by another source selected by PubCo as an authorized information vendor for the purpose of displaying rates at which U.S. dollar deposits are offered by leading banks in the London interbank deposit market (an “</w:t>
      </w:r>
      <w:r>
        <w:rPr>
          <w:rFonts w:ascii="Arial" w:cs="Arial" w:eastAsia="Arial" w:hAnsi="Arial"/>
          <w:sz w:val="19"/>
          <w:szCs w:val="19"/>
          <w:u w:val="single" w:color="auto"/>
          <w:color w:val="auto"/>
        </w:rPr>
        <w:t>Alternate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Source</w:t>
      </w:r>
      <w:r>
        <w:rPr>
          <w:rFonts w:ascii="Arial" w:cs="Arial" w:eastAsia="Arial" w:hAnsi="Arial"/>
          <w:sz w:val="19"/>
          <w:szCs w:val="19"/>
          <w:color w:val="auto"/>
        </w:rPr>
        <w:t>”), at approximately 11:00 a.m., London time, two (2) Business Days prior to the first day of such period as the London interbank offered rate for U.S. dollars having a borrowing date and a maturity comparable to such period; provided, that at no time shall LIBOR be less than 0%. If PubCo has made the determination (such determination to be conclusive absent manifest error) that (i) LIBOR is no longer a widely recognized benchmark rate for newly originated loans in the U.S. loan market in U.S. dollars or (ii) the applicable supervisor or administrator (if any) of LIBOR has made a public statement identifying a specific date after which LIBOR shall no longer be used for determining interest rates for loans in the U.S. loan market in U.S. dollars, then PubCo shall (as determined by PubCo to be consistent with any secured Senior Obligations and market practice generally), establish a replacement interest rate (the “</w:t>
      </w:r>
      <w:r>
        <w:rPr>
          <w:rFonts w:ascii="Arial" w:cs="Arial" w:eastAsia="Arial" w:hAnsi="Arial"/>
          <w:sz w:val="19"/>
          <w:szCs w:val="19"/>
          <w:u w:val="single" w:color="auto"/>
          <w:color w:val="auto"/>
        </w:rPr>
        <w:t>Replacement Rate</w:t>
      </w:r>
      <w:r>
        <w:rPr>
          <w:rFonts w:ascii="Arial" w:cs="Arial" w:eastAsia="Arial" w:hAnsi="Arial"/>
          <w:sz w:val="19"/>
          <w:szCs w:val="19"/>
          <w:color w:val="auto"/>
        </w:rPr>
        <w:t>”), in which case, the Replacement Rate shall, subject to the next two sentences, replace LIBOR for all purposes under this Agreement. In connection with the establishment and application of the Replacement Rate, this Agreement shall be amended solely with the consent of PubCo and the LLC, as may be necessary or appropriate, in the reasonable judgment of PubCo, to effect the provisions of this section. The Replacement Rate shall be applied in a manner consistent with market practice; provided, that in each case, to the extent such market practice is not administratively feasible for PubCo, such Replacement Rate shall be applied as otherwise reasonably determined by PubCo.</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w:t>
      </w:r>
      <w:r>
        <w:rPr>
          <w:rFonts w:ascii="Arial" w:cs="Arial" w:eastAsia="Arial" w:hAnsi="Arial"/>
          <w:sz w:val="22"/>
          <w:szCs w:val="22"/>
          <w:color w:val="auto"/>
        </w:rPr>
        <w:t>” is defined in the preamble to this Agreement.</w:t>
      </w:r>
    </w:p>
    <w:p>
      <w:pPr>
        <w:spacing w:after="0" w:line="233" w:lineRule="exact"/>
        <w:rPr>
          <w:sz w:val="20"/>
          <w:szCs w:val="20"/>
          <w:color w:val="auto"/>
        </w:rPr>
      </w:pPr>
    </w:p>
    <w:p>
      <w:pPr>
        <w:ind w:right="160"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means that certain Second Amended and Restated Limited Liability Company Agreement of the LLC, dated as of the date hereof, as such agreement may be further amended, restated, supplemented and/or otherwise modified from time to time.</w:t>
      </w:r>
    </w:p>
    <w:p>
      <w:pPr>
        <w:spacing w:after="0" w:line="185" w:lineRule="exact"/>
        <w:rPr>
          <w:sz w:val="20"/>
          <w:szCs w:val="20"/>
          <w:color w:val="auto"/>
        </w:rPr>
      </w:pPr>
    </w:p>
    <w:p>
      <w:pPr>
        <w:jc w:val="both"/>
        <w:ind w:right="120" w:firstLine="749"/>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LLC Group</w:t>
      </w:r>
      <w:r>
        <w:rPr>
          <w:rFonts w:ascii="Arial" w:cs="Arial" w:eastAsia="Arial" w:hAnsi="Arial"/>
          <w:sz w:val="19"/>
          <w:szCs w:val="19"/>
          <w:color w:val="auto"/>
        </w:rPr>
        <w:t>” means (i) the LLC, (ii) any direct or indirect Subsidiary (owned through a chain of pass-through entities) of the LLC that is treated as a partnership for U.S. federal income tax purposes and (iii) any direct or indirect Subsidiary (owned through a chain of pass-through entities) of the LLC that is treated as a disregarded entity for U.S. federal income tax purposes.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TRA Holders</w:t>
      </w:r>
      <w:r>
        <w:rPr>
          <w:rFonts w:ascii="Arial" w:cs="Arial" w:eastAsia="Arial" w:hAnsi="Arial"/>
          <w:sz w:val="19"/>
          <w:szCs w:val="19"/>
          <w:color w:val="auto"/>
        </w:rPr>
        <w:t>” means the TRA Holders other than the Advent Funds, 22C Funds, and Spectrum Funds.</w:t>
      </w:r>
    </w:p>
    <w:p>
      <w:pPr>
        <w:spacing w:after="0" w:line="268" w:lineRule="exact"/>
        <w:rPr>
          <w:sz w:val="20"/>
          <w:szCs w:val="20"/>
          <w:color w:val="auto"/>
        </w:rPr>
      </w:pPr>
    </w:p>
    <w:p>
      <w:pPr>
        <w:ind w:right="160"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TRA Representative</w:t>
      </w:r>
      <w:r>
        <w:rPr>
          <w:rFonts w:ascii="Arial" w:cs="Arial" w:eastAsia="Arial" w:hAnsi="Arial"/>
          <w:sz w:val="22"/>
          <w:szCs w:val="22"/>
          <w:color w:val="auto"/>
        </w:rPr>
        <w:t>” means Jason Krantz or such other person designated by Krantz as long as he holds an interest in the LLC or is entitled to payments under this Agreement and thereafter, that TRA Holder or committee of TRA Holders determined from time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5" w:name="page276"/>
    <w:bookmarkEnd w:id="275"/>
    <w:p>
      <w:pPr>
        <w:ind w:right="40"/>
        <w:spacing w:after="0" w:line="266" w:lineRule="auto"/>
        <w:rPr>
          <w:sz w:val="20"/>
          <w:szCs w:val="20"/>
          <w:color w:val="auto"/>
        </w:rPr>
      </w:pPr>
      <w:r>
        <w:rPr>
          <w:rFonts w:ascii="Arial" w:cs="Arial" w:eastAsia="Arial" w:hAnsi="Arial"/>
          <w:sz w:val="22"/>
          <w:szCs w:val="22"/>
          <w:color w:val="auto"/>
        </w:rPr>
        <w:t>to time by a plurality vote of the Management TRA Holders ratably in accordance with their right to receive Early Termination Payments hereunder as if all TRA Holders had fully Exchanged their Units for Class A Common Stock and PubCo had exercised its right of early termination on the date of the most recent Exchange.</w:t>
      </w:r>
    </w:p>
    <w:p>
      <w:pPr>
        <w:spacing w:after="0" w:line="185" w:lineRule="exact"/>
        <w:rPr>
          <w:sz w:val="20"/>
          <w:szCs w:val="20"/>
          <w:color w:val="auto"/>
        </w:rPr>
      </w:pPr>
    </w:p>
    <w:p>
      <w:pPr>
        <w:ind w:right="40" w:firstLine="749"/>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 Value</w:t>
      </w:r>
      <w:r>
        <w:rPr>
          <w:rFonts w:ascii="Arial" w:cs="Arial" w:eastAsia="Arial" w:hAnsi="Arial"/>
          <w:sz w:val="21"/>
          <w:szCs w:val="21"/>
          <w:color w:val="auto"/>
        </w:rPr>
        <w:t xml:space="preserve">” means the closing price of the Class A Common Stock on the applicable Exchange Date on the national securities exchange or interdealer quotation system on which such Class A Common Stock is then traded or listed, as reported by the </w:t>
      </w:r>
      <w:r>
        <w:rPr>
          <w:rFonts w:ascii="Arial" w:cs="Arial" w:eastAsia="Arial" w:hAnsi="Arial"/>
          <w:sz w:val="21"/>
          <w:szCs w:val="21"/>
          <w:i w:val="1"/>
          <w:iCs w:val="1"/>
          <w:color w:val="auto"/>
        </w:rPr>
        <w:t>Wall Street Journal</w:t>
      </w:r>
      <w:r>
        <w:rPr>
          <w:rFonts w:ascii="Arial" w:cs="Arial" w:eastAsia="Arial" w:hAnsi="Arial"/>
          <w:sz w:val="21"/>
          <w:szCs w:val="21"/>
          <w:color w:val="auto"/>
        </w:rPr>
        <w:t xml:space="preserve">; provided, that if the closing price is not reported by the </w:t>
      </w:r>
      <w:r>
        <w:rPr>
          <w:rFonts w:ascii="Arial" w:cs="Arial" w:eastAsia="Arial" w:hAnsi="Arial"/>
          <w:sz w:val="21"/>
          <w:szCs w:val="21"/>
          <w:i w:val="1"/>
          <w:iCs w:val="1"/>
          <w:color w:val="auto"/>
        </w:rPr>
        <w:t>Wall Street Journal</w:t>
      </w:r>
      <w:r>
        <w:rPr>
          <w:rFonts w:ascii="Arial" w:cs="Arial" w:eastAsia="Arial" w:hAnsi="Arial"/>
          <w:sz w:val="21"/>
          <w:szCs w:val="21"/>
          <w:color w:val="auto"/>
        </w:rPr>
        <w:t xml:space="preserve"> for the applicable Exchange Date, then the Market Value shall mean the closing price of the Class A Common Stock on the Business Day immediately preceding such Exchange Date on the national securities exchange or interdealer quotation system on which such Class A Common Stock is then traded or listed, as reported. by the </w:t>
      </w:r>
      <w:r>
        <w:rPr>
          <w:rFonts w:ascii="Arial" w:cs="Arial" w:eastAsia="Arial" w:hAnsi="Arial"/>
          <w:sz w:val="21"/>
          <w:szCs w:val="21"/>
          <w:i w:val="1"/>
          <w:iCs w:val="1"/>
          <w:color w:val="auto"/>
        </w:rPr>
        <w:t>Wall Street Journal</w:t>
      </w:r>
      <w:r>
        <w:rPr>
          <w:rFonts w:ascii="Arial" w:cs="Arial" w:eastAsia="Arial" w:hAnsi="Arial"/>
          <w:sz w:val="21"/>
          <w:szCs w:val="21"/>
          <w:color w:val="auto"/>
        </w:rPr>
        <w:t>; provided, further, that if the Class A Common Stock is not then listed on a national securities exchange or interdealer quotation system, “Market Value” shall mean the cash consideration paid for Class A Common Stock, or the fair market value of the other property delivered for Class A Common Stock, as determined by the Board in good faith. Notwithstanding anything to the contrary in the above sentence, to the extent property is exchanged for cash in a transaction, the Market Value shall be determined by reference to the amount of cash transferred in such transaction.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Tax Benefit</w:t>
      </w:r>
      <w:r>
        <w:rPr>
          <w:rFonts w:ascii="Arial" w:cs="Arial" w:eastAsia="Arial" w:hAnsi="Arial"/>
          <w:sz w:val="22"/>
          <w:szCs w:val="22"/>
          <w:color w:val="auto"/>
        </w:rPr>
        <w:t>” is defined in Section 3.1(b)(i) of this Agreement.</w:t>
      </w:r>
    </w:p>
    <w:p>
      <w:pPr>
        <w:spacing w:after="0" w:line="233" w:lineRule="exact"/>
        <w:rPr>
          <w:sz w:val="20"/>
          <w:szCs w:val="20"/>
          <w:color w:val="auto"/>
        </w:rPr>
      </w:pPr>
    </w:p>
    <w:p>
      <w:pPr>
        <w:ind w:right="8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Non-Adjusted Tax Basis</w:t>
      </w:r>
      <w:r>
        <w:rPr>
          <w:rFonts w:ascii="Arial" w:cs="Arial" w:eastAsia="Arial" w:hAnsi="Arial"/>
          <w:sz w:val="22"/>
          <w:szCs w:val="22"/>
          <w:color w:val="auto"/>
        </w:rPr>
        <w:t>” means, with respect to any Reference Asset at any time, the adjusted tax basis that such asset would have had at such time if no Basis Adjustments had been made.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Notice</w:t>
      </w:r>
      <w:r>
        <w:rPr>
          <w:rFonts w:ascii="Arial" w:cs="Arial" w:eastAsia="Arial" w:hAnsi="Arial"/>
          <w:sz w:val="22"/>
          <w:szCs w:val="22"/>
          <w:color w:val="auto"/>
        </w:rPr>
        <w:t>” is defined in Section 2.4(a)(i) of this Agreement.</w:t>
      </w:r>
    </w:p>
    <w:p>
      <w:pPr>
        <w:spacing w:after="0" w:line="233" w:lineRule="exact"/>
        <w:rPr>
          <w:sz w:val="20"/>
          <w:szCs w:val="20"/>
          <w:color w:val="auto"/>
        </w:rPr>
      </w:pPr>
    </w:p>
    <w:p>
      <w:pPr>
        <w:ind w:right="30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the parties named on the signature pages to this agreement and each additional party that satisfies the Joinder Requirement, in each case with their respective successors and assigns.</w:t>
      </w:r>
    </w:p>
    <w:p>
      <w:pPr>
        <w:spacing w:after="0" w:line="174" w:lineRule="exact"/>
        <w:rPr>
          <w:sz w:val="20"/>
          <w:szCs w:val="20"/>
          <w:color w:val="auto"/>
        </w:rPr>
      </w:pPr>
    </w:p>
    <w:p>
      <w:pPr>
        <w:ind w:right="8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means the transfer of Units by a holder of Units to any transferee as permitted by the LLC Agreement.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means a holder of Units pursuant to a Permitted Transfer.</w:t>
      </w:r>
    </w:p>
    <w:p>
      <w:pPr>
        <w:spacing w:after="0" w:line="233" w:lineRule="exact"/>
        <w:rPr>
          <w:sz w:val="20"/>
          <w:szCs w:val="20"/>
          <w:color w:val="auto"/>
        </w:rPr>
      </w:pPr>
    </w:p>
    <w:p>
      <w:pPr>
        <w:ind w:right="48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Pre-Exchange Transfer</w:t>
      </w:r>
      <w:r>
        <w:rPr>
          <w:rFonts w:ascii="Arial" w:cs="Arial" w:eastAsia="Arial" w:hAnsi="Arial"/>
          <w:sz w:val="19"/>
          <w:szCs w:val="19"/>
          <w:color w:val="auto"/>
        </w:rPr>
        <w:t>” means any transfer (including upon the death of a TRA Holder) in respect of one or more Units</w:t>
      </w:r>
    </w:p>
    <w:p>
      <w:pPr>
        <w:spacing w:after="0" w:line="56" w:lineRule="exact"/>
        <w:rPr>
          <w:sz w:val="20"/>
          <w:szCs w:val="20"/>
          <w:color w:val="auto"/>
        </w:rPr>
      </w:pPr>
    </w:p>
    <w:p>
      <w:pPr>
        <w:ind w:left="760" w:right="2340" w:hanging="752"/>
        <w:spacing w:after="0" w:line="458" w:lineRule="auto"/>
        <w:tabs>
          <w:tab w:leader="none" w:pos="26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that occurs prior to an Exchange of such Units and (ii) to which Section 743(b) of the Code applies. “</w:t>
      </w:r>
      <w:r>
        <w:rPr>
          <w:rFonts w:ascii="Arial" w:cs="Arial" w:eastAsia="Arial" w:hAnsi="Arial"/>
          <w:sz w:val="22"/>
          <w:szCs w:val="22"/>
          <w:u w:val="single" w:color="auto"/>
          <w:color w:val="auto"/>
        </w:rPr>
        <w:t>PubCo</w:t>
      </w:r>
      <w:r>
        <w:rPr>
          <w:rFonts w:ascii="Arial" w:cs="Arial" w:eastAsia="Arial" w:hAnsi="Arial"/>
          <w:sz w:val="22"/>
          <w:szCs w:val="22"/>
          <w:color w:val="auto"/>
        </w:rPr>
        <w:t>” is defined in the preamble to this Agreement.</w:t>
      </w:r>
    </w:p>
    <w:p>
      <w:pPr>
        <w:spacing w:after="0" w:line="2"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Realized Tax Benefit</w:t>
      </w:r>
      <w:r>
        <w:rPr>
          <w:rFonts w:ascii="Arial" w:cs="Arial" w:eastAsia="Arial" w:hAnsi="Arial"/>
          <w:sz w:val="22"/>
          <w:szCs w:val="22"/>
          <w:color w:val="auto"/>
        </w:rPr>
        <w:t>” is defined in Section 3.1(b)(iii) of this Agreement.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6" w:name="page277"/>
    <w:bookmarkEnd w:id="276"/>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Realized Tax Detriment</w:t>
      </w:r>
      <w:r>
        <w:rPr>
          <w:rFonts w:ascii="Arial" w:cs="Arial" w:eastAsia="Arial" w:hAnsi="Arial"/>
          <w:sz w:val="22"/>
          <w:szCs w:val="22"/>
          <w:color w:val="auto"/>
        </w:rPr>
        <w:t>” is defined in Section 3.1(b)(iv)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Reconciliation Dispute</w:t>
      </w:r>
      <w:r>
        <w:rPr>
          <w:rFonts w:ascii="Arial" w:cs="Arial" w:eastAsia="Arial" w:hAnsi="Arial"/>
          <w:sz w:val="22"/>
          <w:szCs w:val="22"/>
          <w:color w:val="auto"/>
        </w:rPr>
        <w:t>” is defined in Section 7.9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Reconciliation Procedures</w:t>
      </w:r>
      <w:r>
        <w:rPr>
          <w:rFonts w:ascii="Arial" w:cs="Arial" w:eastAsia="Arial" w:hAnsi="Arial"/>
          <w:sz w:val="22"/>
          <w:szCs w:val="22"/>
          <w:color w:val="auto"/>
        </w:rPr>
        <w:t>” is defined in Section 2.4(a)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Redemption</w:t>
      </w:r>
      <w:r>
        <w:rPr>
          <w:rFonts w:ascii="Arial" w:cs="Arial" w:eastAsia="Arial" w:hAnsi="Arial"/>
          <w:sz w:val="22"/>
          <w:szCs w:val="22"/>
          <w:color w:val="auto"/>
        </w:rPr>
        <w:t>” is defined in the recitals to this Agreement.</w:t>
      </w:r>
    </w:p>
    <w:p>
      <w:pPr>
        <w:spacing w:after="0" w:line="233" w:lineRule="exact"/>
        <w:rPr>
          <w:sz w:val="20"/>
          <w:szCs w:val="20"/>
          <w:color w:val="auto"/>
        </w:rPr>
      </w:pPr>
    </w:p>
    <w:p>
      <w:pPr>
        <w:ind w:right="320" w:firstLine="749"/>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Asset</w:t>
      </w:r>
      <w:r>
        <w:rPr>
          <w:rFonts w:ascii="Arial" w:cs="Arial" w:eastAsia="Arial" w:hAnsi="Arial"/>
          <w:sz w:val="22"/>
          <w:szCs w:val="22"/>
          <w:color w:val="auto"/>
        </w:rPr>
        <w:t>” means any tangible or intangible asset of any member of the LLC Group or any of their respective successors or assigns, at the time of the Reorganization Transactions or an Exchange, as applicable.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 Transactions</w:t>
      </w:r>
      <w:r>
        <w:rPr>
          <w:rFonts w:ascii="Arial" w:cs="Arial" w:eastAsia="Arial" w:hAnsi="Arial"/>
          <w:sz w:val="22"/>
          <w:szCs w:val="22"/>
          <w:color w:val="auto"/>
        </w:rPr>
        <w:t>” is defined in the recitals to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S-1</w:t>
      </w:r>
      <w:r>
        <w:rPr>
          <w:rFonts w:ascii="Arial" w:cs="Arial" w:eastAsia="Arial" w:hAnsi="Arial"/>
          <w:sz w:val="19"/>
          <w:szCs w:val="19"/>
          <w:color w:val="auto"/>
        </w:rPr>
        <w:t>” means the Form S-1 publicly filed by Definitive Healthcare Corp. on August 20, 2021, and any amendments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229" w:lineRule="exact"/>
        <w:rPr>
          <w:sz w:val="20"/>
          <w:szCs w:val="20"/>
          <w:color w:val="auto"/>
        </w:rPr>
      </w:pPr>
    </w:p>
    <w:p>
      <w:pPr>
        <w:ind w:right="8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w:t>
      </w:r>
      <w:r>
        <w:rPr>
          <w:rFonts w:ascii="Arial" w:cs="Arial" w:eastAsia="Arial" w:hAnsi="Arial"/>
          <w:sz w:val="22"/>
          <w:szCs w:val="22"/>
          <w:color w:val="auto"/>
        </w:rPr>
        <w:t>” means any of the following: (i) an Attribute Schedule, (ii) a Tax Benefit Schedule, or (iii) the Early Termination Schedule, and, in each case, any amendments thereto.</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734(b) Exchange</w:t>
      </w:r>
      <w:r>
        <w:rPr>
          <w:rFonts w:ascii="Arial" w:cs="Arial" w:eastAsia="Arial" w:hAnsi="Arial"/>
          <w:sz w:val="19"/>
          <w:szCs w:val="19"/>
          <w:color w:val="auto"/>
        </w:rPr>
        <w:t>” means any Exchange that results in a Basis Adjustment under Section 734(b) of the Code.</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Obligations</w:t>
      </w:r>
      <w:r>
        <w:rPr>
          <w:rFonts w:ascii="Arial" w:cs="Arial" w:eastAsia="Arial" w:hAnsi="Arial"/>
          <w:sz w:val="22"/>
          <w:szCs w:val="22"/>
          <w:color w:val="auto"/>
        </w:rPr>
        <w:t>” is defined in Section 5.1 of this Agreement.</w:t>
      </w:r>
    </w:p>
    <w:p>
      <w:pPr>
        <w:spacing w:after="0" w:line="233" w:lineRule="exact"/>
        <w:rPr>
          <w:sz w:val="20"/>
          <w:szCs w:val="20"/>
          <w:color w:val="auto"/>
        </w:rPr>
      </w:pPr>
    </w:p>
    <w:p>
      <w:pPr>
        <w:ind w:right="520"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Spectrum Fund</w:t>
      </w:r>
      <w:r>
        <w:rPr>
          <w:rFonts w:ascii="Arial" w:cs="Arial" w:eastAsia="Arial" w:hAnsi="Arial"/>
          <w:sz w:val="22"/>
          <w:szCs w:val="22"/>
          <w:color w:val="auto"/>
        </w:rPr>
        <w:t>” means, individually or collectively, any investment fund, co-investment vehicles and/or similar vehicles or accounts, in each case managed by an Affiliate of Spectrum Equity Management, L.P., or any of their respective successors.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Spectrum TRA Holder</w:t>
      </w:r>
      <w:r>
        <w:rPr>
          <w:rFonts w:ascii="Arial" w:cs="Arial" w:eastAsia="Arial" w:hAnsi="Arial"/>
          <w:sz w:val="22"/>
          <w:szCs w:val="22"/>
          <w:color w:val="auto"/>
        </w:rPr>
        <w:t>” means any Spectrum Fund that is a TRA Holder.</w:t>
      </w:r>
    </w:p>
    <w:p>
      <w:pPr>
        <w:spacing w:after="0" w:line="233" w:lineRule="exact"/>
        <w:rPr>
          <w:sz w:val="20"/>
          <w:szCs w:val="20"/>
          <w:color w:val="auto"/>
        </w:rPr>
      </w:pPr>
    </w:p>
    <w:p>
      <w:pPr>
        <w:ind w:right="44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Spectrum TRA Representative</w:t>
      </w:r>
      <w:r>
        <w:rPr>
          <w:rFonts w:ascii="Arial" w:cs="Arial" w:eastAsia="Arial" w:hAnsi="Arial"/>
          <w:sz w:val="22"/>
          <w:szCs w:val="22"/>
          <w:color w:val="auto"/>
        </w:rPr>
        <w:t>” means Spectrum Equity Management, L.P., or such other Person designated by the Spectrum TRA Holders.</w:t>
      </w:r>
    </w:p>
    <w:p>
      <w:pPr>
        <w:spacing w:after="0" w:line="174" w:lineRule="exact"/>
        <w:rPr>
          <w:sz w:val="20"/>
          <w:szCs w:val="20"/>
          <w:color w:val="auto"/>
        </w:rPr>
      </w:pPr>
    </w:p>
    <w:p>
      <w:pPr>
        <w:ind w:right="180" w:firstLine="749"/>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and as of the date of any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69" w:lineRule="exact"/>
        <w:rPr>
          <w:sz w:val="20"/>
          <w:szCs w:val="20"/>
          <w:color w:val="auto"/>
        </w:rPr>
      </w:pPr>
    </w:p>
    <w:p>
      <w:pPr>
        <w:ind w:right="22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Stock</w:t>
      </w:r>
      <w:r>
        <w:rPr>
          <w:rFonts w:ascii="Arial" w:cs="Arial" w:eastAsia="Arial" w:hAnsi="Arial"/>
          <w:sz w:val="22"/>
          <w:szCs w:val="22"/>
          <w:color w:val="auto"/>
        </w:rPr>
        <w:t>” means any stock or other equity interest in any Subsidiary of PubCo that is treated as a corporation for U.S. federal income tax purposes.</w:t>
      </w:r>
    </w:p>
    <w:p>
      <w:pPr>
        <w:spacing w:after="0" w:line="174"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U.S. federal, state, local and foreign taxes, assessments or similar charges that are based on or measured with respect to net income or profits, and any interest related to such Tax.</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77" w:name="page278"/>
    <w:bookmarkEnd w:id="277"/>
    <w:p>
      <w:pPr>
        <w:ind w:right="20" w:firstLine="749"/>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Attributes</w:t>
      </w:r>
      <w:r>
        <w:rPr>
          <w:rFonts w:ascii="Arial" w:cs="Arial" w:eastAsia="Arial" w:hAnsi="Arial"/>
          <w:sz w:val="21"/>
          <w:szCs w:val="21"/>
          <w:color w:val="auto"/>
        </w:rPr>
        <w:t xml:space="preserve">” means the (i) Blocker Attributes, (ii) Basis Adjustments and (iii) Imputed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it is intended that the provisions of this Agreement will not result in duplication among the respective Tax Attributes, and the definitions of each such Tax Attribute shall be consistently interpreted and applied in accordance with that intent. For the avoidance of doubt, Tax Attributes shall include any net operating loss carryforwards or similar attributes that are attributable to the Tax items described in clauses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the preceding sentence.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 Payment</w:t>
      </w:r>
      <w:r>
        <w:rPr>
          <w:rFonts w:ascii="Arial" w:cs="Arial" w:eastAsia="Arial" w:hAnsi="Arial"/>
          <w:sz w:val="22"/>
          <w:szCs w:val="22"/>
          <w:color w:val="auto"/>
        </w:rPr>
        <w:t>” is defined in Section 3.1(b)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 Schedule</w:t>
      </w:r>
      <w:r>
        <w:rPr>
          <w:rFonts w:ascii="Arial" w:cs="Arial" w:eastAsia="Arial" w:hAnsi="Arial"/>
          <w:sz w:val="22"/>
          <w:szCs w:val="22"/>
          <w:color w:val="auto"/>
        </w:rPr>
        <w:t>” is defined in Section 2.3(a) of this Agreement.</w:t>
      </w:r>
    </w:p>
    <w:p>
      <w:pPr>
        <w:spacing w:after="0" w:line="233" w:lineRule="exact"/>
        <w:rPr>
          <w:sz w:val="20"/>
          <w:szCs w:val="20"/>
          <w:color w:val="auto"/>
        </w:rPr>
      </w:pPr>
    </w:p>
    <w:p>
      <w:pPr>
        <w:ind w:right="120"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85" w:lineRule="exact"/>
        <w:rPr>
          <w:sz w:val="20"/>
          <w:szCs w:val="20"/>
          <w:color w:val="auto"/>
        </w:rPr>
      </w:pPr>
    </w:p>
    <w:p>
      <w:pPr>
        <w:ind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Year</w:t>
      </w:r>
      <w:r>
        <w:rPr>
          <w:rFonts w:ascii="Arial" w:cs="Arial" w:eastAsia="Arial" w:hAnsi="Arial"/>
          <w:sz w:val="22"/>
          <w:szCs w:val="22"/>
          <w:color w:val="auto"/>
        </w:rPr>
        <w:t>” means a taxable year of the Corporation as defined in Section 441(b) of the Code or comparable section of U.S. state or local Tax law, as applicable (and, therefore, for the avoidance of doubt, may include a period of less than 12 months for which a Tax Return is made), ending on or after the IPO Date.</w:t>
      </w:r>
    </w:p>
    <w:p>
      <w:pPr>
        <w:spacing w:after="0" w:line="185" w:lineRule="exact"/>
        <w:rPr>
          <w:sz w:val="20"/>
          <w:szCs w:val="20"/>
          <w:color w:val="auto"/>
        </w:rPr>
      </w:pPr>
    </w:p>
    <w:p>
      <w:pPr>
        <w:ind w:right="460" w:firstLine="749"/>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means any national, federal, state, county, municipal, or local government, or any subdivision, agency, commission or authority thereof, or any quasi- governmental body, or any other authority of any kind, exercising regulatory or other authority in relation to Tax matters.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Objection Notice</w:t>
      </w:r>
      <w:r>
        <w:rPr>
          <w:rFonts w:ascii="Arial" w:cs="Arial" w:eastAsia="Arial" w:hAnsi="Arial"/>
          <w:sz w:val="22"/>
          <w:szCs w:val="22"/>
          <w:color w:val="auto"/>
        </w:rPr>
        <w:t>” is defined in Section 4.2 of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 Holders</w:t>
      </w:r>
      <w:r>
        <w:rPr>
          <w:rFonts w:ascii="Arial" w:cs="Arial" w:eastAsia="Arial" w:hAnsi="Arial"/>
          <w:sz w:val="22"/>
          <w:szCs w:val="22"/>
          <w:color w:val="auto"/>
        </w:rPr>
        <w:t>” is defined in the preamble to this Agreement.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 Holder Representative</w:t>
      </w:r>
      <w:r>
        <w:rPr>
          <w:rFonts w:ascii="Arial" w:cs="Arial" w:eastAsia="Arial" w:hAnsi="Arial"/>
          <w:sz w:val="22"/>
          <w:szCs w:val="22"/>
          <w:color w:val="auto"/>
        </w:rPr>
        <w:t>” means:</w:t>
      </w:r>
    </w:p>
    <w:p>
      <w:pPr>
        <w:spacing w:after="0" w:line="233" w:lineRule="exact"/>
        <w:rPr>
          <w:sz w:val="20"/>
          <w:szCs w:val="20"/>
          <w:color w:val="auto"/>
        </w:rPr>
      </w:pPr>
    </w:p>
    <w:p>
      <w:pPr>
        <w:ind w:left="1940" w:hanging="435"/>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with respect to each 22C Fund, the 22C TRA Representative;</w:t>
      </w:r>
    </w:p>
    <w:p>
      <w:pPr>
        <w:spacing w:after="0" w:line="233" w:lineRule="exact"/>
        <w:rPr>
          <w:rFonts w:ascii="Arial" w:cs="Arial" w:eastAsia="Arial" w:hAnsi="Arial"/>
          <w:sz w:val="22"/>
          <w:szCs w:val="22"/>
          <w:color w:val="auto"/>
        </w:rPr>
      </w:pPr>
    </w:p>
    <w:p>
      <w:pPr>
        <w:ind w:left="1940" w:hanging="435"/>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with respect to each Advent Fund, the Advent TRA Representative;</w:t>
      </w:r>
    </w:p>
    <w:p>
      <w:pPr>
        <w:spacing w:after="0" w:line="233" w:lineRule="exact"/>
        <w:rPr>
          <w:rFonts w:ascii="Arial" w:cs="Arial" w:eastAsia="Arial" w:hAnsi="Arial"/>
          <w:sz w:val="22"/>
          <w:szCs w:val="22"/>
          <w:color w:val="auto"/>
        </w:rPr>
      </w:pPr>
    </w:p>
    <w:p>
      <w:pPr>
        <w:ind w:left="1940" w:hanging="435"/>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with respect to each Spectrum Fund, the Spectrum TRA Representative; and</w:t>
      </w:r>
    </w:p>
    <w:p>
      <w:pPr>
        <w:spacing w:after="0" w:line="233" w:lineRule="exact"/>
        <w:rPr>
          <w:rFonts w:ascii="Arial" w:cs="Arial" w:eastAsia="Arial" w:hAnsi="Arial"/>
          <w:sz w:val="22"/>
          <w:szCs w:val="22"/>
          <w:color w:val="auto"/>
        </w:rPr>
      </w:pPr>
    </w:p>
    <w:p>
      <w:pPr>
        <w:ind w:left="760" w:right="380" w:firstLine="745"/>
        <w:spacing w:after="0" w:line="262" w:lineRule="auto"/>
        <w:tabs>
          <w:tab w:leader="none" w:pos="194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with respect to all other TRA Holders, the Management TRA Representative. “</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xml:space="preserve"> means the United States of America.</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Units</w:t>
      </w:r>
      <w:r>
        <w:rPr>
          <w:rFonts w:ascii="Arial" w:cs="Arial" w:eastAsia="Arial" w:hAnsi="Arial"/>
          <w:sz w:val="22"/>
          <w:szCs w:val="22"/>
          <w:color w:val="auto"/>
        </w:rPr>
        <w:t>” is defined in the recitals to this Agreement.</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02" w:right="479" w:bottom="1440" w:gutter="0" w:footer="0" w:header="0"/>
        </w:sectPr>
      </w:pPr>
    </w:p>
    <w:bookmarkStart w:id="278" w:name="page279"/>
    <w:bookmarkEnd w:id="278"/>
    <w:p>
      <w:pPr>
        <w:ind w:right="200" w:firstLine="74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Assumptions</w:t>
      </w:r>
      <w:r>
        <w:rPr>
          <w:rFonts w:ascii="Arial" w:cs="Arial" w:eastAsia="Arial" w:hAnsi="Arial"/>
          <w:sz w:val="22"/>
          <w:szCs w:val="22"/>
          <w:color w:val="auto"/>
        </w:rPr>
        <w:t>” means, as of an Early Termination Effective Date, the assumptions that in each Taxable Year ending on or after such Early Termination Effective Date:</w:t>
      </w:r>
    </w:p>
    <w:p>
      <w:pPr>
        <w:spacing w:after="0" w:line="174" w:lineRule="exact"/>
        <w:rPr>
          <w:sz w:val="20"/>
          <w:szCs w:val="20"/>
          <w:color w:val="auto"/>
        </w:rPr>
      </w:pPr>
    </w:p>
    <w:p>
      <w:pPr>
        <w:ind w:left="760" w:right="20" w:firstLine="745"/>
        <w:spacing w:after="0" w:line="261" w:lineRule="auto"/>
        <w:tabs>
          <w:tab w:leader="none" w:pos="194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Corporation will have taxable income sufficient to fully utilize the Tax items arising from the Tax Attributes (other than any items addressed in clause (4) below) during such Taxable Year or future Taxable Years (including, for the avoidance of doubt, Basis Adjustments and Imputed Interest that would result from future payments made under this Agreement that would be paid in accordance with the Valuation Assumptions) in which such deductions would become available;</w:t>
      </w:r>
    </w:p>
    <w:p>
      <w:pPr>
        <w:spacing w:after="0" w:line="190" w:lineRule="exact"/>
        <w:rPr>
          <w:rFonts w:ascii="Arial" w:cs="Arial" w:eastAsia="Arial" w:hAnsi="Arial"/>
          <w:sz w:val="22"/>
          <w:szCs w:val="22"/>
          <w:color w:val="auto"/>
        </w:rPr>
      </w:pPr>
    </w:p>
    <w:p>
      <w:pPr>
        <w:ind w:left="760" w:firstLine="745"/>
        <w:spacing w:after="0" w:line="276" w:lineRule="auto"/>
        <w:tabs>
          <w:tab w:leader="none" w:pos="1941"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U.S. federal income tax rates that will be in effect for each such Taxable Year will be those specified for each such Taxable Year by the Code and other law as in effect on the Early Termination Effective Date, and the Assumed State and Local Tax Rate will be calculated based on such rates and the apportionment factor applicable for the Taxable Year that includes the Early Termination Effective Date, in each case, except to the extent any change to such Tax rates for such Taxable Year have already been enacted into law;</w:t>
      </w:r>
    </w:p>
    <w:p>
      <w:pPr>
        <w:spacing w:after="0" w:line="177" w:lineRule="exact"/>
        <w:rPr>
          <w:rFonts w:ascii="Arial" w:cs="Arial" w:eastAsia="Arial" w:hAnsi="Arial"/>
          <w:sz w:val="21"/>
          <w:szCs w:val="21"/>
          <w:color w:val="auto"/>
        </w:rPr>
      </w:pPr>
    </w:p>
    <w:p>
      <w:pPr>
        <w:ind w:left="760" w:right="200" w:firstLine="745"/>
        <w:spacing w:after="0" w:line="276" w:lineRule="auto"/>
        <w:tabs>
          <w:tab w:leader="none" w:pos="194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all taxable income of the Corporation will be subject to the maximum applicable U.S. federal income tax rates throughout the relevant period;</w:t>
      </w:r>
    </w:p>
    <w:p>
      <w:pPr>
        <w:spacing w:after="0" w:line="174" w:lineRule="exact"/>
        <w:rPr>
          <w:rFonts w:ascii="Arial" w:cs="Arial" w:eastAsia="Arial" w:hAnsi="Arial"/>
          <w:sz w:val="22"/>
          <w:szCs w:val="22"/>
          <w:color w:val="auto"/>
        </w:rPr>
      </w:pPr>
    </w:p>
    <w:p>
      <w:pPr>
        <w:ind w:left="760" w:firstLine="745"/>
        <w:spacing w:after="0" w:line="273" w:lineRule="auto"/>
        <w:tabs>
          <w:tab w:leader="none" w:pos="1941"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any Blocker Attributes described in clause (i) of the definition thereof, and any loss carryovers generated by deductions arising from any Tax Attributes or Imputed Interest that are available as of the date of such Early Termination Effective Date will be used by the Corporation on a pro rata basis from the date of such Early Termination Effective Date through the earlier of (x) the scheduled expiration date under applicable Tax law of such loss carryovers or (y) the fifth (5th) anniversary of the Early Termination Effective Date; provided, that any such loss carryovers or Blocker Attributes whose use by the Corporation would be limited by the Code (e.g., under Section 382 or 383 of the Code) or Treasury Regulations (other than any limitation resulting from a Change in Control) shall not be treated as used by the Corporation earlier than would be permitted thereunder;</w:t>
      </w:r>
    </w:p>
    <w:p>
      <w:pPr>
        <w:spacing w:after="0" w:line="178" w:lineRule="exact"/>
        <w:rPr>
          <w:rFonts w:ascii="Arial" w:cs="Arial" w:eastAsia="Arial" w:hAnsi="Arial"/>
          <w:sz w:val="21"/>
          <w:szCs w:val="21"/>
          <w:color w:val="auto"/>
        </w:rPr>
      </w:pPr>
    </w:p>
    <w:p>
      <w:pPr>
        <w:ind w:left="760" w:right="100" w:firstLine="745"/>
        <w:spacing w:after="0" w:line="271" w:lineRule="auto"/>
        <w:tabs>
          <w:tab w:leader="none" w:pos="1941"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any non-amortizable assets (other than Subsidiary Stock) will be disposed of on the earlier of (i) the fifteenth anniversary of the applicable Basis Adjustment (or, if such Basis Adjustment occurred more than fifteen years before the Early Termination Effective Date, the Early Termination Effective Date), and (ii) in the case of any Blocker Attributes described in clause (ii) of the definition thereof, the fifteenth anniversary of the IPO Date (or, if the IPO Date is more than fifteen years before the Early Termination Effective Date, the Early Termination Effective Date; provided that in the event of a Change of Control that includes the sale of any such non-amortizable asset in the Change of Control (or the sale of all of the equity interests in a partnership or disregarded entity for U.S. federal income tax purposes that directly or indirectly owns such non- amortizable asset), such non-amortizable asset shall be deemed disposed of at the time of the sale of the relevant asset in such Change of Control (if earlier than such fifteenth anniversary);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79" w:name="page280"/>
    <w:bookmarkEnd w:id="279"/>
    <w:p>
      <w:pPr>
        <w:ind w:left="760" w:right="320" w:firstLine="745"/>
        <w:spacing w:after="0" w:line="276" w:lineRule="auto"/>
        <w:tabs>
          <w:tab w:leader="none" w:pos="194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Subsidiary Stock will be deemed never to be disposed of except if such Subsidiary Stock is directly disposed of in the Change of Control; and</w:t>
      </w:r>
    </w:p>
    <w:p>
      <w:pPr>
        <w:spacing w:after="0" w:line="174" w:lineRule="exact"/>
        <w:rPr>
          <w:rFonts w:ascii="Arial" w:cs="Arial" w:eastAsia="Arial" w:hAnsi="Arial"/>
          <w:sz w:val="22"/>
          <w:szCs w:val="22"/>
          <w:color w:val="auto"/>
        </w:rPr>
      </w:pPr>
    </w:p>
    <w:p>
      <w:pPr>
        <w:ind w:left="760" w:right="20" w:firstLine="745"/>
        <w:spacing w:after="0" w:line="284" w:lineRule="auto"/>
        <w:tabs>
          <w:tab w:leader="none" w:pos="1941"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if, on the Early Termination Effective Date, there are Units that have not been Exchanged, then such Units shall be deemed to be Exchanged for the Market Value of the Class A Common Stock and the amount of cash that would be transferred if the Exchange occurred on the Early Termination Effective Date; and</w:t>
      </w:r>
    </w:p>
    <w:p>
      <w:pPr>
        <w:spacing w:after="0" w:line="168" w:lineRule="exact"/>
        <w:rPr>
          <w:rFonts w:ascii="Arial" w:cs="Arial" w:eastAsia="Arial" w:hAnsi="Arial"/>
          <w:sz w:val="21"/>
          <w:szCs w:val="21"/>
          <w:color w:val="auto"/>
        </w:rPr>
      </w:pPr>
    </w:p>
    <w:p>
      <w:pPr>
        <w:ind w:left="760" w:right="360" w:firstLine="745"/>
        <w:spacing w:after="0" w:line="276" w:lineRule="auto"/>
        <w:tabs>
          <w:tab w:leader="none" w:pos="194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payment obligations pursuant to this Agreement will be satisfied on the date that any Tax Return to which such payment obligation relates is required to be filed excluding any extensions.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otherwise specified herein:</w:t>
      </w:r>
    </w:p>
    <w:p>
      <w:pPr>
        <w:spacing w:after="0" w:line="233" w:lineRule="exact"/>
        <w:rPr>
          <w:sz w:val="20"/>
          <w:szCs w:val="20"/>
          <w:color w:val="auto"/>
        </w:rPr>
      </w:pPr>
    </w:p>
    <w:p>
      <w:pPr>
        <w:ind w:left="440" w:hanging="432"/>
        <w:spacing w:after="0"/>
        <w:tabs>
          <w:tab w:leader="none" w:pos="4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meanings of defined terms are equally applicable to the singular and plural forms of the defined terms.</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For purposes of interpretation of this Agreement:</w:t>
      </w:r>
    </w:p>
    <w:p>
      <w:pPr>
        <w:spacing w:after="0" w:line="233" w:lineRule="exact"/>
        <w:rPr>
          <w:sz w:val="20"/>
          <w:szCs w:val="20"/>
          <w:color w:val="auto"/>
        </w:rPr>
      </w:pPr>
    </w:p>
    <w:p>
      <w:pPr>
        <w:ind w:right="400" w:firstLine="8"/>
        <w:spacing w:after="0" w:line="276" w:lineRule="auto"/>
        <w:tabs>
          <w:tab w:leader="none" w:pos="43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hereto</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hereunder</w:t>
      </w:r>
      <w:r>
        <w:rPr>
          <w:rFonts w:ascii="Arial" w:cs="Arial" w:eastAsia="Arial" w:hAnsi="Arial"/>
          <w:sz w:val="22"/>
          <w:szCs w:val="22"/>
          <w:color w:val="auto"/>
        </w:rPr>
        <w:t>” and words of similar import when used in this Agreement shall refer to this Agreement as a whole and not to any particular provision thereof.</w:t>
      </w:r>
    </w:p>
    <w:p>
      <w:pPr>
        <w:spacing w:after="0" w:line="174" w:lineRule="exact"/>
        <w:rPr>
          <w:rFonts w:ascii="Arial" w:cs="Arial" w:eastAsia="Arial" w:hAnsi="Arial"/>
          <w:sz w:val="22"/>
          <w:szCs w:val="22"/>
          <w:color w:val="auto"/>
        </w:rPr>
      </w:pPr>
    </w:p>
    <w:p>
      <w:pPr>
        <w:ind w:right="300" w:firstLine="8"/>
        <w:spacing w:after="0" w:line="276" w:lineRule="auto"/>
        <w:tabs>
          <w:tab w:leader="none" w:pos="43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References in this Agreement to a Schedule, Article, Section, clause or sub-clause refer to the appropriate Schedule to, or Article, Section, clause or subclause in, this Agreement.</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References in this Agreement to “</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 to the lawful currency of the United States of America.</w:t>
      </w:r>
    </w:p>
    <w:p>
      <w:pPr>
        <w:spacing w:after="0" w:line="233" w:lineRule="exact"/>
        <w:rPr>
          <w:rFonts w:ascii="Arial" w:cs="Arial" w:eastAsia="Arial" w:hAnsi="Arial"/>
          <w:sz w:val="22"/>
          <w:szCs w:val="22"/>
          <w:color w:val="auto"/>
        </w:rPr>
      </w:pPr>
    </w:p>
    <w:p>
      <w:pPr>
        <w:ind w:left="440" w:hanging="432"/>
        <w:spacing w:after="0"/>
        <w:tabs>
          <w:tab w:leader="none" w:pos="4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including</w:t>
      </w:r>
      <w:r>
        <w:rPr>
          <w:rFonts w:ascii="Arial" w:cs="Arial" w:eastAsia="Arial" w:hAnsi="Arial"/>
          <w:sz w:val="22"/>
          <w:szCs w:val="22"/>
          <w:color w:val="auto"/>
        </w:rPr>
        <w:t>” is by way of example and not limitation.</w:t>
      </w:r>
    </w:p>
    <w:p>
      <w:pPr>
        <w:spacing w:after="0" w:line="233" w:lineRule="exact"/>
        <w:rPr>
          <w:rFonts w:ascii="Arial" w:cs="Arial" w:eastAsia="Arial" w:hAnsi="Arial"/>
          <w:sz w:val="22"/>
          <w:szCs w:val="22"/>
          <w:color w:val="auto"/>
        </w:rPr>
      </w:pPr>
    </w:p>
    <w:p>
      <w:pPr>
        <w:ind w:right="500" w:firstLine="8"/>
        <w:spacing w:after="0" w:line="276" w:lineRule="auto"/>
        <w:tabs>
          <w:tab w:leader="none" w:pos="43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documents</w:t>
      </w:r>
      <w:r>
        <w:rPr>
          <w:rFonts w:ascii="Arial" w:cs="Arial" w:eastAsia="Arial" w:hAnsi="Arial"/>
          <w:sz w:val="22"/>
          <w:szCs w:val="22"/>
          <w:color w:val="auto"/>
        </w:rPr>
        <w:t>” includes any and all instruments, documents, agreements, certificates, notices, reports, financial statements and other writings, however evidenced, whether in physical or electronic form.</w:t>
      </w:r>
    </w:p>
    <w:p>
      <w:pPr>
        <w:spacing w:after="0" w:line="174" w:lineRule="exact"/>
        <w:rPr>
          <w:sz w:val="20"/>
          <w:szCs w:val="20"/>
          <w:color w:val="auto"/>
        </w:rPr>
      </w:pPr>
    </w:p>
    <w:p>
      <w:pPr>
        <w:ind w:right="540" w:firstLine="8"/>
        <w:spacing w:after="0" w:line="358" w:lineRule="auto"/>
        <w:tabs>
          <w:tab w:leader="none" w:pos="43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right="800" w:firstLine="8"/>
        <w:spacing w:after="0" w:line="276" w:lineRule="auto"/>
        <w:tabs>
          <w:tab w:leader="none" w:pos="43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Section headings herein are included for convenience of reference only and shall not affect the interpretation of this Agreement.</w:t>
      </w:r>
    </w:p>
    <w:p>
      <w:pPr>
        <w:spacing w:after="0" w:line="174" w:lineRule="exact"/>
        <w:rPr>
          <w:rFonts w:ascii="Arial" w:cs="Arial" w:eastAsia="Arial" w:hAnsi="Arial"/>
          <w:sz w:val="22"/>
          <w:szCs w:val="22"/>
          <w:color w:val="auto"/>
        </w:rPr>
      </w:pPr>
    </w:p>
    <w:p>
      <w:pPr>
        <w:ind w:firstLine="8"/>
        <w:spacing w:after="0" w:line="261" w:lineRule="auto"/>
        <w:tabs>
          <w:tab w:leader="none" w:pos="43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Unless otherwise expressly provided herein, (a) references to organization documents (including the LLC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hereby; and (b) references to any law (including the Code and the Treasury Regulations) shall include all</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statutory and regulatory provisions consolidating, amending, replacing, supplementing or interpreting such law.</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DETERMINATION OF REALIZED TAX BENEFIT</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Basis Adjustments; LLC 754 Election</w:t>
      </w:r>
      <w:r>
        <w:rPr>
          <w:rFonts w:ascii="Arial" w:cs="Arial" w:eastAsia="Arial" w:hAnsi="Arial"/>
          <w:sz w:val="19"/>
          <w:szCs w:val="19"/>
          <w:color w:val="auto"/>
        </w:rPr>
        <w:t>.</w:t>
      </w:r>
    </w:p>
    <w:p>
      <w:pPr>
        <w:spacing w:after="0" w:line="233" w:lineRule="exact"/>
        <w:rPr>
          <w:sz w:val="20"/>
          <w:szCs w:val="20"/>
          <w:color w:val="auto"/>
        </w:rPr>
      </w:pPr>
    </w:p>
    <w:p>
      <w:pPr>
        <w:ind w:firstLine="8"/>
        <w:spacing w:after="0" w:line="274" w:lineRule="auto"/>
        <w:tabs>
          <w:tab w:leader="none" w:pos="432"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Basis Adjustments</w:t>
      </w:r>
      <w:r>
        <w:rPr>
          <w:rFonts w:ascii="Arial" w:cs="Arial" w:eastAsia="Arial" w:hAnsi="Arial"/>
          <w:sz w:val="21"/>
          <w:szCs w:val="21"/>
          <w:color w:val="auto"/>
        </w:rPr>
        <w:t>. The Parties acknowledge and agree that (A) the Initial Sales and each Direct Exchange shall give rise to Basis Adjustments and (B) each Redemption using Class A Common Stock contributed to the LLC by PubCo shall be treated as a direct purchase of Units by PubCo from the applicable TRA Holder pursuant to Section 707(a)(2)(B) of the Code that shall give rise to Basis Adjustments. For the avoidance of doubt, payments made under this Agreement shall not be treated as resulting in a Basis Adjustment to the extent that such payments are treated as deductible interest for U.S. federal income tax purposes or as other than consideration for Units for U.S. federal income tax purposes.</w:t>
      </w:r>
    </w:p>
    <w:p>
      <w:pPr>
        <w:spacing w:after="0" w:line="181" w:lineRule="exact"/>
        <w:rPr>
          <w:rFonts w:ascii="Arial" w:cs="Arial" w:eastAsia="Arial" w:hAnsi="Arial"/>
          <w:sz w:val="21"/>
          <w:szCs w:val="21"/>
          <w:color w:val="auto"/>
        </w:rPr>
      </w:pPr>
    </w:p>
    <w:p>
      <w:pPr>
        <w:ind w:right="20" w:firstLine="8"/>
        <w:spacing w:after="0" w:line="266" w:lineRule="auto"/>
        <w:tabs>
          <w:tab w:leader="none" w:pos="432"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Section 754 Election</w:t>
      </w:r>
      <w:r>
        <w:rPr>
          <w:rFonts w:ascii="Arial" w:cs="Arial" w:eastAsia="Arial" w:hAnsi="Arial"/>
          <w:sz w:val="22"/>
          <w:szCs w:val="22"/>
          <w:color w:val="auto"/>
        </w:rPr>
        <w:t>. PubCo shall cause the LLC and each of its Subsidiaries that is treated as a partnership for U.S. federal income tax purposes to have in effect an election under Section 754 of the Code and any similar provisions of U.S. state or local tax law for each Taxable Year.</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Attribute Schedules</w:t>
      </w:r>
      <w:r>
        <w:rPr>
          <w:rFonts w:ascii="Arial" w:cs="Arial" w:eastAsia="Arial" w:hAnsi="Arial"/>
          <w:sz w:val="19"/>
          <w:szCs w:val="19"/>
          <w:color w:val="auto"/>
        </w:rPr>
        <w:t>. Within one hundred and twenty (120) calendar days after the due date (including extensions) of the U.S. federal income Tax Return of the Corporation for each relevant Taxable Year, PubCo shall deliver to the applicable TRA Holder Representative, a schedule (the “</w:t>
      </w:r>
      <w:r>
        <w:rPr>
          <w:rFonts w:ascii="Arial" w:cs="Arial" w:eastAsia="Arial" w:hAnsi="Arial"/>
          <w:sz w:val="19"/>
          <w:szCs w:val="19"/>
          <w:u w:val="single" w:color="auto"/>
          <w:color w:val="auto"/>
        </w:rPr>
        <w:t>Attribute Schedule</w:t>
      </w:r>
      <w:r>
        <w:rPr>
          <w:rFonts w:ascii="Arial" w:cs="Arial" w:eastAsia="Arial" w:hAnsi="Arial"/>
          <w:sz w:val="19"/>
          <w:szCs w:val="19"/>
          <w:color w:val="auto"/>
        </w:rPr>
        <w:t>”) that shows, in reasonable detail as necessary in order to understand the calculations performed under this Agreement: (a) the Basis Adjustments with respect to the Reference Assets in respect of each applicable TRA Holder as a result of the relevant Exchanges effected in such Taxable Year or any prior Taxable Year by such TRA Holder, if any, calculated in the aggregate; (b) the period (or periods) over which the Basis Adjustments with respect to the Reference Assets in respect of such TRA Holder are amortizable and/or depreciable and (c) the amount of Blocker Attributes available to the Corporation in such Taxable Year in respect of each applicable TRA Holder and the period (or periods) over which such Blocker Attributes are usable. The Attribute Schedule shall also list any limitations on the ability of the Corporation to utilize any Tax Attributes under applicable laws (including as a result of the operation of Section 382 of the Code or Section 383 of the Code). The Attribute Schedule will become final and binding pursuant to the procedures set forth in Section 2.4(a) and may be amended pursuant to the procedures set forth in Section 2.4(b).</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Tax Benefit Schedules</w:t>
      </w:r>
      <w:r>
        <w:rPr>
          <w:rFonts w:ascii="Arial" w:cs="Arial" w:eastAsia="Arial" w:hAnsi="Arial"/>
          <w:sz w:val="19"/>
          <w:szCs w:val="19"/>
          <w:color w:val="auto"/>
        </w:rPr>
        <w:t>.</w:t>
      </w:r>
    </w:p>
    <w:p>
      <w:pPr>
        <w:spacing w:after="0" w:line="233" w:lineRule="exact"/>
        <w:rPr>
          <w:sz w:val="20"/>
          <w:szCs w:val="20"/>
          <w:color w:val="auto"/>
        </w:rPr>
      </w:pPr>
    </w:p>
    <w:p>
      <w:pPr>
        <w:ind w:right="40" w:firstLine="8"/>
        <w:spacing w:after="0" w:line="276" w:lineRule="auto"/>
        <w:tabs>
          <w:tab w:leader="none" w:pos="432"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Tax Benefit Schedule</w:t>
      </w:r>
      <w:r>
        <w:rPr>
          <w:rFonts w:ascii="Arial" w:cs="Arial" w:eastAsia="Arial" w:hAnsi="Arial"/>
          <w:sz w:val="21"/>
          <w:szCs w:val="21"/>
          <w:color w:val="auto"/>
        </w:rPr>
        <w:t>. Within one hundred and twenty (120) calendar days after the due date (including extensions) of the U.S. federal income Tax Return of the Corporation for any Taxable Year in which there is a Realized Tax Benefit or Realized Tax Detriment Attributable to a TRA Holder, PubCo shall provide to the applicable TRA Holder Representative a schedule showing, in reasonable detail, the calculation of the Realized Tax Benefit or Realized Tax Detriment for such Taxable Year for such TRA Holder (a “</w:t>
      </w:r>
      <w:r>
        <w:rPr>
          <w:rFonts w:ascii="Arial" w:cs="Arial" w:eastAsia="Arial" w:hAnsi="Arial"/>
          <w:sz w:val="21"/>
          <w:szCs w:val="21"/>
          <w:u w:val="single" w:color="auto"/>
          <w:color w:val="auto"/>
        </w:rPr>
        <w:t>Tax Benefit Schedule</w:t>
      </w:r>
      <w:r>
        <w:rPr>
          <w:rFonts w:ascii="Arial" w:cs="Arial" w:eastAsia="Arial" w:hAnsi="Arial"/>
          <w:sz w:val="21"/>
          <w:szCs w:val="21"/>
          <w:color w:val="auto"/>
        </w:rPr>
        <w:t>”). Each Tax</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1" w:name="page282"/>
    <w:bookmarkEnd w:id="281"/>
    <w:p>
      <w:pPr>
        <w:ind w:right="540"/>
        <w:spacing w:after="0" w:line="276" w:lineRule="auto"/>
        <w:rPr>
          <w:sz w:val="20"/>
          <w:szCs w:val="20"/>
          <w:color w:val="auto"/>
        </w:rPr>
      </w:pPr>
      <w:r>
        <w:rPr>
          <w:rFonts w:ascii="Arial" w:cs="Arial" w:eastAsia="Arial" w:hAnsi="Arial"/>
          <w:sz w:val="22"/>
          <w:szCs w:val="22"/>
          <w:color w:val="auto"/>
        </w:rPr>
        <w:t>Benefit Schedule will become final and binding pursuant to the procedures set forth in Section 2.4(a), and may be amended pursuant to the procedures set forth in Section 2.4(b).</w:t>
      </w:r>
    </w:p>
    <w:p>
      <w:pPr>
        <w:spacing w:after="0" w:line="174" w:lineRule="exact"/>
        <w:rPr>
          <w:sz w:val="20"/>
          <w:szCs w:val="20"/>
          <w:color w:val="auto"/>
        </w:rPr>
      </w:pPr>
    </w:p>
    <w:p>
      <w:pPr>
        <w:ind w:left="440" w:hanging="432"/>
        <w:spacing w:after="0"/>
        <w:tabs>
          <w:tab w:leader="none" w:pos="440"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Applicable Principles</w:t>
      </w:r>
      <w:r>
        <w:rPr>
          <w:rFonts w:ascii="Arial" w:cs="Arial" w:eastAsia="Arial" w:hAnsi="Arial"/>
          <w:sz w:val="22"/>
          <w:szCs w:val="22"/>
          <w:color w:val="auto"/>
        </w:rPr>
        <w:t>.</w:t>
      </w:r>
    </w:p>
    <w:p>
      <w:pPr>
        <w:spacing w:after="0" w:line="233" w:lineRule="exact"/>
        <w:rPr>
          <w:sz w:val="20"/>
          <w:szCs w:val="20"/>
          <w:color w:val="auto"/>
        </w:rPr>
      </w:pPr>
    </w:p>
    <w:p>
      <w:pPr>
        <w:ind w:right="20" w:firstLine="8"/>
        <w:spacing w:after="0" w:line="301" w:lineRule="auto"/>
        <w:tabs>
          <w:tab w:leader="none" w:pos="432"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Section 3.3, the Realized Tax Benefit (or the Realized Tax Detriment) for each Taxable Year is intended to measure the decrease (or increase) in the actual liability for Taxes of the Corporation for such Taxable Year attributable to the Tax Attributes, determined using a “with and without” methodology. Carryovers or carrybacks of any Tax item attributable to any of the Tax Attributes shall be considered to be subject to the rules of the Code and the Treasury Regulations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The parties agree that (A) all Tax Benefit Payments (other than Imputed Interest thereon) attributable to Blocker Attributes will be treated as non-qualifying property or money received in connection with the Blocker Mergers for purposes of Section 356 of the Code, (B) all Tax Benefit Payments (other than Imputed Interest thereon) attributable to Basis Adjustments will be treated as subsequent upward purchase price adjustments with respect to the Units exchanged in the applicable Exchange that have the effect of creating additional Basis Adjustments to Reference Assets for the Corporation in the year of payment, (C) as a result, any additional Basis Adjustments will be incorporated into the current year calculation and into future year calculations, as appropriate, and (D) the Actual Tax Liability will take into account the deduction of the portion of the Tax Benefit Payment that must be accounted for as Imputed Interest.</w:t>
      </w:r>
    </w:p>
    <w:p>
      <w:pPr>
        <w:spacing w:after="0" w:line="159" w:lineRule="exact"/>
        <w:rPr>
          <w:rFonts w:ascii="Arial" w:cs="Arial" w:eastAsia="Arial" w:hAnsi="Arial"/>
          <w:sz w:val="19"/>
          <w:szCs w:val="19"/>
          <w:color w:val="auto"/>
        </w:rPr>
      </w:pPr>
    </w:p>
    <w:p>
      <w:pPr>
        <w:ind w:right="120" w:firstLine="8"/>
        <w:spacing w:after="0" w:line="327" w:lineRule="auto"/>
        <w:tabs>
          <w:tab w:leader="none" w:pos="432"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Applicable Principles of Section 734(b) Exchanges</w:t>
      </w:r>
      <w:r>
        <w:rPr>
          <w:rFonts w:ascii="Arial" w:cs="Arial" w:eastAsia="Arial" w:hAnsi="Arial"/>
          <w:sz w:val="19"/>
          <w:szCs w:val="19"/>
          <w:color w:val="auto"/>
        </w:rPr>
        <w:t>. Notwithstanding any provisions to the contrary in this Agreement, the foregoing treatment set out in clause (B) of the final sentence of Section 2.3(b)(i) shall not be required to apply to payments hereunder to a TRA Holder in respect of a Section 734(b) Exchange by such Exchange TRA Holder.</w:t>
      </w:r>
    </w:p>
    <w:p>
      <w:pPr>
        <w:spacing w:after="0" w:line="13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Procedures; Amendments</w:t>
      </w:r>
      <w:r>
        <w:rPr>
          <w:rFonts w:ascii="Arial" w:cs="Arial" w:eastAsia="Arial" w:hAnsi="Arial"/>
          <w:sz w:val="19"/>
          <w:szCs w:val="19"/>
          <w:color w:val="auto"/>
        </w:rPr>
        <w:t>.</w:t>
      </w:r>
    </w:p>
    <w:p>
      <w:pPr>
        <w:spacing w:after="0" w:line="233" w:lineRule="exact"/>
        <w:rPr>
          <w:sz w:val="20"/>
          <w:szCs w:val="20"/>
          <w:color w:val="auto"/>
        </w:rPr>
      </w:pPr>
    </w:p>
    <w:p>
      <w:pPr>
        <w:ind w:firstLine="8"/>
        <w:spacing w:after="0" w:line="302" w:lineRule="auto"/>
        <w:tabs>
          <w:tab w:leader="none" w:pos="432"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Procedures</w:t>
      </w:r>
      <w:r>
        <w:rPr>
          <w:rFonts w:ascii="Arial" w:cs="Arial" w:eastAsia="Arial" w:hAnsi="Arial"/>
          <w:sz w:val="19"/>
          <w:szCs w:val="19"/>
          <w:color w:val="auto"/>
        </w:rPr>
        <w:t>. Each time PubCo delivers an applicable Schedule to the TRA Holder Representatives under this Agreement, including any Amended Schedule, PubCo shall also: (x) deliver supporting schedules and work papers reasonably requested by a TRA Holder Representative that are reasonably necessary in order to understand the calculations that were relevant for purposes of preparing the Schedule; and (y) allow the TRA Holder Representatives and their advisors to have reasonable access to the appropriate representatives, as determined by PubCo or as reasonably requested by a TRA Holder Representative, at PubCo in connection with a review of such Schedule. Without limiting the generality of the preceding sentence, PubCo shall ensure that any Tax Benefit Schedule that is delivered to the TRA Holder Representatives provides a reasonably detailed presentation of the calculation of the Actual Tax Liability (the “</w:t>
      </w:r>
      <w:r>
        <w:rPr>
          <w:rFonts w:ascii="Arial" w:cs="Arial" w:eastAsia="Arial" w:hAnsi="Arial"/>
          <w:sz w:val="19"/>
          <w:szCs w:val="19"/>
          <w:u w:val="single" w:color="auto"/>
          <w:color w:val="auto"/>
        </w:rPr>
        <w:t>with</w:t>
      </w:r>
      <w:r>
        <w:rPr>
          <w:rFonts w:ascii="Arial" w:cs="Arial" w:eastAsia="Arial" w:hAnsi="Arial"/>
          <w:sz w:val="19"/>
          <w:szCs w:val="19"/>
          <w:color w:val="auto"/>
        </w:rPr>
        <w:t>” calculation) and the Hypothetical Tax Liability of the Corporation (the “</w:t>
      </w:r>
      <w:r>
        <w:rPr>
          <w:rFonts w:ascii="Arial" w:cs="Arial" w:eastAsia="Arial" w:hAnsi="Arial"/>
          <w:sz w:val="19"/>
          <w:szCs w:val="19"/>
          <w:u w:val="single" w:color="auto"/>
          <w:color w:val="auto"/>
        </w:rPr>
        <w:t>without</w:t>
      </w:r>
      <w:r>
        <w:rPr>
          <w:rFonts w:ascii="Arial" w:cs="Arial" w:eastAsia="Arial" w:hAnsi="Arial"/>
          <w:sz w:val="19"/>
          <w:szCs w:val="19"/>
          <w:color w:val="auto"/>
        </w:rPr>
        <w:t>” calculation), and identifies any material assumptions or operating procedures or principles that were used for purposes of such calculations. An applicable Schedule or amendment thereto shall become final and binding on the Parties thirty (30) calendar days from the date on which the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82" w:name="page283"/>
    <w:bookmarkEnd w:id="282"/>
    <w:p>
      <w:pPr>
        <w:ind w:right="1320"/>
        <w:spacing w:after="0" w:line="276" w:lineRule="auto"/>
        <w:rPr>
          <w:sz w:val="20"/>
          <w:szCs w:val="20"/>
          <w:color w:val="auto"/>
        </w:rPr>
      </w:pPr>
      <w:r>
        <w:rPr>
          <w:rFonts w:ascii="Arial" w:cs="Arial" w:eastAsia="Arial" w:hAnsi="Arial"/>
          <w:sz w:val="22"/>
          <w:szCs w:val="22"/>
          <w:color w:val="auto"/>
        </w:rPr>
        <w:t>TRA Holder Representatives first received the applicable Schedule or amendment thereto unless any TRA Holder Representative:</w:t>
      </w:r>
    </w:p>
    <w:p>
      <w:pPr>
        <w:spacing w:after="0" w:line="174" w:lineRule="exact"/>
        <w:rPr>
          <w:sz w:val="20"/>
          <w:szCs w:val="20"/>
          <w:color w:val="auto"/>
        </w:rPr>
      </w:pPr>
    </w:p>
    <w:p>
      <w:pPr>
        <w:jc w:val="both"/>
        <w:ind w:right="60" w:firstLine="8"/>
        <w:spacing w:after="0" w:line="266" w:lineRule="auto"/>
        <w:tabs>
          <w:tab w:leader="none" w:pos="43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within thirty (30) calendar days after receiving the applicable Schedule or amendment thereto, provides PubCo with written notice of a material objection to such Schedule that is made in good faith and that sets forth in reasonable detail the TRA Holder Representative’s material objection (an “</w:t>
      </w:r>
      <w:r>
        <w:rPr>
          <w:rFonts w:ascii="Arial" w:cs="Arial" w:eastAsia="Arial" w:hAnsi="Arial"/>
          <w:sz w:val="22"/>
          <w:szCs w:val="22"/>
          <w:u w:val="single" w:color="auto"/>
          <w:color w:val="auto"/>
        </w:rPr>
        <w:t>Objection Notice</w:t>
      </w:r>
      <w:r>
        <w:rPr>
          <w:rFonts w:ascii="Arial" w:cs="Arial" w:eastAsia="Arial" w:hAnsi="Arial"/>
          <w:sz w:val="22"/>
          <w:szCs w:val="22"/>
          <w:color w:val="auto"/>
        </w:rPr>
        <w:t>”) or</w:t>
      </w:r>
    </w:p>
    <w:p>
      <w:pPr>
        <w:spacing w:after="0" w:line="184" w:lineRule="exact"/>
        <w:rPr>
          <w:rFonts w:ascii="Arial" w:cs="Arial" w:eastAsia="Arial" w:hAnsi="Arial"/>
          <w:sz w:val="22"/>
          <w:szCs w:val="22"/>
          <w:color w:val="auto"/>
        </w:rPr>
      </w:pPr>
    </w:p>
    <w:p>
      <w:pPr>
        <w:jc w:val="both"/>
        <w:ind w:right="140" w:firstLine="8"/>
        <w:spacing w:after="0" w:line="266" w:lineRule="auto"/>
        <w:tabs>
          <w:tab w:leader="none" w:pos="43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provides a written waiver of its right to deliver an Objection Notice within the time period described in clause (i) above, in which case such Schedule or amendment thereto becomes binding on the date the waiver from the TRA Holder Representatives is received by PubCo.</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22"/>
          <w:szCs w:val="22"/>
          <w:color w:val="auto"/>
        </w:rPr>
        <w:t>If PubCo and the relevant TRA Holder Representative, for any reason, are unable to successfully resolve the issues raised in the Objection Notice within thirty (30) calendar days after receipt by PubCo of the Objection Notice, PubCo and the relevant TRA Holder Representative shall employ the reconciliation procedures as described in Section 7.9 of this Agreement (the “</w:t>
      </w:r>
      <w:r>
        <w:rPr>
          <w:rFonts w:ascii="Arial" w:cs="Arial" w:eastAsia="Arial" w:hAnsi="Arial"/>
          <w:sz w:val="22"/>
          <w:szCs w:val="22"/>
          <w:u w:val="single" w:color="auto"/>
          <w:color w:val="auto"/>
        </w:rPr>
        <w:t>Reconciliation Procedures</w:t>
      </w:r>
      <w:r>
        <w:rPr>
          <w:rFonts w:ascii="Arial" w:cs="Arial" w:eastAsia="Arial" w:hAnsi="Arial"/>
          <w:sz w:val="22"/>
          <w:szCs w:val="22"/>
          <w:color w:val="auto"/>
        </w:rPr>
        <w:t>”).</w:t>
      </w:r>
    </w:p>
    <w:p>
      <w:pPr>
        <w:spacing w:after="0" w:line="83" w:lineRule="exact"/>
        <w:rPr>
          <w:sz w:val="20"/>
          <w:szCs w:val="20"/>
          <w:color w:val="auto"/>
        </w:rPr>
      </w:pPr>
    </w:p>
    <w:p>
      <w:pPr>
        <w:ind w:right="20" w:firstLine="8"/>
        <w:spacing w:after="0" w:line="303" w:lineRule="auto"/>
        <w:tabs>
          <w:tab w:leader="none" w:pos="432"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Amended Schedule</w:t>
      </w:r>
      <w:r>
        <w:rPr>
          <w:rFonts w:ascii="Arial" w:cs="Arial" w:eastAsia="Arial" w:hAnsi="Arial"/>
          <w:sz w:val="19"/>
          <w:szCs w:val="19"/>
          <w:color w:val="auto"/>
        </w:rPr>
        <w:t>. The applicable Schedule for any Taxable Year shall be amended from time to time by PubCo: (i) in connection with a Determination affecting such Schedule; (ii) to correct material inaccuracies in the Schedule identified as a result of the receipt of additional factual information relating to a Taxable Year after the date the Schedule was originally provided to the TRA Holder Representatives; (iii) to comply with an Expert’s determination under the Reconciliation Procedures applicable to this Agreement;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Attribute Schedule to take into account any Tax Benefit Payments made pursuant to this Agreement (any such Schedule, an “</w:t>
      </w:r>
      <w:r>
        <w:rPr>
          <w:rFonts w:ascii="Arial" w:cs="Arial" w:eastAsia="Arial" w:hAnsi="Arial"/>
          <w:sz w:val="19"/>
          <w:szCs w:val="19"/>
          <w:u w:val="single" w:color="auto"/>
          <w:color w:val="auto"/>
        </w:rPr>
        <w:t>Amended Schedule</w:t>
      </w:r>
      <w:r>
        <w:rPr>
          <w:rFonts w:ascii="Arial" w:cs="Arial" w:eastAsia="Arial" w:hAnsi="Arial"/>
          <w:sz w:val="19"/>
          <w:szCs w:val="19"/>
          <w:color w:val="auto"/>
        </w:rPr>
        <w:t>”). PubCo shall provide an Amended Schedule to each TRA Holder Representative when PubCo delivers the Attribute Schedule for the following Taxable Year.</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TAX BENEFIT PAYMENTS</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Timing and Amount of Tax Benefit Payments</w:t>
      </w:r>
      <w:r>
        <w:rPr>
          <w:rFonts w:ascii="Arial" w:cs="Arial" w:eastAsia="Arial" w:hAnsi="Arial"/>
          <w:sz w:val="19"/>
          <w:szCs w:val="19"/>
          <w:color w:val="auto"/>
        </w:rPr>
        <w:t>.</w:t>
      </w:r>
    </w:p>
    <w:p>
      <w:pPr>
        <w:spacing w:after="0" w:line="233" w:lineRule="exact"/>
        <w:rPr>
          <w:sz w:val="20"/>
          <w:szCs w:val="20"/>
          <w:color w:val="auto"/>
        </w:rPr>
      </w:pPr>
    </w:p>
    <w:p>
      <w:pPr>
        <w:ind w:firstLine="8"/>
        <w:spacing w:after="0" w:line="272" w:lineRule="auto"/>
        <w:tabs>
          <w:tab w:leader="none" w:pos="432"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Timing of Payments</w:t>
      </w:r>
      <w:r>
        <w:rPr>
          <w:rFonts w:ascii="Arial" w:cs="Arial" w:eastAsia="Arial" w:hAnsi="Arial"/>
          <w:sz w:val="21"/>
          <w:szCs w:val="21"/>
          <w:color w:val="auto"/>
        </w:rPr>
        <w:t>. Within five (5) calendar days following the date on which each Tax Benefit Schedule that is required to be delivered by PubCo to the TRA Holder Representatives pursuant to Section 2.3(a) of this Agreement becomes final in accordance with Section 2.4(a) of this Agreement, PubCo shall pay to each relevant TRA Holder the Tax Benefit Payment as determined pursuant to Section 3.1(b). Each such Tax Benefit Payment shall be made by wire transfer of immediately available funds to the bank account previously designated by such TRA Holder or as otherwise agreed by PubCo and such TRA Holder. For the avoidance of doubt, the TRA Holders shall not be required under any circumstances to return any portion of any Tax Benefit Payment previously paid by PubCo to the TRA Holders (including any portion of any Early Termination Payment). For purposes of this Agreement, and also for the avoidance of doubt, (x) no Tax Benefit Payment shall be required to be calculated or made in respect of any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283" w:name="page284"/>
    <w:bookmarkEnd w:id="283"/>
    <w:p>
      <w:pPr>
        <w:ind w:right="400"/>
        <w:spacing w:after="0" w:line="276" w:lineRule="auto"/>
        <w:rPr>
          <w:sz w:val="20"/>
          <w:szCs w:val="20"/>
          <w:color w:val="auto"/>
        </w:rPr>
      </w:pPr>
      <w:r>
        <w:rPr>
          <w:rFonts w:ascii="Arial" w:cs="Arial" w:eastAsia="Arial" w:hAnsi="Arial"/>
          <w:sz w:val="22"/>
          <w:szCs w:val="22"/>
          <w:color w:val="auto"/>
        </w:rPr>
        <w:t>estimated Tax payments, including, without limitation, any estimated U.S. federal income tax payments and (y) the payments provided for pursuant to this Section 3.1(a) shall be computed separately for each TRA Holder.</w:t>
      </w:r>
    </w:p>
    <w:p>
      <w:pPr>
        <w:spacing w:after="0" w:line="174" w:lineRule="exact"/>
        <w:rPr>
          <w:sz w:val="20"/>
          <w:szCs w:val="20"/>
          <w:color w:val="auto"/>
        </w:rPr>
      </w:pPr>
    </w:p>
    <w:p>
      <w:pPr>
        <w:ind w:right="140" w:firstLine="8"/>
        <w:spacing w:after="0" w:line="284" w:lineRule="auto"/>
        <w:tabs>
          <w:tab w:leader="none" w:pos="432"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Amount of Payments</w:t>
      </w:r>
      <w:r>
        <w:rPr>
          <w:rFonts w:ascii="Arial" w:cs="Arial" w:eastAsia="Arial" w:hAnsi="Arial"/>
          <w:sz w:val="21"/>
          <w:szCs w:val="21"/>
          <w:color w:val="auto"/>
        </w:rPr>
        <w:t>. For purposes of this Agreement, a “</w:t>
      </w:r>
      <w:r>
        <w:rPr>
          <w:rFonts w:ascii="Arial" w:cs="Arial" w:eastAsia="Arial" w:hAnsi="Arial"/>
          <w:sz w:val="21"/>
          <w:szCs w:val="21"/>
          <w:u w:val="single" w:color="auto"/>
          <w:color w:val="auto"/>
        </w:rPr>
        <w:t>Tax Benefit Payment</w:t>
      </w:r>
      <w:r>
        <w:rPr>
          <w:rFonts w:ascii="Arial" w:cs="Arial" w:eastAsia="Arial" w:hAnsi="Arial"/>
          <w:sz w:val="21"/>
          <w:szCs w:val="21"/>
          <w:color w:val="auto"/>
        </w:rPr>
        <w:t>” with respect to any TRA Holder for a Taxable Year means an amount, not less than zero, equal to the sum of: (i) the portion of the Net Tax Benefit that is Attributable to such TRA Holder; and (ii) the Actual Interest Amount with respect to the Net Tax Benefit described in (i).</w:t>
      </w:r>
    </w:p>
    <w:p>
      <w:pPr>
        <w:spacing w:after="0" w:line="169" w:lineRule="exact"/>
        <w:rPr>
          <w:sz w:val="20"/>
          <w:szCs w:val="20"/>
          <w:color w:val="auto"/>
        </w:rPr>
      </w:pPr>
    </w:p>
    <w:p>
      <w:pPr>
        <w:ind w:right="60" w:firstLine="8"/>
        <w:spacing w:after="0" w:line="260" w:lineRule="auto"/>
        <w:tabs>
          <w:tab w:leader="none" w:pos="432"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Net Tax Benefit</w:t>
      </w:r>
      <w:r>
        <w:rPr>
          <w:rFonts w:ascii="Arial" w:cs="Arial" w:eastAsia="Arial" w:hAnsi="Arial"/>
          <w:sz w:val="22"/>
          <w:szCs w:val="22"/>
          <w:color w:val="auto"/>
        </w:rPr>
        <w:t>. The “</w:t>
      </w:r>
      <w:r>
        <w:rPr>
          <w:rFonts w:ascii="Arial" w:cs="Arial" w:eastAsia="Arial" w:hAnsi="Arial"/>
          <w:sz w:val="22"/>
          <w:szCs w:val="22"/>
          <w:u w:val="single" w:color="auto"/>
          <w:color w:val="auto"/>
        </w:rPr>
        <w:t>Net Tax Benefit</w:t>
      </w:r>
      <w:r>
        <w:rPr>
          <w:rFonts w:ascii="Arial" w:cs="Arial" w:eastAsia="Arial" w:hAnsi="Arial"/>
          <w:sz w:val="22"/>
          <w:szCs w:val="22"/>
          <w:color w:val="auto"/>
        </w:rPr>
        <w:t>” for a Taxable Year equals the amount of the excess, if any, of (x) 85% of the Cumulative Net Realized Tax Benefit as of the end of such Taxable Year over (y) the aggregate amount of all Tax Benefit Payments previously made under this Section 3.1 (excluding payments of Actual Interest Amounts). For the avoidance of doubt, if the Cumulative Net Realized Tax Benefit as of the end of any Taxable Year is less than the aggregate amount of all Tax Benefit Payments previously made, no TRA Holder shall be required to return any portion of any Tax Benefit Payment previously made by PubCo to such TRA Holder.</w:t>
      </w:r>
    </w:p>
    <w:p>
      <w:pPr>
        <w:spacing w:after="0" w:line="191" w:lineRule="exact"/>
        <w:rPr>
          <w:rFonts w:ascii="Arial" w:cs="Arial" w:eastAsia="Arial" w:hAnsi="Arial"/>
          <w:sz w:val="22"/>
          <w:szCs w:val="22"/>
          <w:color w:val="auto"/>
        </w:rPr>
      </w:pPr>
    </w:p>
    <w:p>
      <w:pPr>
        <w:ind w:firstLine="8"/>
        <w:spacing w:after="0" w:line="261" w:lineRule="auto"/>
        <w:tabs>
          <w:tab w:leader="none" w:pos="432"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Cumulative Net Realized Tax Benefit</w:t>
      </w:r>
      <w:r>
        <w:rPr>
          <w:rFonts w:ascii="Arial" w:cs="Arial" w:eastAsia="Arial" w:hAnsi="Arial"/>
          <w:sz w:val="22"/>
          <w:szCs w:val="22"/>
          <w:color w:val="auto"/>
        </w:rPr>
        <w:t>. The “</w:t>
      </w:r>
      <w:r>
        <w:rPr>
          <w:rFonts w:ascii="Arial" w:cs="Arial" w:eastAsia="Arial" w:hAnsi="Arial"/>
          <w:sz w:val="22"/>
          <w:szCs w:val="22"/>
          <w:u w:val="single" w:color="auto"/>
          <w:color w:val="auto"/>
        </w:rPr>
        <w:t>Cumulative Net Realized Tax Benefit</w:t>
      </w:r>
      <w:r>
        <w:rPr>
          <w:rFonts w:ascii="Arial" w:cs="Arial" w:eastAsia="Arial" w:hAnsi="Arial"/>
          <w:sz w:val="22"/>
          <w:szCs w:val="22"/>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90" w:lineRule="exact"/>
        <w:rPr>
          <w:rFonts w:ascii="Arial" w:cs="Arial" w:eastAsia="Arial" w:hAnsi="Arial"/>
          <w:sz w:val="22"/>
          <w:szCs w:val="22"/>
          <w:color w:val="auto"/>
        </w:rPr>
      </w:pPr>
    </w:p>
    <w:p>
      <w:pPr>
        <w:ind w:left="440" w:hanging="432"/>
        <w:spacing w:after="0"/>
        <w:tabs>
          <w:tab w:leader="none" w:pos="440"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Realized Tax Benefit</w:t>
      </w:r>
      <w:r>
        <w:rPr>
          <w:rFonts w:ascii="Arial" w:cs="Arial" w:eastAsia="Arial" w:hAnsi="Arial"/>
          <w:sz w:val="19"/>
          <w:szCs w:val="19"/>
          <w:color w:val="auto"/>
        </w:rPr>
        <w:t>. The “</w:t>
      </w:r>
      <w:r>
        <w:rPr>
          <w:rFonts w:ascii="Arial" w:cs="Arial" w:eastAsia="Arial" w:hAnsi="Arial"/>
          <w:sz w:val="19"/>
          <w:szCs w:val="19"/>
          <w:u w:val="single" w:color="auto"/>
          <w:color w:val="auto"/>
        </w:rPr>
        <w:t>Realized Tax Benefit</w:t>
      </w:r>
      <w:r>
        <w:rPr>
          <w:rFonts w:ascii="Arial" w:cs="Arial" w:eastAsia="Arial" w:hAnsi="Arial"/>
          <w:sz w:val="19"/>
          <w:szCs w:val="19"/>
          <w:color w:val="auto"/>
        </w:rPr>
        <w:t>” for a Taxable Year equals the excess, if any, of the Hypothetical Tax</w:t>
      </w:r>
    </w:p>
    <w:p>
      <w:pPr>
        <w:spacing w:after="0" w:line="55" w:lineRule="exact"/>
        <w:rPr>
          <w:rFonts w:ascii="Arial" w:cs="Arial" w:eastAsia="Arial" w:hAnsi="Arial"/>
          <w:sz w:val="19"/>
          <w:szCs w:val="19"/>
          <w:color w:val="auto"/>
        </w:rPr>
      </w:pPr>
    </w:p>
    <w:p>
      <w:pPr>
        <w:ind w:right="60"/>
        <w:spacing w:after="0" w:line="324" w:lineRule="auto"/>
        <w:rPr>
          <w:rFonts w:ascii="Arial" w:cs="Arial" w:eastAsia="Arial" w:hAnsi="Arial"/>
          <w:sz w:val="19"/>
          <w:szCs w:val="19"/>
          <w:color w:val="auto"/>
        </w:rPr>
      </w:pPr>
      <w:r>
        <w:rPr>
          <w:rFonts w:ascii="Arial" w:cs="Arial" w:eastAsia="Arial" w:hAnsi="Arial"/>
          <w:sz w:val="19"/>
          <w:szCs w:val="19"/>
          <w:color w:val="auto"/>
        </w:rPr>
        <w:t>Liability over the Actual Tax Liability for such Taxable Year. If all or a portion of the Actual Tax Liability arises as a result of an audit by a Taxing Authority of any Taxable Year, such liability (and any corresponding adjustments to the Hypothetical Tax Liability) shall not be included in determining the Realized Tax Benefit unless and until there has been a Determination.</w:t>
      </w:r>
    </w:p>
    <w:p>
      <w:pPr>
        <w:spacing w:after="0" w:line="136" w:lineRule="exact"/>
        <w:rPr>
          <w:rFonts w:ascii="Arial" w:cs="Arial" w:eastAsia="Arial" w:hAnsi="Arial"/>
          <w:sz w:val="19"/>
          <w:szCs w:val="19"/>
          <w:color w:val="auto"/>
        </w:rPr>
      </w:pPr>
    </w:p>
    <w:p>
      <w:pPr>
        <w:ind w:firstLine="8"/>
        <w:spacing w:after="0" w:line="317" w:lineRule="auto"/>
        <w:tabs>
          <w:tab w:leader="none" w:pos="432"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Realized Tax Detriment</w:t>
      </w:r>
      <w:r>
        <w:rPr>
          <w:rFonts w:ascii="Arial" w:cs="Arial" w:eastAsia="Arial" w:hAnsi="Arial"/>
          <w:sz w:val="19"/>
          <w:szCs w:val="19"/>
          <w:color w:val="auto"/>
        </w:rPr>
        <w:t>. The “</w:t>
      </w:r>
      <w:r>
        <w:rPr>
          <w:rFonts w:ascii="Arial" w:cs="Arial" w:eastAsia="Arial" w:hAnsi="Arial"/>
          <w:sz w:val="19"/>
          <w:szCs w:val="19"/>
          <w:u w:val="single" w:color="auto"/>
          <w:color w:val="auto"/>
        </w:rPr>
        <w:t>Realized Tax Detriment</w:t>
      </w:r>
      <w:r>
        <w:rPr>
          <w:rFonts w:ascii="Arial" w:cs="Arial" w:eastAsia="Arial" w:hAnsi="Arial"/>
          <w:sz w:val="19"/>
          <w:szCs w:val="19"/>
          <w:color w:val="auto"/>
        </w:rPr>
        <w:t>” for a Taxable Year equals the excess, if any, of the Actual Tax Liability over the Hypothetical Tax Liability for such Taxable Year. If all or a portion of the Actual Tax Liability arises as a result of an audit by a Taxing Authority of any Taxable Year, such liability (and any corresponding adjustments to the Hypothetical Tax Liability) shall not be included in determining the Realized Tax Detriment unless and until there has been a Determination.</w:t>
      </w:r>
    </w:p>
    <w:p>
      <w:pPr>
        <w:spacing w:after="0" w:line="141" w:lineRule="exact"/>
        <w:rPr>
          <w:rFonts w:ascii="Arial" w:cs="Arial" w:eastAsia="Arial" w:hAnsi="Arial"/>
          <w:sz w:val="19"/>
          <w:szCs w:val="19"/>
          <w:color w:val="auto"/>
        </w:rPr>
      </w:pPr>
    </w:p>
    <w:p>
      <w:pPr>
        <w:ind w:firstLine="8"/>
        <w:spacing w:after="0" w:line="260" w:lineRule="auto"/>
        <w:tabs>
          <w:tab w:leader="none" w:pos="432"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Imputed Interest</w:t>
      </w:r>
      <w:r>
        <w:rPr>
          <w:rFonts w:ascii="Arial" w:cs="Arial" w:eastAsia="Arial" w:hAnsi="Arial"/>
          <w:sz w:val="22"/>
          <w:szCs w:val="22"/>
          <w:color w:val="auto"/>
        </w:rPr>
        <w:t>. The parties acknowledge that the principles of Sections 1272, 1274, or 483 of the Code, as applicable, will apply to cause a portion of any Net Tax Benefit payable by PubCo to a TRA Holder under this Agreement to be treated as imputed interest (“</w:t>
      </w:r>
      <w:r>
        <w:rPr>
          <w:rFonts w:ascii="Arial" w:cs="Arial" w:eastAsia="Arial" w:hAnsi="Arial"/>
          <w:sz w:val="22"/>
          <w:szCs w:val="22"/>
          <w:u w:val="single" w:color="auto"/>
          <w:color w:val="auto"/>
        </w:rPr>
        <w:t>Imputed Interest</w:t>
      </w:r>
      <w:r>
        <w:rPr>
          <w:rFonts w:ascii="Arial" w:cs="Arial" w:eastAsia="Arial" w:hAnsi="Arial"/>
          <w:sz w:val="22"/>
          <w:szCs w:val="22"/>
          <w:color w:val="auto"/>
        </w:rPr>
        <w:t>”). For the avoidance of doubt, the deduction for the amount of Imputed Interest as determined with respect to any Net Tax Benefit payable by PubCo to a TRA Holder shall be excluded in determining the Hypothetical Tax Liability for purposes of calculating Realized Tax Benefits and Realized Tax Detriments pursuant to this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84" w:name="page285"/>
    <w:bookmarkEnd w:id="284"/>
    <w:p>
      <w:pPr>
        <w:jc w:val="both"/>
        <w:ind w:right="80" w:firstLine="8"/>
        <w:spacing w:after="0" w:line="311" w:lineRule="auto"/>
        <w:tabs>
          <w:tab w:leader="none" w:pos="432"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Actual Interest Amount</w:t>
      </w:r>
      <w:r>
        <w:rPr>
          <w:rFonts w:ascii="Arial" w:cs="Arial" w:eastAsia="Arial" w:hAnsi="Arial"/>
          <w:sz w:val="19"/>
          <w:szCs w:val="19"/>
          <w:color w:val="auto"/>
        </w:rPr>
        <w:t>. The “</w:t>
      </w:r>
      <w:r>
        <w:rPr>
          <w:rFonts w:ascii="Arial" w:cs="Arial" w:eastAsia="Arial" w:hAnsi="Arial"/>
          <w:sz w:val="19"/>
          <w:szCs w:val="19"/>
          <w:u w:val="single" w:color="auto"/>
          <w:color w:val="auto"/>
        </w:rPr>
        <w:t>Actual Interest Amount</w:t>
      </w:r>
      <w:r>
        <w:rPr>
          <w:rFonts w:ascii="Arial" w:cs="Arial" w:eastAsia="Arial" w:hAnsi="Arial"/>
          <w:sz w:val="19"/>
          <w:szCs w:val="19"/>
          <w:color w:val="auto"/>
        </w:rPr>
        <w:t>” calculated in respect of the Net Tax Benefit for a Taxable Year, will equal an amount equal to interest calculated at the Agreed Rate from the due date (without extensions) for filing the U.S. federal income Tax Return of the Corporation for such Taxable Year until the date on which PubCo makes a timely Tax Benefit Payment to the TRA Holder. For the avoidance of doubt, for Tax purposes, the Actual Interest Amount shall not be treated as interest, but instead, shall be treated as additional consideration in the applicable transaction, unless otherwise required by law.</w:t>
      </w:r>
    </w:p>
    <w:p>
      <w:pPr>
        <w:spacing w:after="0" w:line="150" w:lineRule="exact"/>
        <w:rPr>
          <w:rFonts w:ascii="Arial" w:cs="Arial" w:eastAsia="Arial" w:hAnsi="Arial"/>
          <w:sz w:val="19"/>
          <w:szCs w:val="19"/>
          <w:color w:val="auto"/>
        </w:rPr>
      </w:pPr>
    </w:p>
    <w:p>
      <w:pPr>
        <w:ind w:right="80" w:firstLine="8"/>
        <w:spacing w:after="0" w:line="272" w:lineRule="auto"/>
        <w:tabs>
          <w:tab w:leader="none" w:pos="432" w:val="left"/>
        </w:tabs>
        <w:numPr>
          <w:ilvl w:val="0"/>
          <w:numId w:val="198"/>
        </w:numPr>
        <w:rPr>
          <w:rFonts w:ascii="Arial" w:cs="Arial" w:eastAsia="Arial" w:hAnsi="Arial"/>
          <w:sz w:val="21"/>
          <w:szCs w:val="21"/>
          <w:color w:val="auto"/>
        </w:rPr>
      </w:pPr>
      <w:r>
        <w:rPr>
          <w:rFonts w:ascii="Arial" w:cs="Arial" w:eastAsia="Arial" w:hAnsi="Arial"/>
          <w:sz w:val="21"/>
          <w:szCs w:val="21"/>
          <w:color w:val="auto"/>
        </w:rPr>
        <w:t>PubCo and the TRA Holders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(i) unless the applicable Exchange TRA Holder notifies PubCo in writing otherwise (including by providing an alternative maximum), the aggregate Payments to an Exchange TRA Holder under this Agreement (other than amounts accounted for as interest under the Code) shall not exceed, with respect to any Exchange, 50% of the initial Basis Adjustment arising from such Exchange and (ii) with respect to the Reorganization Transactions, a Blocker TRA Holder may notify Pubco in writing of a maximum amount of aggregate Payments to such TRA Holder under this Agreement (other than amounts accounted for as interest under the Code) in respect thereof.</w:t>
      </w:r>
    </w:p>
    <w:p>
      <w:pPr>
        <w:spacing w:after="0" w:line="183" w:lineRule="exact"/>
        <w:rPr>
          <w:sz w:val="20"/>
          <w:szCs w:val="20"/>
          <w:color w:val="auto"/>
        </w:rPr>
      </w:pPr>
    </w:p>
    <w:p>
      <w:pPr>
        <w:jc w:val="both"/>
        <w:ind w:right="360"/>
        <w:spacing w:after="0" w:line="266"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No Duplicative Payments</w:t>
      </w:r>
      <w:r>
        <w:rPr>
          <w:rFonts w:ascii="Arial" w:cs="Arial" w:eastAsia="Arial" w:hAnsi="Arial"/>
          <w:sz w:val="22"/>
          <w:szCs w:val="22"/>
          <w:color w:val="auto"/>
        </w:rPr>
        <w:t>. It is intended that the provisions of this Agreement will not result in the duplicative payment of any amount (including interest) that may be required under this Agreement, and the provisions of this Agreement shall be consistently interpreted and applied in accordance with that intent.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Pro-Ration of Payments as Between the TRA Holders</w:t>
      </w:r>
      <w:r>
        <w:rPr>
          <w:rFonts w:ascii="Arial" w:cs="Arial" w:eastAsia="Arial" w:hAnsi="Arial"/>
          <w:sz w:val="19"/>
          <w:szCs w:val="19"/>
          <w:color w:val="auto"/>
        </w:rPr>
        <w:t>.</w:t>
      </w:r>
    </w:p>
    <w:p>
      <w:pPr>
        <w:spacing w:after="0" w:line="233" w:lineRule="exact"/>
        <w:rPr>
          <w:sz w:val="20"/>
          <w:szCs w:val="20"/>
          <w:color w:val="auto"/>
        </w:rPr>
      </w:pPr>
    </w:p>
    <w:p>
      <w:pPr>
        <w:jc w:val="both"/>
        <w:ind w:right="340" w:firstLine="8"/>
        <w:spacing w:after="0" w:line="311" w:lineRule="auto"/>
        <w:tabs>
          <w:tab w:leader="none" w:pos="432"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Insufficient Taxable Income</w:t>
      </w:r>
      <w:r>
        <w:rPr>
          <w:rFonts w:ascii="Arial" w:cs="Arial" w:eastAsia="Arial" w:hAnsi="Arial"/>
          <w:sz w:val="19"/>
          <w:szCs w:val="19"/>
          <w:color w:val="auto"/>
        </w:rPr>
        <w:t>. Notwithstanding anything in Section 3.1(b) to the contrary, to the extent that the aggregate Realized Tax Benefit of the Corporation with respect to the Tax Attributes is limited in a particular Taxable Year because the Corporation does not have sufficient taxable income, then the available Net Tax Benefit for the Corporation shall be allocated among the TRA Holders in proportion to the respective Tax Benefit Payment that would have been payable if the Corporation had in fact had sufficient taxable income so that there had been no such limitation.</w:t>
      </w:r>
    </w:p>
    <w:p>
      <w:pPr>
        <w:spacing w:after="0" w:line="150" w:lineRule="exact"/>
        <w:rPr>
          <w:rFonts w:ascii="Arial" w:cs="Arial" w:eastAsia="Arial" w:hAnsi="Arial"/>
          <w:sz w:val="19"/>
          <w:szCs w:val="19"/>
          <w:color w:val="auto"/>
        </w:rPr>
      </w:pPr>
    </w:p>
    <w:p>
      <w:pPr>
        <w:ind w:firstLine="8"/>
        <w:spacing w:after="0" w:line="260" w:lineRule="auto"/>
        <w:tabs>
          <w:tab w:leader="none" w:pos="432"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Late Payments</w:t>
      </w:r>
      <w:r>
        <w:rPr>
          <w:rFonts w:ascii="Arial" w:cs="Arial" w:eastAsia="Arial" w:hAnsi="Arial"/>
          <w:sz w:val="22"/>
          <w:szCs w:val="22"/>
          <w:color w:val="auto"/>
        </w:rPr>
        <w:t>. If for any reason PubCo is not able to timely and fully satisfy its payment obligations under this Agreement in respect of a particular Taxable Year, then interest will begin to accrue at the Default Rate pursuant to Section 5.2 and PubCo and other Parties agree that (i) PubCo shall pay the Tax Benefit Payments due in respect of such Taxable Year to each TRA Holder pro rata in proportion to the amount of such Tax Benefit Payments, without favoring one obligation over the other, and (ii) no Tax Benefit Payment shall be made in respect of any Taxable Year until all Tax Benefit Payments to all TRA Holders in respect of all prior Taxable Years have been made in full.</w:t>
      </w:r>
    </w:p>
    <w:p>
      <w:pPr>
        <w:spacing w:after="0" w:line="192" w:lineRule="exact"/>
        <w:rPr>
          <w:sz w:val="20"/>
          <w:szCs w:val="20"/>
          <w:color w:val="auto"/>
        </w:rPr>
      </w:pPr>
    </w:p>
    <w:p>
      <w:pPr>
        <w:ind w:right="100"/>
        <w:spacing w:after="0" w:line="266"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Excess Payments</w:t>
      </w:r>
      <w:r>
        <w:rPr>
          <w:rFonts w:ascii="Arial" w:cs="Arial" w:eastAsia="Arial" w:hAnsi="Arial"/>
          <w:sz w:val="22"/>
          <w:szCs w:val="22"/>
          <w:color w:val="auto"/>
        </w:rPr>
        <w:t>. To the extent PubCo makes a payment to a TRA Holder in respect of a particular Taxable Year under Section 3.1(a) of this Agreement (taking into account Section 3.3) in an amount in excess of the amount of such payment that should have been made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85" w:name="page286"/>
    <w:bookmarkEnd w:id="285"/>
    <w:p>
      <w:pPr>
        <w:ind w:right="40"/>
        <w:spacing w:after="0" w:line="274" w:lineRule="auto"/>
        <w:rPr>
          <w:sz w:val="20"/>
          <w:szCs w:val="20"/>
          <w:color w:val="auto"/>
        </w:rPr>
      </w:pPr>
      <w:r>
        <w:rPr>
          <w:rFonts w:ascii="Arial" w:cs="Arial" w:eastAsia="Arial" w:hAnsi="Arial"/>
          <w:sz w:val="21"/>
          <w:szCs w:val="21"/>
          <w:color w:val="auto"/>
        </w:rPr>
        <w:t>to such TRA Holder in respect of such Taxable Year, then (i) such TRA Holder shall not receive further payments under Section 3.1(a) until such TRA Holder has foregone an amount of payments equal to such excess and (ii) PubCo will pay the amount of such TRA Holder’s foregone payments to the other Persons to whom a payment is due under this Agreement in a manner such that each such Person to whom a payment is due under this Agreement, to the maximum extent possible, receives aggregate payments under Section 3.1(a) (taking into account Section 3.3) in the amount it would have received if there had been no excess payment to such TRA Holder.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Early Termination of Agreement; Breach of Agreement</w:t>
      </w:r>
      <w:r>
        <w:rPr>
          <w:rFonts w:ascii="Arial" w:cs="Arial" w:eastAsia="Arial" w:hAnsi="Arial"/>
          <w:sz w:val="19"/>
          <w:szCs w:val="19"/>
          <w:color w:val="auto"/>
        </w:rPr>
        <w:t>.</w:t>
      </w:r>
    </w:p>
    <w:p>
      <w:pPr>
        <w:spacing w:after="0" w:line="233" w:lineRule="exact"/>
        <w:rPr>
          <w:sz w:val="20"/>
          <w:szCs w:val="20"/>
          <w:color w:val="auto"/>
        </w:rPr>
      </w:pPr>
    </w:p>
    <w:p>
      <w:pPr>
        <w:ind w:right="220" w:firstLine="8"/>
        <w:spacing w:after="0" w:line="271" w:lineRule="auto"/>
        <w:tabs>
          <w:tab w:leader="none" w:pos="432"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Corporation’s Early Termination Right</w:t>
      </w:r>
      <w:r>
        <w:rPr>
          <w:rFonts w:ascii="Arial" w:cs="Arial" w:eastAsia="Arial" w:hAnsi="Arial"/>
          <w:sz w:val="21"/>
          <w:szCs w:val="21"/>
          <w:color w:val="auto"/>
        </w:rPr>
        <w:t>. PubCo may terminate this Agreement, as and to the extent provided herein, with respect to all amounts payable to the TRA Holders pursuant to this Agreement by paying to the TRA Holders the Early Termination Payment; provided that Early Termination Payments may be made pursuant to this Section 4.1(a) only if made simultaneously to all TRA Holders that are entitled to such a payment, and provided further, that PubCo may withdraw any notice to execute its termination rights under this Section 4.1(a) prior to the time at which any Early Termination Payment has been paid. Upon PubCo’s payment of the Early Termination Payment, PubCo shall not have any further payment obligations under this Agreement, other than with respect to any: (i) prior Tax Benefit Payments that are due and payable under this Agreement but that still remain unpaid as of the date of the Early Termination Notice; and (ii) current Tax Benefit Payment due for the Taxable Year ending on or including the date of the Early Termination Notice (except to the extent that the amount described in clause (ii) is included in the calculation of the Early Termination Payment). If an Exchange occurs after PubCo makes all of the required Early Termination Payments, PubCo shall have no obligations under this Agreement with respect to such Exchange.</w:t>
      </w:r>
    </w:p>
    <w:p>
      <w:pPr>
        <w:spacing w:after="0" w:line="183" w:lineRule="exact"/>
        <w:rPr>
          <w:rFonts w:ascii="Arial" w:cs="Arial" w:eastAsia="Arial" w:hAnsi="Arial"/>
          <w:sz w:val="21"/>
          <w:szCs w:val="21"/>
          <w:color w:val="auto"/>
        </w:rPr>
      </w:pPr>
    </w:p>
    <w:p>
      <w:pPr>
        <w:ind w:firstLine="8"/>
        <w:spacing w:after="0" w:line="297" w:lineRule="auto"/>
        <w:tabs>
          <w:tab w:leader="none" w:pos="432"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Acceleration Upon Breach of Agreement</w:t>
      </w:r>
      <w:r>
        <w:rPr>
          <w:rFonts w:ascii="Arial" w:cs="Arial" w:eastAsia="Arial" w:hAnsi="Arial"/>
          <w:sz w:val="19"/>
          <w:szCs w:val="19"/>
          <w:color w:val="auto"/>
        </w:rPr>
        <w:t>. In the event that PubCo (1)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Title 11 of the United States Code (11 U.S.C. § 101 et seq.)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otherwise or (2)(A) shall commence any case, proceeding or other action (i) under any existing or future law of any jurisdiction, domestic or foreign, relating to bankruptcy, insolvency, reorganization or relief of debtors, seeking to have an order for relief entered with respect to it, or seeking to adjudicate a bankruptcy or insolvency,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Corporation any case, proceeding or other action of the nature referred to in clause</w:t>
      </w:r>
    </w:p>
    <w:p>
      <w:pPr>
        <w:ind w:right="280"/>
        <w:spacing w:after="0" w:line="324" w:lineRule="auto"/>
        <w:rPr>
          <w:rFonts w:ascii="Arial" w:cs="Arial" w:eastAsia="Arial" w:hAnsi="Arial"/>
          <w:sz w:val="19"/>
          <w:szCs w:val="19"/>
          <w:color w:val="auto"/>
        </w:rPr>
      </w:pPr>
      <w:r>
        <w:rPr>
          <w:rFonts w:ascii="Arial" w:cs="Arial" w:eastAsia="Arial" w:hAnsi="Arial"/>
          <w:sz w:val="19"/>
          <w:szCs w:val="19"/>
          <w:color w:val="auto"/>
        </w:rPr>
        <w:t>(A) above that remains undismissed or undischarged for a period of sixty (60) calendar days, all obligations hereunder shall be automatically accelerated and shall be immediately due and payable, and such obligations shall be calculated as if an Early Termination Notice had been delivered on the date of such breach and shall include, but not be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6" w:name="page287"/>
    <w:bookmarkEnd w:id="286"/>
    <w:p>
      <w:pPr>
        <w:ind w:right="20"/>
        <w:spacing w:after="0" w:line="301" w:lineRule="auto"/>
        <w:rPr>
          <w:sz w:val="20"/>
          <w:szCs w:val="20"/>
          <w:color w:val="auto"/>
        </w:rPr>
      </w:pPr>
      <w:r>
        <w:rPr>
          <w:rFonts w:ascii="Arial" w:cs="Arial" w:eastAsia="Arial" w:hAnsi="Arial"/>
          <w:sz w:val="19"/>
          <w:szCs w:val="19"/>
          <w:color w:val="auto"/>
        </w:rPr>
        <w:t>limited to, (1) the Early Termination Payment calculated as if an Early Termination Notice had been delivered on the date of such breach, (2) any Tax Benefit Payment due and payable and that remains unpaid as of the date of such breach, and (3) any Tax Benefit Payment in respect of any TRA Holder due for the Taxable Year ending with or including the date of such breach; provided that procedures similar to the procedures of Section 4.2 shall apply with respect to the determination of the amount payable by PubCo pursuant to this sentence. Notwithstanding the foregoing, in the event that PubCo breaches this Agreement, to the fullest extent permitted by applicable law, each TRA Holder shall be entitled to elect to receive the amounts set forth in clauses (1), (2) and (3) 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 Agreement to the contrary, it shall not be a breach of a material obligation of this Agreement if PubCo fails to make any Tax Benefit Payment when due to the extent that PubCo has insufficient funds to make such payment; provided, (i) PubCo has used reasonable efforts to obtain such funds and (ii) that the interest provisions of Section 5.2 shall apply to such late payment.</w:t>
      </w:r>
    </w:p>
    <w:p>
      <w:pPr>
        <w:spacing w:after="0" w:line="160" w:lineRule="exact"/>
        <w:rPr>
          <w:sz w:val="20"/>
          <w:szCs w:val="20"/>
          <w:color w:val="auto"/>
        </w:rPr>
      </w:pPr>
    </w:p>
    <w:p>
      <w:pPr>
        <w:ind w:firstLine="8"/>
        <w:spacing w:after="0" w:line="302" w:lineRule="auto"/>
        <w:tabs>
          <w:tab w:leader="none" w:pos="432"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In the event of a Change of Control, unless otherwise agreed in writing with the 22C TRA Representative with respect to the 22C Funds, the Advent TRA Representative with respect to the Advent Funds, the Spectrum TRA Representative with respect to the Spectrum Funds, and/or the Management TRA Representative with respect to all other TRA Holders, all obligations of PubCo hereunder with respect to the TRA Holders shall be accelerated and such obligations shall be calculated pursuant to this Article IV as if an Early Termination Notice had been delivered on the closing date of the Change of Control and utilizing the Valuation Assumptions by substituting the phrase “the closing date of a Change of Control” in each place where the phrase “Early Termination Effective Date” appears. Such obligations shall include, but not be limited to, (1) the Early Termination Payment calculated as if an Early Termination Notice had been delivered on the closing date of the Change of Control, (2) any Tax Benefit Payments due and payable and that remains unpaid as of the date of the Change of Control and (3) any Tax Benefit Payments due for any Taxable Year ending prior to, with or including the closing date of a Change of Control (except to the extent that any amounts described in clauses (2) or (3) are included in the Early Termination Payment). For the avoidance of doubt, Sections 4.2 and 4.3 shall apply to a Change of Control,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7" w:lineRule="exact"/>
        <w:rPr>
          <w:sz w:val="20"/>
          <w:szCs w:val="20"/>
          <w:color w:val="auto"/>
        </w:rPr>
      </w:pPr>
    </w:p>
    <w:p>
      <w:pPr>
        <w:ind w:right="140"/>
        <w:spacing w:after="0" w:line="306"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Early Termination Notice</w:t>
      </w:r>
      <w:r>
        <w:rPr>
          <w:rFonts w:ascii="Arial" w:cs="Arial" w:eastAsia="Arial" w:hAnsi="Arial"/>
          <w:sz w:val="19"/>
          <w:szCs w:val="19"/>
          <w:color w:val="auto"/>
        </w:rPr>
        <w:t>. If PubCo chooses to exercise its right of early termination under Section 4.1 above, PubCo shall deliver to the TRA Holder Representatives a notice of PubCo’s decision to exercise such right (an “</w:t>
      </w:r>
      <w:r>
        <w:rPr>
          <w:rFonts w:ascii="Arial" w:cs="Arial" w:eastAsia="Arial" w:hAnsi="Arial"/>
          <w:sz w:val="19"/>
          <w:szCs w:val="19"/>
          <w:u w:val="single" w:color="auto"/>
          <w:color w:val="auto"/>
        </w:rPr>
        <w:t>Early</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Notice</w:t>
      </w:r>
      <w:r>
        <w:rPr>
          <w:rFonts w:ascii="Arial" w:cs="Arial" w:eastAsia="Arial" w:hAnsi="Arial"/>
          <w:sz w:val="19"/>
          <w:szCs w:val="19"/>
          <w:color w:val="auto"/>
        </w:rPr>
        <w:t>”) specifying PubCo’s intention to exercise such right. Upon delivery of the Early Termination Notice or the occurrence of an event described in Section 4.1(b) or (c), PubCo shall deliver a schedule (the “</w:t>
      </w:r>
      <w:r>
        <w:rPr>
          <w:rFonts w:ascii="Arial" w:cs="Arial" w:eastAsia="Arial" w:hAnsi="Arial"/>
          <w:sz w:val="19"/>
          <w:szCs w:val="19"/>
          <w:u w:val="single" w:color="auto"/>
          <w:color w:val="auto"/>
        </w:rPr>
        <w:t>Early Termination Schedule</w:t>
      </w:r>
      <w:r>
        <w:rPr>
          <w:rFonts w:ascii="Arial" w:cs="Arial" w:eastAsia="Arial" w:hAnsi="Arial"/>
          <w:sz w:val="19"/>
          <w:szCs w:val="19"/>
          <w:color w:val="auto"/>
        </w:rPr>
        <w:t>”) showing in reasonable detail the calculation of the Early Termination Payment(s) due for each TRA Holder. The Early Termination Schedule shall become final and binding on each Party thirty (30) calendar days from the first date on which the TRA Holder Representatives received such Early Termination Schedule unless any TRA Holder Representative: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7" w:name="page288"/>
    <w:bookmarkEnd w:id="287"/>
    <w:p>
      <w:pPr>
        <w:ind w:right="320" w:firstLine="8"/>
        <w:spacing w:after="0" w:line="266" w:lineRule="auto"/>
        <w:tabs>
          <w:tab w:leader="none" w:pos="43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within thirty (30) calendar days after receiving the Early Termination Schedule, provides PubCo with notice of a material objection to such Early Termination Schedule made in good faith and setting forth in reasonable detail the TRA Holder Representative’s material objection (a “</w:t>
      </w:r>
      <w:r>
        <w:rPr>
          <w:rFonts w:ascii="Arial" w:cs="Arial" w:eastAsia="Arial" w:hAnsi="Arial"/>
          <w:sz w:val="22"/>
          <w:szCs w:val="22"/>
          <w:u w:val="single" w:color="auto"/>
          <w:color w:val="auto"/>
        </w:rPr>
        <w:t>Termination Objection Notice</w:t>
      </w:r>
      <w:r>
        <w:rPr>
          <w:rFonts w:ascii="Arial" w:cs="Arial" w:eastAsia="Arial" w:hAnsi="Arial"/>
          <w:sz w:val="22"/>
          <w:szCs w:val="22"/>
          <w:color w:val="auto"/>
        </w:rPr>
        <w:t>”); or</w:t>
      </w:r>
    </w:p>
    <w:p>
      <w:pPr>
        <w:spacing w:after="0" w:line="184" w:lineRule="exact"/>
        <w:rPr>
          <w:rFonts w:ascii="Arial" w:cs="Arial" w:eastAsia="Arial" w:hAnsi="Arial"/>
          <w:sz w:val="22"/>
          <w:szCs w:val="22"/>
          <w:color w:val="auto"/>
        </w:rPr>
      </w:pPr>
    </w:p>
    <w:p>
      <w:pPr>
        <w:ind w:right="100" w:firstLine="8"/>
        <w:spacing w:after="0" w:line="266" w:lineRule="auto"/>
        <w:tabs>
          <w:tab w:leader="none" w:pos="43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provides a written waiver of such right of a Termination Objection Notice within the period described in clause (i) above, in which case such Early Termination Schedule becomes binding on the date the waiver from the TRA Holder Representative is received by PubCo.</w:t>
      </w:r>
    </w:p>
    <w:p>
      <w:pPr>
        <w:spacing w:after="0" w:line="185" w:lineRule="exact"/>
        <w:rPr>
          <w:sz w:val="20"/>
          <w:szCs w:val="20"/>
          <w:color w:val="auto"/>
        </w:rPr>
      </w:pPr>
    </w:p>
    <w:p>
      <w:pPr>
        <w:ind w:right="180"/>
        <w:spacing w:after="0" w:line="317" w:lineRule="auto"/>
        <w:rPr>
          <w:sz w:val="20"/>
          <w:szCs w:val="20"/>
          <w:color w:val="auto"/>
        </w:rPr>
      </w:pPr>
      <w:r>
        <w:rPr>
          <w:rFonts w:ascii="Arial" w:cs="Arial" w:eastAsia="Arial" w:hAnsi="Arial"/>
          <w:sz w:val="19"/>
          <w:szCs w:val="19"/>
          <w:color w:val="auto"/>
        </w:rPr>
        <w:t>If PubCo and the relevant TRA Holder Representative, for any reason, are unable to successfully resolve the issues raised in the Termination Objection Notice within thirty (30) calendar days after receipt by PubCo of the Termination Objection Notice, PubCo and the relevant TRA Holder Representative shall employ the Reconciliation Procedures. The date on which the Early Termination Schedule becomes final in accordance with this Section 4.2 shall be the “</w:t>
      </w:r>
      <w:r>
        <w:rPr>
          <w:rFonts w:ascii="Arial" w:cs="Arial" w:eastAsia="Arial" w:hAnsi="Arial"/>
          <w:sz w:val="19"/>
          <w:szCs w:val="19"/>
          <w:u w:val="single" w:color="auto"/>
          <w:color w:val="auto"/>
        </w:rPr>
        <w:t>Early Termination Reference Date.</w:t>
      </w:r>
      <w:r>
        <w:rPr>
          <w:rFonts w:ascii="Arial" w:cs="Arial" w:eastAsia="Arial" w:hAnsi="Arial"/>
          <w:sz w:val="19"/>
          <w:szCs w:val="19"/>
          <w:color w:val="auto"/>
        </w:rPr>
        <w:t>”</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Payment Upon Early Termination</w:t>
      </w:r>
      <w:r>
        <w:rPr>
          <w:rFonts w:ascii="Arial" w:cs="Arial" w:eastAsia="Arial" w:hAnsi="Arial"/>
          <w:sz w:val="19"/>
          <w:szCs w:val="19"/>
          <w:color w:val="auto"/>
        </w:rPr>
        <w:t>.</w:t>
      </w:r>
    </w:p>
    <w:p>
      <w:pPr>
        <w:spacing w:after="0" w:line="233" w:lineRule="exact"/>
        <w:rPr>
          <w:sz w:val="20"/>
          <w:szCs w:val="20"/>
          <w:color w:val="auto"/>
        </w:rPr>
      </w:pPr>
    </w:p>
    <w:p>
      <w:pPr>
        <w:ind w:firstLine="8"/>
        <w:spacing w:after="0" w:line="262" w:lineRule="auto"/>
        <w:tabs>
          <w:tab w:leader="none" w:pos="432"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Timing of Payment</w:t>
      </w:r>
      <w:r>
        <w:rPr>
          <w:rFonts w:ascii="Arial" w:cs="Arial" w:eastAsia="Arial" w:hAnsi="Arial"/>
          <w:sz w:val="22"/>
          <w:szCs w:val="22"/>
          <w:color w:val="auto"/>
        </w:rPr>
        <w:t>. Within three (3) Business Days after the Early Termination Reference Date, PubCo shall pay to each TRA Holder an amount equal to the Early Termination Payment for such TRA Holder. Such Early Termination Payment shall be made by PubCo by wire transfer of immediately available funds to a bank account or accounts designated by such TRA Holder or as otherwise agreed by PubCo and such TRA Holder.</w:t>
      </w:r>
    </w:p>
    <w:p>
      <w:pPr>
        <w:spacing w:after="0" w:line="191" w:lineRule="exact"/>
        <w:rPr>
          <w:rFonts w:ascii="Arial" w:cs="Arial" w:eastAsia="Arial" w:hAnsi="Arial"/>
          <w:sz w:val="22"/>
          <w:szCs w:val="22"/>
          <w:color w:val="auto"/>
        </w:rPr>
      </w:pPr>
    </w:p>
    <w:p>
      <w:pPr>
        <w:ind w:firstLine="8"/>
        <w:spacing w:after="0" w:line="306" w:lineRule="auto"/>
        <w:tabs>
          <w:tab w:leader="none" w:pos="432"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Amount of Payment</w:t>
      </w:r>
      <w:r>
        <w:rPr>
          <w:rFonts w:ascii="Arial" w:cs="Arial" w:eastAsia="Arial" w:hAnsi="Arial"/>
          <w:sz w:val="19"/>
          <w:szCs w:val="19"/>
          <w:color w:val="auto"/>
        </w:rPr>
        <w:t>. The “</w:t>
      </w:r>
      <w:r>
        <w:rPr>
          <w:rFonts w:ascii="Arial" w:cs="Arial" w:eastAsia="Arial" w:hAnsi="Arial"/>
          <w:sz w:val="19"/>
          <w:szCs w:val="19"/>
          <w:u w:val="single" w:color="auto"/>
          <w:color w:val="auto"/>
        </w:rPr>
        <w:t>Early Termination Payment</w:t>
      </w:r>
      <w:r>
        <w:rPr>
          <w:rFonts w:ascii="Arial" w:cs="Arial" w:eastAsia="Arial" w:hAnsi="Arial"/>
          <w:sz w:val="19"/>
          <w:szCs w:val="19"/>
          <w:color w:val="auto"/>
        </w:rPr>
        <w:t>” payable to a TRA Holder pursuant to Section 4.3(a) shall equal the present value, discounted at the Early Termination Rate as determined as of the Early Termination Reference Date (other than any Tax Benefit Payments in respect of Taxable Years ending prior to the Early Termination Effective Date), of all Tax Benefit Payments that would be required to be paid by PubCo to such TRA Holder, beginning from the Early Termination Effective Date and assuming that the Valuation Assumptions in respect of such TRA Holder are applied. For the avoidance of doubt, an Early Termination Payment shall be made to each TRA Holder in accordance with this Agreement, regardless of whether a TRA Holder has Exchanged all of its Units as of the Early Termination Effective Date.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SUBORDINATION AND LATE PAYMENTS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Subordination</w:t>
      </w:r>
      <w:r>
        <w:rPr>
          <w:rFonts w:ascii="Arial" w:cs="Arial" w:eastAsia="Arial" w:hAnsi="Arial"/>
          <w:sz w:val="21"/>
          <w:szCs w:val="21"/>
          <w:color w:val="auto"/>
        </w:rPr>
        <w:t>. Notwithstanding any other provision of this Agreement to the contrary, any Tax Benefit Payment required to be made by PubCo to the TRA Holders under this Agreement shall rank subordinate and junior in right of payment to any principal, interest, or other amounts due and payable in respect of any obligations owed in respect of secured or unsecured indebtedness for borrowed money of PubCo and its Subsidiaries (“</w:t>
      </w:r>
      <w:r>
        <w:rPr>
          <w:rFonts w:ascii="Arial" w:cs="Arial" w:eastAsia="Arial" w:hAnsi="Arial"/>
          <w:sz w:val="21"/>
          <w:szCs w:val="21"/>
          <w:u w:val="single" w:color="auto"/>
          <w:color w:val="auto"/>
        </w:rPr>
        <w:t>Senior Obligations</w:t>
      </w:r>
      <w:r>
        <w:rPr>
          <w:rFonts w:ascii="Arial" w:cs="Arial" w:eastAsia="Arial" w:hAnsi="Arial"/>
          <w:sz w:val="21"/>
          <w:szCs w:val="21"/>
          <w:color w:val="auto"/>
        </w:rPr>
        <w:t>”) and shall rank pari passu in right of payment with all current or future unsecured obligations of PubCo that are not Senior Obligations. To the extent that any payment under this Agreement is not permitted to be made at the time payment is due as a result of this Section 5.1 and the terms of the agreements governing Senior Obligations, such payment obligation nevertheless shall accrue for the benefit of the TRA Holders and PubCo shall make such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88" w:name="page289"/>
    <w:bookmarkEnd w:id="288"/>
    <w:p>
      <w:pPr>
        <w:spacing w:after="0" w:line="260" w:lineRule="auto"/>
        <w:rPr>
          <w:sz w:val="20"/>
          <w:szCs w:val="20"/>
          <w:color w:val="auto"/>
        </w:rPr>
      </w:pPr>
      <w:r>
        <w:rPr>
          <w:rFonts w:ascii="Arial" w:cs="Arial" w:eastAsia="Arial" w:hAnsi="Arial"/>
          <w:sz w:val="22"/>
          <w:szCs w:val="22"/>
          <w:color w:val="auto"/>
        </w:rPr>
        <w:t>payments at the first opportunity that such payments are permitted to be made in accordance with the terms of the Senior Obligations. Notwithstanding any other provision of this Agreement to the contrary, to the extent that PubCo or any of its Affiliates enters into future Tax receivable or other similar agreements (“</w:t>
      </w:r>
      <w:r>
        <w:rPr>
          <w:rFonts w:ascii="Arial" w:cs="Arial" w:eastAsia="Arial" w:hAnsi="Arial"/>
          <w:sz w:val="22"/>
          <w:szCs w:val="22"/>
          <w:u w:val="single" w:color="auto"/>
          <w:color w:val="auto"/>
        </w:rPr>
        <w:t>Future TRAs</w:t>
      </w:r>
      <w:r>
        <w:rPr>
          <w:rFonts w:ascii="Arial" w:cs="Arial" w:eastAsia="Arial" w:hAnsi="Arial"/>
          <w:sz w:val="22"/>
          <w:szCs w:val="22"/>
          <w:color w:val="auto"/>
        </w:rPr>
        <w:t>”), PubCo shall ensure that the terms of any such Future TRA shall provide that the Tax Attributes subject to this Agreement are considered senior in priority to any Tax attributes subject to any such Future TRA for purposes of calculating the amount and timing of payments under any such Future TRA.</w:t>
      </w:r>
    </w:p>
    <w:p>
      <w:pPr>
        <w:spacing w:after="0" w:line="192" w:lineRule="exact"/>
        <w:rPr>
          <w:sz w:val="20"/>
          <w:szCs w:val="20"/>
          <w:color w:val="auto"/>
        </w:rPr>
      </w:pPr>
    </w:p>
    <w:p>
      <w:pPr>
        <w:ind w:right="260"/>
        <w:spacing w:after="0" w:line="31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Late Payments by PubCo</w:t>
      </w:r>
      <w:r>
        <w:rPr>
          <w:rFonts w:ascii="Arial" w:cs="Arial" w:eastAsia="Arial" w:hAnsi="Arial"/>
          <w:sz w:val="19"/>
          <w:szCs w:val="19"/>
          <w:color w:val="auto"/>
        </w:rPr>
        <w:t>. The amount of all or any portion of any Tax Benefit Payment or Early Termination Payment not made to the TRA Holders when due under the terms of this Agreement, whether as a result of Section 5.1 or otherwise, shall be payable together with any interest thereon, computed at the Default Rate and commencing from the date on which such Tax Benefit Payment or Early Termination Payment was first due and payable to the date of actual payment.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TAX MATTERS; CONSISTENCY; COOPERATION</w:t>
      </w:r>
    </w:p>
    <w:p>
      <w:pPr>
        <w:spacing w:after="0" w:line="229" w:lineRule="exact"/>
        <w:rPr>
          <w:sz w:val="20"/>
          <w:szCs w:val="20"/>
          <w:color w:val="auto"/>
        </w:rPr>
      </w:pPr>
    </w:p>
    <w:p>
      <w:pPr>
        <w:ind w:right="40"/>
        <w:spacing w:after="0" w:line="300"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Participation in the Corporation’s and the LLC’s Tax Matters</w:t>
      </w:r>
      <w:r>
        <w:rPr>
          <w:rFonts w:ascii="Arial" w:cs="Arial" w:eastAsia="Arial" w:hAnsi="Arial"/>
          <w:sz w:val="19"/>
          <w:szCs w:val="19"/>
          <w:color w:val="auto"/>
        </w:rPr>
        <w:t>. Except as otherwise provided herein, the Corporation shall have full responsibility for, and sole discretion over, all Tax matters concerning the Corporation and the LLC, including without limitation the preparation, filing or amending of any Tax Return and defending, contesting or settling any issue pertaining to Taxes. Notwithstanding the foregoing, PubCo (i) shall notify the TRA Holder Representatives of, and keep the TRA Holder Representatives reasonably informed with respect to, the portion of any audit, examination, or any other administrative or judicial proceeding (a “</w:t>
      </w:r>
      <w:r>
        <w:rPr>
          <w:rFonts w:ascii="Arial" w:cs="Arial" w:eastAsia="Arial" w:hAnsi="Arial"/>
          <w:sz w:val="19"/>
          <w:szCs w:val="19"/>
          <w:u w:val="single" w:color="auto"/>
          <w:color w:val="auto"/>
        </w:rPr>
        <w:t>Tax Proceeding</w:t>
      </w:r>
      <w:r>
        <w:rPr>
          <w:rFonts w:ascii="Arial" w:cs="Arial" w:eastAsia="Arial" w:hAnsi="Arial"/>
          <w:sz w:val="19"/>
          <w:szCs w:val="19"/>
          <w:color w:val="auto"/>
        </w:rPr>
        <w:t>”) of the Corporation, the LLC, or any of the LLC’s Subsidiaries by a Taxing Authority the outcome of which is reasonably expected to materially and adversely affect the rights and obligations of the TRA Holders under this Agreement, (ii) shall provide the TRA Holder Representatives with reasonable opportunity to provide information and other input to the Corporation, the LLC and their respective advisors concerning the conduct of any such portion of a Tax Proceeding, and (iii) shall not enter into any settlement with respect to any such portion of a Tax Proceeding that could have a material effect on the TRA Holders’ rights (including the right to receive payments) under this Agreement without the written consent of the TRA Holder Representatives, such consent not to be unreasonably withheld, conditioned or delayed; provided, however, that the Corporation and the LLC shall not be required to take any action, or refrain from taking any action, that is inconsistent with any provision of the LLC Agreement; provided, further, that, notwithstanding anything to the contrary contained herein, the Corporation shall prepare, file, and/or amend all Tax Returns in accordance with applicable law (including with respect to the calculation of taxable income and any calculations required to be made under this Agreement) and nothing in this Agreement shall prevent the TRA Holder Representatives from disputing such Tax matters in accordance with Section 7.9.</w:t>
      </w:r>
    </w:p>
    <w:p>
      <w:pPr>
        <w:spacing w:after="0" w:line="163" w:lineRule="exact"/>
        <w:rPr>
          <w:sz w:val="20"/>
          <w:szCs w:val="20"/>
          <w:color w:val="auto"/>
        </w:rPr>
      </w:pPr>
    </w:p>
    <w:p>
      <w:pPr>
        <w:ind w:right="340"/>
        <w:spacing w:after="0" w:line="31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Consistency</w:t>
      </w:r>
      <w:r>
        <w:rPr>
          <w:rFonts w:ascii="Arial" w:cs="Arial" w:eastAsia="Arial" w:hAnsi="Arial"/>
          <w:sz w:val="19"/>
          <w:szCs w:val="19"/>
          <w:color w:val="auto"/>
        </w:rPr>
        <w:t>. The Corporation and the TRA Holders agree to report and cause to be reported for all purposes, including U.S. federal, state and local Tax purposes and financial reporting purposes, all Tax-related items (including, without limitation, the Basis Adjustments and each Tax Benefit Payment) in a manner consistent with that contemplated by this Agreement or specified by PubCo in any Schedule required to be provided by or on behalf of PubCo under</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89" w:name="page290"/>
    <w:bookmarkEnd w:id="289"/>
    <w:p>
      <w:pPr>
        <w:ind w:right="560"/>
        <w:spacing w:after="0" w:line="279" w:lineRule="auto"/>
        <w:rPr>
          <w:sz w:val="20"/>
          <w:szCs w:val="20"/>
          <w:color w:val="auto"/>
        </w:rPr>
      </w:pPr>
      <w:r>
        <w:rPr>
          <w:rFonts w:ascii="Arial" w:cs="Arial" w:eastAsia="Arial" w:hAnsi="Arial"/>
          <w:sz w:val="21"/>
          <w:szCs w:val="21"/>
          <w:color w:val="auto"/>
        </w:rPr>
        <w:t>this Agreement unless otherwise required by law. PubCo shall (and shall cause the LLC and its other Subsidiaries to) use commercially reasonable efforts (for the avoidance of doubt, taking into account the interests and entitlements of all TRA Holders under this Agreement) to defend the Tax treatment contemplated by this Agreement and any Schedule in any audit, contest or similar proceeding with any Taxing Authority.</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Cooperation</w:t>
      </w:r>
      <w:r>
        <w:rPr>
          <w:rFonts w:ascii="Arial" w:cs="Arial" w:eastAsia="Arial" w:hAnsi="Arial"/>
          <w:sz w:val="19"/>
          <w:szCs w:val="19"/>
          <w:color w:val="auto"/>
        </w:rPr>
        <w:t>. Each TRA Holder shall (i) furnish to PubCo in a timely manner such information, documents and other materials as PubCo may reasonably request for purposes of making any determination or computation necessary or appropriate under or with respect to this Agreement, preparing any Tax Return or contesting or defending any audit, examination or controversy with any Taxing Authority, or estimating any future Tax Benefit Payments hereunder, (ii) make itself available to PubCo and its representatives to provide explanations of documents and materials and such other information as may be reasonably requested in connection with any of the matters described in clause (i) above, and (iii) reasonably cooperate in connection with any such matter and PubCo shall reimburse any TRA Holder for any reasonable and documented out-of-pocket costs and expenses incurred pursuant to this Section 6.3. Upon the request of any TRA Holder Representative, PubCo shall cooperate in taking any action reasonably requested by such TRA Holder Representative in connection with a TRA Holder’s tax or financial reporting and/or the consummation of any assignment or transfer of any of a TRA Holder’s rights and/or obligations under this Agreement, including without limitation, providing any information or executing any documentation.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consents and other communications hereunder shall be in writing and shall be given (and shall be deemed to have been duly given upon receipt) by delivery in person, by courier service, by fax, by electronic mail (delivery receipt requested) or by certified or registered mail (postage prepaid, return receipt requested) to the respective Parties at the following addresses (or at such other address for a Party as shall be as specified in a notice given in accordance with this Section 7.1). All notices hereunder shall be delivered as set forth below, or pursuant to such other instructions as may be designated in writing by the Party to receive such notice: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PubCo,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Definitive Healthcare Corp.</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550 Cochituate Rd</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Framingham, MA 01701</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Telephone: (508) 720-4224</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Attn: David M. Samuels</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dsamuels@definitivehc.com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(which shall not constitute notice to PubCo)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767 Fifth Avenue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0" w:name="page291"/>
    <w:bookmarkEnd w:id="290"/>
    <w:p>
      <w:pPr>
        <w:ind w:left="760"/>
        <w:spacing w:after="0"/>
        <w:rPr>
          <w:sz w:val="20"/>
          <w:szCs w:val="20"/>
          <w:color w:val="auto"/>
        </w:rPr>
      </w:pPr>
      <w:r>
        <w:rPr>
          <w:rFonts w:ascii="Arial" w:cs="Arial" w:eastAsia="Arial" w:hAnsi="Arial"/>
          <w:sz w:val="22"/>
          <w:szCs w:val="22"/>
          <w:color w:val="auto"/>
        </w:rPr>
        <w:t>New York, NY 10153</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Attn: Alexander D. Lynch; Barbra J. Broudy; Marilyn French Shaw</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alex.lynch@weil.com; barbra.broudy@weil.com; marilynfrench.shaw@weil.com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the Advent Funds: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Advent International Corporation</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Prudential Tower</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800 Boylston Street</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Boston, MA 02110</w:t>
      </w:r>
    </w:p>
    <w:p>
      <w:pPr>
        <w:spacing w:after="0" w:line="1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Lauren Young; James Westra</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lyoung@adventinternational.com; jwestra@adventinternational.com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(which shall not constitute notice to the Advent Funds)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767 Fifth Avenue</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New York, NY 10153</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Attn: Alexander D. Lynch; Barbra J. Broudy</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alex.lynch@weil.com; barbra.broudy@weil.com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the 22C Funds: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22C Capital LLC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7900 Glades Road, Suite 540</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Boca Raton, FL 33434</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Attn: Eric Edell</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eje@22ccapital.com</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the Spectrum Funds: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One International Place, 35th Floor</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Boston MA 02110</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Chris@spectrumequity.com; Jeff@spectrumequity.com</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Any Party may change its address, fax number or e-mail address by giving each of the other Parties written notice thereof in the manner set forth above.</w:t>
      </w:r>
    </w:p>
    <w:p>
      <w:pPr>
        <w:spacing w:after="0" w:line="174" w:lineRule="exact"/>
        <w:rPr>
          <w:sz w:val="20"/>
          <w:szCs w:val="20"/>
          <w:color w:val="auto"/>
        </w:rPr>
      </w:pPr>
    </w:p>
    <w:p>
      <w:pPr>
        <w:ind w:right="40"/>
        <w:spacing w:after="0" w:line="261"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other electronic transmission shall be as effective as delivery of a manually signed counterpart of this Agreement.</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Entire Agreement; No Third Party Beneficiaries</w:t>
      </w:r>
      <w:r>
        <w:rPr>
          <w:rFonts w:ascii="Arial" w:cs="Arial" w:eastAsia="Arial" w:hAnsi="Arial"/>
          <w:sz w:val="22"/>
          <w:szCs w:val="22"/>
          <w:color w:val="auto"/>
        </w:rPr>
        <w:t>. This Agreement constitutes the entire agreement and supersedes all prior agreements and understandings, both written and oral,</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291" w:name="page292"/>
    <w:bookmarkEnd w:id="291"/>
    <w:p>
      <w:pPr>
        <w:spacing w:after="0" w:line="262" w:lineRule="auto"/>
        <w:rPr>
          <w:sz w:val="20"/>
          <w:szCs w:val="20"/>
          <w:color w:val="auto"/>
        </w:rPr>
      </w:pPr>
      <w:r>
        <w:rPr>
          <w:rFonts w:ascii="Arial" w:cs="Arial" w:eastAsia="Arial" w:hAnsi="Arial"/>
          <w:sz w:val="22"/>
          <w:szCs w:val="22"/>
          <w:color w:val="auto"/>
        </w:rPr>
        <w:t>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Assignments; Amendments; Successors; No Waiver</w:t>
      </w:r>
      <w:r>
        <w:rPr>
          <w:rFonts w:ascii="Arial" w:cs="Arial" w:eastAsia="Arial" w:hAnsi="Arial"/>
          <w:sz w:val="19"/>
          <w:szCs w:val="19"/>
          <w:color w:val="auto"/>
        </w:rPr>
        <w:t>.</w:t>
      </w:r>
    </w:p>
    <w:p>
      <w:pPr>
        <w:spacing w:after="0" w:line="233" w:lineRule="exact"/>
        <w:rPr>
          <w:sz w:val="20"/>
          <w:szCs w:val="20"/>
          <w:color w:val="auto"/>
        </w:rPr>
      </w:pPr>
    </w:p>
    <w:p>
      <w:pPr>
        <w:ind w:right="60" w:firstLine="8"/>
        <w:spacing w:after="0" w:line="317" w:lineRule="auto"/>
        <w:tabs>
          <w:tab w:leader="none" w:pos="432"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Each TRA Holder may assign, sell, pledge, or otherwise alienate or transfer any interest in this Agreement, including the right to receive any Tax Benefit Payments under this Agreement, to any Person; provided such Person executes and delivers a Joinder agreeing to succeed to the applicable portion of such TRA Holder’s interest in this Agreement and to become a Party for all purposes of this Agreement, except as otherwise provided in such Joinder (the “</w:t>
      </w:r>
      <w:r>
        <w:rPr>
          <w:rFonts w:ascii="Arial" w:cs="Arial" w:eastAsia="Arial" w:hAnsi="Arial"/>
          <w:sz w:val="19"/>
          <w:szCs w:val="19"/>
          <w:u w:val="single" w:color="auto"/>
          <w:color w:val="auto"/>
        </w:rPr>
        <w:t>Joinder Requirement</w:t>
      </w:r>
      <w:r>
        <w:rPr>
          <w:rFonts w:ascii="Arial" w:cs="Arial" w:eastAsia="Arial" w:hAnsi="Arial"/>
          <w:sz w:val="19"/>
          <w:szCs w:val="19"/>
          <w:color w:val="auto"/>
        </w:rPr>
        <w:t>”).</w:t>
      </w:r>
    </w:p>
    <w:p>
      <w:pPr>
        <w:spacing w:after="0" w:line="141" w:lineRule="exact"/>
        <w:rPr>
          <w:rFonts w:ascii="Arial" w:cs="Arial" w:eastAsia="Arial" w:hAnsi="Arial"/>
          <w:sz w:val="19"/>
          <w:szCs w:val="19"/>
          <w:color w:val="auto"/>
        </w:rPr>
      </w:pPr>
    </w:p>
    <w:p>
      <w:pPr>
        <w:ind w:firstLine="8"/>
        <w:spacing w:after="0" w:line="302" w:lineRule="auto"/>
        <w:tabs>
          <w:tab w:leader="none" w:pos="432"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No provision of this Agreement may be amended unless such amendment is approved in writing by each of PubCo, and by the TRA Holders who would be entitled to receive at least two-thirds of the total amount of the Early Termination Payments payable to all TRA Holders hereunder if PubCo had exercised its right of early termination on the date of the most recent Exchange prior to such amendment (excluding, for purposes of this sentence, all payments made to any TRA Holder pursuant to this Agreement since the date of such most recent Exchange); provided, that no such amendment shall be effective if such amendment will have a disproportionate effect on the payments one or more TRA Holders would be entitled to receive under this Agreement unless such amendment is consented in writing by such TRA Holders disproportionately affected who would be entitled to receive at least two- thirds of the total amount of the Early Termination Payments payable to all TRA Holders disproportionately affected hereunder if PubCo had exercised its right of early termination on the date of the most recent Exchange prior to such amendment (excluding, for purposes of this sentence, all payments made to any TRA Holder pursuant to this Agreement since the date of such most recent Exchange). No provision of this Agreement may be waived unless such waiver is in writing and signed by the Party against whom the waiver is to be effective.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2" w:name="page293"/>
    <w:bookmarkEnd w:id="292"/>
    <w:p>
      <w:pPr>
        <w:ind w:firstLine="8"/>
        <w:spacing w:after="0" w:line="274" w:lineRule="auto"/>
        <w:tabs>
          <w:tab w:leader="none" w:pos="432"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Except as provided in Section 7.6(a), all of the terms and provisions of this Agreement shall be binding upon, and shall inure to the benefit of and be enforceable by, the Parties hereto and their respective successors, assigns, heirs, executors, administrators and legal representatives. PubCo shall require and cause any direct or indirect successor (whether by purchase, merger, consolidation or otherwise) to all or substantially all of the business or assets of PubCo, by written agreement, expressly to assume and agree to perform this Agreement in the same manner and to the same extent that PubCo would be required to perform if no such succession had taken place.</w:t>
      </w:r>
    </w:p>
    <w:p>
      <w:pPr>
        <w:spacing w:after="0" w:line="181" w:lineRule="exact"/>
        <w:rPr>
          <w:rFonts w:ascii="Arial" w:cs="Arial" w:eastAsia="Arial" w:hAnsi="Arial"/>
          <w:sz w:val="21"/>
          <w:szCs w:val="21"/>
          <w:color w:val="auto"/>
        </w:rPr>
      </w:pPr>
    </w:p>
    <w:p>
      <w:pPr>
        <w:jc w:val="both"/>
        <w:ind w:right="120" w:firstLine="8"/>
        <w:spacing w:after="0" w:line="266" w:lineRule="auto"/>
        <w:tabs>
          <w:tab w:leader="none" w:pos="432"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of the sections and subsections of this Agreement are for convenience of reference only and are not to be considered in construing this Agreement.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w:t>
      </w:r>
    </w:p>
    <w:p>
      <w:pPr>
        <w:spacing w:after="0" w:line="233" w:lineRule="exact"/>
        <w:rPr>
          <w:sz w:val="20"/>
          <w:szCs w:val="20"/>
          <w:color w:val="auto"/>
        </w:rPr>
      </w:pPr>
    </w:p>
    <w:p>
      <w:pPr>
        <w:ind w:right="20" w:firstLine="8"/>
        <w:spacing w:after="0" w:line="302" w:lineRule="auto"/>
        <w:tabs>
          <w:tab w:leader="none" w:pos="43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Each party hereby irrevocably submits to the jurisdiction of the United States District Court for the State of Delaware and the state courts of the State of Delaware for the purposes of any suit, action or other proceeding arising out of this Agreement or any transaction contemplated hereby. Each party hereto further agrees that service of any process, summons, notice or document by United States certified or registered mail (in each such case, prepaid return receipt requested) to such party’s respective address set forth in the Company’s books and records or such other address or to the attention of such other person as the recipient party has specified by prior written notice to the sending party shall be effective service of process in any action, suit or proceeding in Delaware with respect to any matters to which it has submitted to jurisdiction as set forth above in the immediately preceding sentence. Each party hereby waives, to the fullest extent permitted by applicable law, any objection which they now or hereafter may have to personal jurisdiction or to the laying of venue of any such ancillary suit, action or proceeding brought in the United States District Court for the State of Delaware and the state courts located in the State of Delaware and the parties agree not to plead or claim the same.</w:t>
      </w:r>
    </w:p>
    <w:p>
      <w:pPr>
        <w:spacing w:after="0" w:line="161" w:lineRule="exact"/>
        <w:rPr>
          <w:rFonts w:ascii="Arial" w:cs="Arial" w:eastAsia="Arial" w:hAnsi="Arial"/>
          <w:sz w:val="19"/>
          <w:szCs w:val="19"/>
          <w:color w:val="auto"/>
        </w:rPr>
      </w:pPr>
    </w:p>
    <w:p>
      <w:pPr>
        <w:ind w:right="20" w:firstLine="8"/>
        <w:spacing w:after="0" w:line="306" w:lineRule="auto"/>
        <w:tabs>
          <w:tab w:leader="none" w:pos="432"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Because disputes arising in connection with complex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each party to this agreement (including the Company) hereby waives all rights to trial by jury in any action or proceeding brought to resolve any dispute between or among any of the parties hereto, whether arising in contract, tort, or otherwise, arising out of, connected with, related or incidental to this agreement, the transactions contemplated hereby and/or the relationships established among the parties hereunder.</w:t>
      </w:r>
    </w:p>
    <w:p>
      <w:pPr>
        <w:spacing w:after="0" w:line="156"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Reconciliation</w:t>
      </w:r>
      <w:r>
        <w:rPr>
          <w:rFonts w:ascii="Arial" w:cs="Arial" w:eastAsia="Arial" w:hAnsi="Arial"/>
          <w:sz w:val="22"/>
          <w:szCs w:val="22"/>
          <w:color w:val="auto"/>
        </w:rPr>
        <w:t>. In the event that PubCo and any TRA Holder Representative are unable to resolve a disagreement with respect to the matters governed by Sections 2.4 and 4.2,</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93" w:name="page294"/>
    <w:bookmarkEnd w:id="293"/>
    <w:p>
      <w:pPr>
        <w:spacing w:after="0" w:line="299" w:lineRule="auto"/>
        <w:rPr>
          <w:sz w:val="20"/>
          <w:szCs w:val="20"/>
          <w:color w:val="auto"/>
        </w:rPr>
      </w:pPr>
      <w:r>
        <w:rPr>
          <w:rFonts w:ascii="Arial" w:cs="Arial" w:eastAsia="Arial" w:hAnsi="Arial"/>
          <w:sz w:val="19"/>
          <w:szCs w:val="19"/>
          <w:color w:val="auto"/>
        </w:rPr>
        <w:t>within the relevant time period designated in this Agreement (a “</w:t>
      </w:r>
      <w:r>
        <w:rPr>
          <w:rFonts w:ascii="Arial" w:cs="Arial" w:eastAsia="Arial" w:hAnsi="Arial"/>
          <w:sz w:val="19"/>
          <w:szCs w:val="19"/>
          <w:u w:val="single" w:color="auto"/>
          <w:color w:val="auto"/>
        </w:rPr>
        <w:t>Reconciliation Dispute</w:t>
      </w:r>
      <w:r>
        <w:rPr>
          <w:rFonts w:ascii="Arial" w:cs="Arial" w:eastAsia="Arial" w:hAnsi="Arial"/>
          <w:sz w:val="19"/>
          <w:szCs w:val="19"/>
          <w:color w:val="auto"/>
        </w:rPr>
        <w:t>”), the Reconciliation Dispute shall be submitted for determination to a nationally recognized expert (the “</w:t>
      </w:r>
      <w:r>
        <w:rPr>
          <w:rFonts w:ascii="Arial" w:cs="Arial" w:eastAsia="Arial" w:hAnsi="Arial"/>
          <w:sz w:val="19"/>
          <w:szCs w:val="19"/>
          <w:u w:val="single" w:color="auto"/>
          <w:color w:val="auto"/>
        </w:rPr>
        <w:t>Expert</w:t>
      </w:r>
      <w:r>
        <w:rPr>
          <w:rFonts w:ascii="Arial" w:cs="Arial" w:eastAsia="Arial" w:hAnsi="Arial"/>
          <w:sz w:val="19"/>
          <w:szCs w:val="19"/>
          <w:color w:val="auto"/>
        </w:rPr>
        <w:t>”) in the particular area of disagreement mutually acceptable to both Parties. The Expert shall be a partner or principal in a nationally recognized accounting firm, and unless PubCo and such TRA Holder Representative agree otherwise, the Expert shall not, and the firm that employs the Expert shall not, have any material relationship with PubCo or such TRA Holder Representative or other actual or potential conflict of interest. If the Parties are unable to agree on an Expert within fifteen (15) calendar days of receipt by the respondent(s) of written notice of a Reconciliation Dispute, the Expert shall be appointed by the International Chamber of Commerce Centre for Expertise. The Expert shall resolve any matter relating to the Attribute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Corporation, subject to adjustment or amendment upon resolution. The costs and expenses relating to the engagement of such Expert or amending any Tax Return shall be borne by PubCo except as provided in the next sentence. PubCo and the TRA Holder Representative shall bear their own costs and expenses of such proceeding, unless (i) the Expert adopts the TRA Holder Representative’s position, in which case PubCo shall reimburse the TRA Holder Representative for any reasonable and documented out-of-pocket costs and expenses in such proceeding, or (ii) the Expert adopts the Corporation’s position, in which case the TRA Holder Representative shall reimburse PubCo for any reasonable and documented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Corporation and the TRA Holders and may be entered and enforced in any court having competent jurisdiction.</w:t>
      </w:r>
    </w:p>
    <w:p>
      <w:pPr>
        <w:spacing w:after="0" w:line="165"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Withholding</w:t>
      </w:r>
      <w:r>
        <w:rPr>
          <w:rFonts w:ascii="Arial" w:cs="Arial" w:eastAsia="Arial" w:hAnsi="Arial"/>
          <w:sz w:val="19"/>
          <w:szCs w:val="19"/>
          <w:color w:val="auto"/>
        </w:rPr>
        <w:t>. PubCo and its affiliates and representatives shall be entitled to deduct and withhold from any payment that is payable to any TRA Holder pursuant to or with respect to this Agreement such amounts as PubCo is required to deduct and withhold with respect to the making of such payment under the Code or any provision of U.S. state, local or foreign Tax law; provided that, prior to deducting or withholding any such amounts, PubCo shall notify the applicable TRA Holder Representative and shall consult in good faith with such TRA Holder Representative regarding the basis for such deduction or withholding. To the extent that amounts are so withheld and paid over to the appropriate Taxing Authority, such withheld amounts shall be treated for all purposes of this Agreement as having been paid by PubCo to the relevant TRA Holder. To the extent that any payment pursuant to this Agreement is not reduced by such deductions or withholdings, such recipient shall indemnify the applicable withholding agent for any amounts imposed by any Taxing Authority together with any costs and expenses related thereto. Each TRA Holder shall promptly provide PubCo, the LLC or other applicable withholding agent with any applicable Tax forms and certifications (including IRS Form W-9 or the applicable version of IRS Form W-8) reasonably requested by PubCo in connection with</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94" w:name="page295"/>
    <w:bookmarkEnd w:id="294"/>
    <w:p>
      <w:pPr>
        <w:ind w:right="260"/>
        <w:spacing w:after="0" w:line="276" w:lineRule="auto"/>
        <w:rPr>
          <w:sz w:val="20"/>
          <w:szCs w:val="20"/>
          <w:color w:val="auto"/>
        </w:rPr>
      </w:pPr>
      <w:r>
        <w:rPr>
          <w:rFonts w:ascii="Arial" w:cs="Arial" w:eastAsia="Arial" w:hAnsi="Arial"/>
          <w:sz w:val="22"/>
          <w:szCs w:val="22"/>
          <w:color w:val="auto"/>
        </w:rPr>
        <w:t>determining whether any such deductions and withholdings are required under the Code or any provision of U.S. state, local or foreign Tax law.</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Admission of PubCo into a Consolidated Group; Transfers of Corporate Assets</w:t>
      </w:r>
      <w:r>
        <w:rPr>
          <w:rFonts w:ascii="Arial" w:cs="Arial" w:eastAsia="Arial" w:hAnsi="Arial"/>
          <w:sz w:val="19"/>
          <w:szCs w:val="19"/>
          <w:color w:val="auto"/>
        </w:rPr>
        <w:t>.</w:t>
      </w:r>
    </w:p>
    <w:p>
      <w:pPr>
        <w:spacing w:after="0" w:line="233" w:lineRule="exact"/>
        <w:rPr>
          <w:sz w:val="20"/>
          <w:szCs w:val="20"/>
          <w:color w:val="auto"/>
        </w:rPr>
      </w:pPr>
    </w:p>
    <w:p>
      <w:pPr>
        <w:ind w:right="60" w:firstLine="8"/>
        <w:spacing w:after="0" w:line="311" w:lineRule="auto"/>
        <w:tabs>
          <w:tab w:leader="none" w:pos="43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If PubCo is or becomes a member of an affiliated or consolidated group of corporations that files a consolidated income Tax Return pursuant to Section 1501 or other applicable Sections of the Code governing affiliated or consolidated groups, or any corresponding provisions of U.S.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50" w:lineRule="exact"/>
        <w:rPr>
          <w:rFonts w:ascii="Arial" w:cs="Arial" w:eastAsia="Arial" w:hAnsi="Arial"/>
          <w:sz w:val="19"/>
          <w:szCs w:val="19"/>
          <w:color w:val="auto"/>
        </w:rPr>
      </w:pPr>
    </w:p>
    <w:p>
      <w:pPr>
        <w:ind w:firstLine="8"/>
        <w:spacing w:after="0" w:line="299" w:lineRule="auto"/>
        <w:tabs>
          <w:tab w:leader="none" w:pos="43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If the Corporation (or any member of a group described in Section 7.11(a)) transfers or is deemed to transfer any Unit or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PubCo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 If the LLC transfers (or is deemed to transfer for U.S. federal income tax purposes)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for purposes of calculating payments under this Agreement, the LLC shall be treated as having disposed of the Reference Asset in a wholly taxable transaction. The consideration deemed to be received by the LLC in a transaction contemplated in the prior sentence shall be equal to the fair market value of the deemed transferred asset, plus, to the extent applicable, the amount of any debt that would increase the transferor’s “amount realized” for U.S. federal income tax purposes in connection with such transfer, in the case of a transfer of an encumbered asset (including an interest in an entity classified for U.S. federal income tax purposes as a partnership which has debt outstanding). If any member of a group described in Section 7.11(a) that owns any Unit deconsolidates from the group (or the Corporation deconsolidates from the group), then PubCo shall cause such member (or the parent of the consolidated group in a case where the Corporation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hereunder pursuant to either of the foregoing sentences, then the initial obligor is relieved of the obligation assumed.</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right="620" w:firstLine="8"/>
        <w:spacing w:after="0" w:line="276" w:lineRule="auto"/>
        <w:tabs>
          <w:tab w:leader="none" w:pos="43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If the Corporation (or any member of a group described in Section 7.11(a)) transfers (or is deemed to transfer for U.S. federal income tax purposes) any Unit in a transaction that is wholly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5" w:name="page296"/>
    <w:bookmarkEnd w:id="295"/>
    <w:p>
      <w:pPr>
        <w:ind w:right="20"/>
        <w:spacing w:after="0" w:line="306" w:lineRule="auto"/>
        <w:rPr>
          <w:sz w:val="20"/>
          <w:szCs w:val="20"/>
          <w:color w:val="auto"/>
        </w:rPr>
      </w:pPr>
      <w:r>
        <w:rPr>
          <w:rFonts w:ascii="Arial" w:cs="Arial" w:eastAsia="Arial" w:hAnsi="Arial"/>
          <w:sz w:val="19"/>
          <w:szCs w:val="19"/>
          <w:color w:val="auto"/>
        </w:rPr>
        <w:t>or partially taxable, then for purposes of calculating payments under this Agreement, the LLC shall be treated as having disposed of the portion of any Reference Asset that is indirectly transferred by the Corporation (i.e., taking into account the number of Units transferred) in a wholly or partially taxable transaction in which all income, gain or loss is allocated to the Corporation. The consideration deemed to be received by the LLC shall be equal to the fair market value of the deemed transferred asset, plus, to the extent applicable, the amount of debt that would increase the transferor’s “amount realized” for U.S. federal income tax purposes in connection with such transfer, in the case of a transfer of an encumbered asset (including an interest in an entity classified for U.S. federal income tax purposes as a partnership which has debt outstanding).</w:t>
      </w:r>
    </w:p>
    <w:p>
      <w:pPr>
        <w:spacing w:after="0" w:line="156"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Confidentiality</w:t>
      </w:r>
      <w:r>
        <w:rPr>
          <w:rFonts w:ascii="Arial" w:cs="Arial" w:eastAsia="Arial" w:hAnsi="Arial"/>
          <w:sz w:val="19"/>
          <w:szCs w:val="19"/>
          <w:color w:val="auto"/>
        </w:rPr>
        <w:t>. Subject to the last sentence of Section 6.3, each TRA Holder and its assignees acknowledges and agrees that the information of PubCo and its Affiliates is confidential and, except in the course of, and to the extent reasonably required in connection with, performing any duties as necessary for PubCo and its Affiliates or as required by law or legal process (in which case, the TRA Holder shall provide prompt written notice of such requirement to PubCo) or to enforce the terms of this Agreement, such Person shall keep and retain in the strictest confidence and not disclose to any Person any confidential matters or confidential information, acquired pursuant to this Agreement, of PubCo and its Affiliates and successors, whether learned by any TRA Holder heretofore or hereafter. This Section 7.12 shall not apply to (i) any information that has been made publicly available by PubCo or any of its Affiliates, becomes public knowledge (except as a result of an act of any TRA Holder in violation of this Agreement) or is generally known to the business community, (ii) the disclosure of information to the extent necessary for a TRA Holder to prosecute or defend claims arising under or relating to this Agreement, and (iii) the disclosure of information to the extent necessary for a TRA Holder to prepare and file its Tax Returns, to respond to any inquiries regarding the same from any Taxing Authority or to prosecute or defend any action, proceeding or audit by any Taxing Authority with respect to such Tax Returns. Notwithstanding anything to the contrary herein, each TRA Holder and each of their assignees (and each employee, representative or other agent of the TRA Holder or its assignees, as applicable) may disclose to any and all Persons, without limitation of any kind, the Tax treatment and Tax structure of PubCo, the LLC and their Affiliates, and any of their transactions, and all materials of any kind (including opinions or other Tax analyses) that are provided to the TRA Holder relating to such Tax treatment and Tax structure. If a TRA Holder or an assignee commits a breach, or threatens to commit a breach, of any of the provisions of this Section 7.12, PubCo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PubCo or any of its Subsidiaries and that money damages alone shall not provide an adequate remedy to such Persons. Such rights and remedies shall be in addition to, and not in lieu of, any other rights and remedies available at law or in equity.</w:t>
      </w:r>
    </w:p>
    <w:p>
      <w:pPr>
        <w:spacing w:after="0" w:line="168" w:lineRule="exact"/>
        <w:rPr>
          <w:sz w:val="20"/>
          <w:szCs w:val="20"/>
          <w:color w:val="auto"/>
        </w:rPr>
      </w:pPr>
    </w:p>
    <w:p>
      <w:pPr>
        <w:ind w:right="60"/>
        <w:spacing w:after="0" w:line="279"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u w:val="single" w:color="auto"/>
          <w:color w:val="auto"/>
        </w:rPr>
        <w:t>Change in Law</w:t>
      </w:r>
      <w:r>
        <w:rPr>
          <w:rFonts w:ascii="Arial" w:cs="Arial" w:eastAsia="Arial" w:hAnsi="Arial"/>
          <w:sz w:val="21"/>
          <w:szCs w:val="21"/>
          <w:color w:val="auto"/>
        </w:rPr>
        <w:t>. Notwithstanding anything herein to the contrary, if, as a result of or, in connection with an actual or proposed change in law, a TRA Holder reasonably believes that the existence of this Agreement could cause income (other than income arising from receipt of a payment under this Agreement) recognized by such TRA Holder (or direct or indirect equity holders in such TRA Holder) in connection with any Exchange to be treated as ordinary income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96" w:name="page297"/>
    <w:bookmarkEnd w:id="296"/>
    <w:p>
      <w:pPr>
        <w:spacing w:after="0" w:line="304" w:lineRule="auto"/>
        <w:rPr>
          <w:sz w:val="20"/>
          <w:szCs w:val="20"/>
          <w:color w:val="auto"/>
        </w:rPr>
      </w:pPr>
      <w:r>
        <w:rPr>
          <w:rFonts w:ascii="Arial" w:cs="Arial" w:eastAsia="Arial" w:hAnsi="Arial"/>
          <w:sz w:val="19"/>
          <w:szCs w:val="19"/>
          <w:color w:val="auto"/>
        </w:rPr>
        <w:t>(other than with respect to so called hot assets, as described in Section 751(a) of the Code) rather than capital gain (or otherwise taxed at ordinary income rates) for U.S. federal income tax purposes or would have other material adverse Tax consequences to such TRA Holder or any direct or indirect owner of such TRA Holder, then at the written election of such TRA Holder in its sole discretion (in an instrument signed by such TRA Holder and delivered to PubCo) and to the extent specified therein by such TRA Holder, (i) this Agreement shall cease to have further effect with respect to such TRA Holder, (ii) shall not apply to an Exchange with respect to such TRA Holder occurring after a date specified by such TRA Holder, or (iii) may be amended by the Parties in a manner reasonably determined by such TRA Holder and PubCo as it relates to such TRA Holder, provided that such amendment shall not result in an increase in or acceleration of any payments owed by PubCo under this Agreement at any time as compared to the amounts and times of payments that would have been due in the absence of such amendment.</w:t>
      </w:r>
    </w:p>
    <w:p>
      <w:pPr>
        <w:spacing w:after="0" w:line="155" w:lineRule="exact"/>
        <w:rPr>
          <w:sz w:val="20"/>
          <w:szCs w:val="20"/>
          <w:color w:val="auto"/>
        </w:rPr>
      </w:pPr>
    </w:p>
    <w:p>
      <w:pPr>
        <w:ind w:right="20"/>
        <w:spacing w:after="0" w:line="303"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Independent Nature of Rights and Obligations</w:t>
      </w:r>
      <w:r>
        <w:rPr>
          <w:rFonts w:ascii="Arial" w:cs="Arial" w:eastAsia="Arial" w:hAnsi="Arial"/>
          <w:sz w:val="19"/>
          <w:szCs w:val="19"/>
          <w:color w:val="auto"/>
        </w:rPr>
        <w:t>. The rights and obligations of each TRA Holder hereunder are several and not joint with the rights and obligations of any other Person. A TRA Holder shall not be responsible in any way for the performance of the obligations of any other Person hereunder, nor shall a TRA Holder have the right to enforce the rights or obligations of any other Person hereunder (other than PubCo). The obligations of a TRA Holder hereunder are solely for the benefit of, and shall be enforceable solely by, PubCo. Nothing contained herein or in any other agreement or document delivered at any closing, and no action taken by any TRA Holder pursuant hereto or thereto, shall be deemed to constitute the TRA Holders acting as a partnership, an association, a joint venture or any other kind of entity, or create a presumption that the TRA Holders are in any way acting in concert or as a group with respect to such rights or obligations or the transactions contemplated hereby, and PubCo acknowledges that the TRA Holders are not acting in concert or as a group and will not assert any such claim with respect to such rights or obligations or the transactions contemplated hereby.</w:t>
      </w:r>
    </w:p>
    <w:p>
      <w:pPr>
        <w:spacing w:after="0" w:line="158"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u w:val="single" w:color="auto"/>
          <w:color w:val="auto"/>
        </w:rPr>
        <w:t>TRA Holder Representative</w:t>
      </w:r>
      <w:r>
        <w:rPr>
          <w:rFonts w:ascii="Arial" w:cs="Arial" w:eastAsia="Arial" w:hAnsi="Arial"/>
          <w:sz w:val="19"/>
          <w:szCs w:val="19"/>
          <w:color w:val="auto"/>
        </w:rPr>
        <w:t>. By executing this Agreement, each of the TRA Holders shall be deemed to have irrevocably constituted their respective TRA Holder Representative as his, her or its agent and attorney in fact with full power of substitution to act from and after the date hereof and to do any and all things and execute any and all documents on behalf of such TRA Holders which may be necessary, convenient or appropriate to facilitate any matters under this Agreement, including but not limited to: (i) execution of the documents and certificates required pursuant to this Agreement; (ii) except to the extent specifically provided in this Agreement receipt and forwarding of notices and communications pursuant to this Agreement; (iii) administration of the provisions of this Agreement; (iv) any and all consents, waivers, amendments or modifications deemed by the respective TRA Holder Representative, in its sole and absolute discretion, to be necessary or appropriate under this Agreement and the execution or delivery of any documents that may be necessary or appropriate in connection therewith; (v) amending this Agreement or any of the instruments to be delivered to PubCo pursuant to this Agreement; (vi) taking actions the TRA Holder Representatives are expressly authorized to take pursuant to the other provisions of this Agreement; (vii) negotiating and compromising, on behalf of such TRA Holders, any dispute that may arise under, and exercising or refraining from exercising any remedies available under, this Agreement or any other agreement contemplated hereby and executing, on behalf of such TRA Holders, any settlement agreement, release or other document with respect to such dispute or remedy; and (viii) engaging attorneys, accountants, agents or consultants on behalf of such TRA Holders in connection 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7" w:name="page298"/>
    <w:bookmarkEnd w:id="297"/>
    <w:p>
      <w:pPr>
        <w:spacing w:after="0" w:line="300" w:lineRule="auto"/>
        <w:rPr>
          <w:sz w:val="20"/>
          <w:szCs w:val="20"/>
          <w:color w:val="auto"/>
        </w:rPr>
      </w:pPr>
      <w:r>
        <w:rPr>
          <w:rFonts w:ascii="Arial" w:cs="Arial" w:eastAsia="Arial" w:hAnsi="Arial"/>
          <w:sz w:val="19"/>
          <w:szCs w:val="19"/>
          <w:color w:val="auto"/>
        </w:rPr>
        <w:t>this Agreement or any other agreement contemplated hereby and paying any fees related thereto. A TRA Holder Representative may resign upon thirty (30) days’ written notice to PubCo. All reasonable, documented out-of-pocket costs and expenses incurred by a TRA Holder Representative in its capacity as such shall be promptly reimbursed by PubCo upon invoice and reasonable support therefor by such TRA Holder Representative. To the fullest extent permitted by law, none of the TRA Holder Representatives, any of their Affiliates, or any of the TRA Holder Representatives’ or Affiliate’s directors, officers, employees or other agents (each a “</w:t>
      </w:r>
      <w:r>
        <w:rPr>
          <w:rFonts w:ascii="Arial" w:cs="Arial" w:eastAsia="Arial" w:hAnsi="Arial"/>
          <w:sz w:val="19"/>
          <w:szCs w:val="19"/>
          <w:u w:val="single" w:color="auto"/>
          <w:color w:val="auto"/>
        </w:rPr>
        <w:t>Covered Person</w:t>
      </w:r>
      <w:r>
        <w:rPr>
          <w:rFonts w:ascii="Arial" w:cs="Arial" w:eastAsia="Arial" w:hAnsi="Arial"/>
          <w:sz w:val="19"/>
          <w:szCs w:val="19"/>
          <w:color w:val="auto"/>
        </w:rPr>
        <w:t>”) shall be liable, responsible or accountable in damages or otherwise to any TRA Holder, the LLC or PubCo for damages arising from any action taken or omitted to be taken by such TRA Holder Representative or any other Person with respect to the LLC or PubCo, except in the case of any action or omission which constitutes, with respect to such Person, willful misconduct or fraud. Each of the Covered Persons may consult with legal counsel, accountants, and other experts selected by it, and any act or omission suffered or taken by it on behalf of the LLC or PubCo or in furtherance of the interests of the LLC or PubCo in good faith in reliance upon and in accordance with the advice of such counsel, accountants, or other experts shall create a rebuttable presumption of the good faith and due care of such Covered Person with respect to such act or omission; provided, that such counsel, accountants, or other experts were selected with reasonable care. Each of the Covered Persons may rely in good faith upon, and shall have no liability to the LLC, PubCo or the TRA Holders for acting or refraining from acting upon, any resolution, certificate, statement, instrument, opinion, report, notice, request, consent, order, bond, debenture, or other paper or document reasonably believed by it to be genuine and to have been signed or presented by the proper party or parties.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Follows This Page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98" w:name="page299"/>
    <w:bookmarkEnd w:id="298"/>
    <w:p>
      <w:pPr>
        <w:spacing w:after="0" w:line="276" w:lineRule="auto"/>
        <w:rPr>
          <w:sz w:val="20"/>
          <w:szCs w:val="20"/>
          <w:color w:val="auto"/>
        </w:rPr>
      </w:pPr>
      <w:r>
        <w:rPr>
          <w:rFonts w:ascii="Arial" w:cs="Arial" w:eastAsia="Arial" w:hAnsi="Arial"/>
          <w:sz w:val="22"/>
          <w:szCs w:val="22"/>
          <w:color w:val="auto"/>
        </w:rPr>
        <w:t>IN WITNESS WHEREOF, the undersigned have executed or caused to be executed on their behalf this Agreement as of the date first written above.</w:t>
      </w:r>
    </w:p>
    <w:p>
      <w:pPr>
        <w:spacing w:after="0" w:line="200" w:lineRule="exact"/>
        <w:rPr>
          <w:sz w:val="20"/>
          <w:szCs w:val="20"/>
          <w:color w:val="auto"/>
        </w:rPr>
      </w:pP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PubCo:</w:t>
      </w: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DEFINITIVE HEALTHCARE CORP.</w:t>
      </w:r>
    </w:p>
    <w:p>
      <w:pPr>
        <w:spacing w:after="0" w:line="200" w:lineRule="exact"/>
        <w:rPr>
          <w:sz w:val="20"/>
          <w:szCs w:val="20"/>
          <w:color w:val="auto"/>
        </w:rPr>
      </w:pPr>
    </w:p>
    <w:p>
      <w:pPr>
        <w:spacing w:after="0" w:line="363" w:lineRule="exact"/>
        <w:rPr>
          <w:sz w:val="20"/>
          <w:szCs w:val="20"/>
          <w:color w:val="auto"/>
        </w:rPr>
      </w:pPr>
    </w:p>
    <w:tbl>
      <w:tblPr>
        <w:tblLayout w:type="fixed"/>
        <w:tblInd w:w="3900" w:type="dxa"/>
        <w:tblCellMar>
          <w:top w:w="0" w:type="dxa"/>
          <w:left w:w="0" w:type="dxa"/>
          <w:bottom w:w="0" w:type="dxa"/>
          <w:right w:w="0" w:type="dxa"/>
        </w:tblCellMar>
      </w:tblPr>
      <w:tr>
        <w:trPr>
          <w:trHeight w:val="285"/>
        </w:trPr>
        <w:tc>
          <w:tcPr>
            <w:tcW w:w="134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jc w:val="center"/>
              <w:ind w:right="3072"/>
              <w:spacing w:after="0"/>
              <w:rPr>
                <w:sz w:val="20"/>
                <w:szCs w:val="20"/>
                <w:color w:val="auto"/>
              </w:rPr>
            </w:pPr>
            <w:r>
              <w:rPr>
                <w:rFonts w:ascii="Arial" w:cs="Arial" w:eastAsia="Arial" w:hAnsi="Arial"/>
                <w:sz w:val="22"/>
                <w:szCs w:val="22"/>
                <w:color w:val="auto"/>
                <w:w w:val="87"/>
              </w:rPr>
              <w:t>/s/ Jason Krantz</w:t>
            </w:r>
          </w:p>
        </w:tc>
      </w:tr>
      <w:tr>
        <w:trPr>
          <w:trHeight w:val="280"/>
        </w:trPr>
        <w:tc>
          <w:tcPr>
            <w:tcW w:w="1340" w:type="dxa"/>
            <w:vAlign w:val="bottom"/>
          </w:tcPr>
          <w:p>
            <w:pPr>
              <w:spacing w:after="0"/>
              <w:rPr>
                <w:sz w:val="20"/>
                <w:szCs w:val="20"/>
                <w:color w:val="auto"/>
              </w:rPr>
            </w:pPr>
            <w:r>
              <w:rPr>
                <w:rFonts w:ascii="Arial" w:cs="Arial" w:eastAsia="Arial" w:hAnsi="Arial"/>
                <w:sz w:val="22"/>
                <w:szCs w:val="22"/>
                <w:color w:val="auto"/>
              </w:rPr>
              <w:t>Name:</w:t>
            </w:r>
          </w:p>
        </w:tc>
        <w:tc>
          <w:tcPr>
            <w:tcW w:w="4600" w:type="dxa"/>
            <w:vAlign w:val="bottom"/>
          </w:tcPr>
          <w:p>
            <w:pPr>
              <w:jc w:val="center"/>
              <w:ind w:right="3132"/>
              <w:spacing w:after="0"/>
              <w:rPr>
                <w:sz w:val="20"/>
                <w:szCs w:val="20"/>
                <w:color w:val="auto"/>
              </w:rPr>
            </w:pPr>
            <w:r>
              <w:rPr>
                <w:rFonts w:ascii="Arial" w:cs="Arial" w:eastAsia="Arial" w:hAnsi="Arial"/>
                <w:sz w:val="22"/>
                <w:szCs w:val="22"/>
                <w:color w:val="auto"/>
                <w:w w:val="87"/>
              </w:rPr>
              <w:t>Jason Krantz</w:t>
            </w:r>
          </w:p>
        </w:tc>
      </w:tr>
      <w:tr>
        <w:trPr>
          <w:trHeight w:val="297"/>
        </w:trPr>
        <w:tc>
          <w:tcPr>
            <w:tcW w:w="134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180"/>
              <w:spacing w:after="0"/>
              <w:rPr>
                <w:sz w:val="20"/>
                <w:szCs w:val="20"/>
                <w:color w:val="auto"/>
              </w:rPr>
            </w:pPr>
            <w:r>
              <w:rPr>
                <w:rFonts w:ascii="Arial" w:cs="Arial" w:eastAsia="Arial" w:hAnsi="Arial"/>
                <w:sz w:val="22"/>
                <w:szCs w:val="22"/>
                <w:color w:val="auto"/>
              </w:rPr>
              <w:t>President and Chief Executive Officer</w:t>
            </w:r>
          </w:p>
        </w:tc>
      </w:tr>
    </w:tbl>
    <w:p>
      <w:pPr>
        <w:spacing w:after="0" w:line="28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AIDH TOPCO, LLC</w:t>
      </w:r>
    </w:p>
    <w:p>
      <w:pPr>
        <w:spacing w:after="0" w:line="200" w:lineRule="exact"/>
        <w:rPr>
          <w:sz w:val="20"/>
          <w:szCs w:val="20"/>
          <w:color w:val="auto"/>
        </w:rPr>
      </w:pPr>
    </w:p>
    <w:p>
      <w:pPr>
        <w:spacing w:after="0" w:line="363" w:lineRule="exact"/>
        <w:rPr>
          <w:sz w:val="20"/>
          <w:szCs w:val="20"/>
          <w:color w:val="auto"/>
        </w:rPr>
      </w:pPr>
    </w:p>
    <w:tbl>
      <w:tblPr>
        <w:tblLayout w:type="fixed"/>
        <w:tblInd w:w="3900" w:type="dxa"/>
        <w:tblCellMar>
          <w:top w:w="0" w:type="dxa"/>
          <w:left w:w="0" w:type="dxa"/>
          <w:bottom w:w="0" w:type="dxa"/>
          <w:right w:w="0" w:type="dxa"/>
        </w:tblCellMar>
      </w:tblPr>
      <w:tr>
        <w:trPr>
          <w:trHeight w:val="285"/>
        </w:trPr>
        <w:tc>
          <w:tcPr>
            <w:tcW w:w="15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jc w:val="center"/>
              <w:ind w:right="2872"/>
              <w:spacing w:after="0"/>
              <w:rPr>
                <w:sz w:val="20"/>
                <w:szCs w:val="20"/>
                <w:color w:val="auto"/>
              </w:rPr>
            </w:pPr>
            <w:r>
              <w:rPr>
                <w:rFonts w:ascii="Arial" w:cs="Arial" w:eastAsia="Arial" w:hAnsi="Arial"/>
                <w:sz w:val="22"/>
                <w:szCs w:val="22"/>
                <w:color w:val="auto"/>
                <w:w w:val="87"/>
              </w:rPr>
              <w:t>/s/ Jason Krantz</w:t>
            </w:r>
          </w:p>
        </w:tc>
      </w:tr>
      <w:tr>
        <w:trPr>
          <w:trHeight w:val="280"/>
        </w:trPr>
        <w:tc>
          <w:tcPr>
            <w:tcW w:w="15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jc w:val="center"/>
              <w:ind w:right="2892"/>
              <w:spacing w:after="0"/>
              <w:rPr>
                <w:sz w:val="20"/>
                <w:szCs w:val="20"/>
                <w:color w:val="auto"/>
              </w:rPr>
            </w:pPr>
            <w:r>
              <w:rPr>
                <w:rFonts w:ascii="Arial" w:cs="Arial" w:eastAsia="Arial" w:hAnsi="Arial"/>
                <w:sz w:val="22"/>
                <w:szCs w:val="22"/>
                <w:color w:val="auto"/>
                <w:w w:val="87"/>
              </w:rPr>
              <w:t>Jason Krantz</w:t>
            </w:r>
          </w:p>
        </w:tc>
      </w:tr>
      <w:tr>
        <w:trPr>
          <w:trHeight w:val="297"/>
        </w:trPr>
        <w:tc>
          <w:tcPr>
            <w:tcW w:w="15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6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Tax Receivable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299" w:name="page300"/>
    <w:bookmarkEnd w:id="299"/>
    <w:p>
      <w:pPr>
        <w:ind w:left="2780"/>
        <w:spacing w:after="0"/>
        <w:rPr>
          <w:sz w:val="20"/>
          <w:szCs w:val="20"/>
          <w:color w:val="auto"/>
        </w:rPr>
      </w:pPr>
      <w:r>
        <w:rPr>
          <w:rFonts w:ascii="Arial" w:cs="Arial" w:eastAsia="Arial" w:hAnsi="Arial"/>
          <w:sz w:val="22"/>
          <w:szCs w:val="22"/>
          <w:b w:val="1"/>
          <w:bCs w:val="1"/>
          <w:color w:val="auto"/>
        </w:rPr>
        <w:t>TRA HOLDERS:</w:t>
      </w: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24130</wp:posOffset>
            </wp:positionV>
            <wp:extent cx="377190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Jason Krantz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00" w:name="page301"/>
    <w:bookmarkEnd w:id="300"/>
    <w:p>
      <w:pPr>
        <w:ind w:left="3380"/>
        <w:spacing w:after="0"/>
        <w:rPr>
          <w:sz w:val="20"/>
          <w:szCs w:val="20"/>
          <w:color w:val="auto"/>
        </w:rPr>
      </w:pPr>
      <w:r>
        <w:rPr>
          <w:rFonts w:ascii="Arial" w:cs="Arial" w:eastAsia="Arial" w:hAnsi="Arial"/>
          <w:sz w:val="19"/>
          <w:szCs w:val="19"/>
          <w:color w:val="auto"/>
        </w:rPr>
        <w:t>Signed and delivered on behalf of each of the following persons on an</w:t>
      </w:r>
    </w:p>
    <w:p>
      <w:pPr>
        <w:spacing w:after="0" w:line="56"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individual basis: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Allastair Meffen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Alys Reynder Scott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Andrew Nelson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Catherine Wright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Dave Courville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Dave Peisach</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David Kronfeld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David Thornton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Jason Mitchell</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John Macek</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Julie Moore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Kevin P. Shone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Kurt Anderson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Mark Haddad Echelon 2017, LP</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Patrick Roberts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Gleavy</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Stefan Evers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Todd Bellemare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Spencer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Anderson Lavor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Bauerle Lars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Björn Carlsson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Brian Harper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Chris Marcogliese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Christopher Brooks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Elizabeth McCann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Erin Moxley</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Evan Cox</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Gregg Vincent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Guy Bowman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Henrik Alburg</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Jake Christman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Janet Carlisle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Jason Reynolds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Jordan McAdams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Justin Steinman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Keegan Hellweg</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Ken Cote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Laine Lovell</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Maggie Fortune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Marc Delaronde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Marissa Peoples</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pacing w:after="0" w:line="284"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440" w:top="402" w:right="1019" w:bottom="1440" w:gutter="0" w:footer="0" w:header="0"/>
        </w:sectPr>
      </w:pPr>
    </w:p>
    <w:bookmarkStart w:id="301" w:name="page302"/>
    <w:bookmarkEnd w:id="301"/>
    <w:p>
      <w:pPr>
        <w:ind w:left="3380"/>
        <w:spacing w:after="0"/>
        <w:rPr>
          <w:sz w:val="20"/>
          <w:szCs w:val="20"/>
          <w:color w:val="auto"/>
        </w:rPr>
      </w:pPr>
      <w:r>
        <w:rPr>
          <w:rFonts w:ascii="Arial" w:cs="Arial" w:eastAsia="Arial" w:hAnsi="Arial"/>
          <w:sz w:val="22"/>
          <w:szCs w:val="22"/>
          <w:color w:val="auto"/>
        </w:rPr>
        <w:t>Mark Schroeder</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Matthew Martocci</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Michelle Liro</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Naveen Hariprasad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Nils-Johan Hult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Oskar Thornblad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Paul Bolick</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Paula</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Randy Wambold</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Groebel</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Robin Priddis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Ryan Sowers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Scott Oberlink</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Steve Aubertin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Steve Carr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Thomas Baker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Thomas Cribben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Tina Christopher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Jordan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Middleton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Tom Penque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Jill Larsen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Digital HR LLC</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W. Musslewhite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Robert Musslewhite 2014 Family Trust</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Kate Shamsuddin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Joseph Mirisola</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David Samuels</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Richard Booth</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Samuel Allen Hamood Trust U/A 8/27/2010</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Michael Liu</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MHDH USA Inc.</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Paula Sjövall Boultbee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Joseph F Donahue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Joseph H Donahue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Christopher</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Keep Enterprises LLC</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Lars Bauerle</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Andrew H. Palmer</w:t>
      </w:r>
    </w:p>
    <w:p>
      <w:pPr>
        <w:spacing w:after="0" w:line="229" w:lineRule="exact"/>
        <w:rPr>
          <w:sz w:val="20"/>
          <w:szCs w:val="20"/>
          <w:color w:val="auto"/>
        </w:rPr>
      </w:pPr>
    </w:p>
    <w:p>
      <w:pPr>
        <w:jc w:val="right"/>
        <w:ind w:right="1259"/>
        <w:spacing w:after="0"/>
        <w:rPr>
          <w:sz w:val="20"/>
          <w:szCs w:val="20"/>
          <w:color w:val="auto"/>
        </w:rPr>
      </w:pPr>
      <w:r>
        <w:rPr>
          <w:rFonts w:ascii="Arial" w:cs="Arial" w:eastAsia="Arial" w:hAnsi="Arial"/>
          <w:sz w:val="22"/>
          <w:szCs w:val="22"/>
          <w:color w:val="auto"/>
        </w:rPr>
        <w:t>acting by each of their lawfully appointed attorney</w:t>
      </w:r>
    </w:p>
    <w:p>
      <w:pPr>
        <w:spacing w:after="0" w:line="200" w:lineRule="exact"/>
        <w:rPr>
          <w:sz w:val="20"/>
          <w:szCs w:val="20"/>
          <w:color w:val="auto"/>
        </w:rPr>
      </w:pPr>
    </w:p>
    <w:p>
      <w:pPr>
        <w:spacing w:after="0" w:line="37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24130</wp:posOffset>
            </wp:positionV>
            <wp:extent cx="38487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Jason Krantz</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02" w:name="page303"/>
    <w:bookmarkEnd w:id="302"/>
    <w:p>
      <w:pPr>
        <w:ind w:right="4079"/>
        <w:spacing w:after="0" w:line="273" w:lineRule="auto"/>
        <w:rPr>
          <w:sz w:val="20"/>
          <w:szCs w:val="20"/>
          <w:color w:val="auto"/>
        </w:rPr>
      </w:pPr>
      <w:r>
        <w:rPr>
          <w:rFonts w:ascii="Arial" w:cs="Arial" w:eastAsia="Arial" w:hAnsi="Arial"/>
          <w:sz w:val="21"/>
          <w:szCs w:val="21"/>
          <w:color w:val="auto"/>
        </w:rPr>
        <w:t>ADVENT INTERNATIONAL GPE IX LIMITED PARTNERSHIP ADVENT INTERNATIONAL GPE IX-B LIMITED PARTNERSHIP ADVENT INTERNATIONAL GPE IX-C LIMITED PARTNERSHIP ADVENT INTERNATIONAL GPE IX-F LIMITED PARTNERSHIP ADVENT INTERNATIONAL GPE IX-G LIMITED PARTNERSHIP ADVENT INTERNATIONAL GPE IX-H LIMITED PARTNERSHIP ADVENT INTERNATIONAL GPE IX-I LIMITED PARTNERSHIP</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GPE IX GP Limited Partnership,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International GPE IX, LLC,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86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w w:val="92"/>
              </w:rPr>
              <w:t>Manager</w:t>
            </w:r>
          </w:p>
        </w:tc>
        <w:tc>
          <w:tcPr>
            <w:tcW w:w="18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6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146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Name: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James Westra</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w w:val="89"/>
              </w:rPr>
              <w:t>Chief Legal Officer, General Counsel,</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and Managing Partner</w:t>
            </w:r>
          </w:p>
        </w:tc>
      </w:tr>
    </w:tbl>
    <w:p>
      <w:pPr>
        <w:spacing w:after="0" w:line="200" w:lineRule="exact"/>
        <w:rPr>
          <w:sz w:val="20"/>
          <w:szCs w:val="20"/>
          <w:color w:val="auto"/>
        </w:rPr>
      </w:pPr>
    </w:p>
    <w:p>
      <w:pPr>
        <w:spacing w:after="0" w:line="241" w:lineRule="exact"/>
        <w:rPr>
          <w:sz w:val="20"/>
          <w:szCs w:val="20"/>
          <w:color w:val="auto"/>
        </w:rPr>
      </w:pPr>
    </w:p>
    <w:p>
      <w:pPr>
        <w:ind w:right="3739"/>
        <w:spacing w:after="0" w:line="311" w:lineRule="auto"/>
        <w:rPr>
          <w:sz w:val="20"/>
          <w:szCs w:val="20"/>
          <w:color w:val="auto"/>
        </w:rPr>
      </w:pPr>
      <w:r>
        <w:rPr>
          <w:rFonts w:ascii="Arial" w:cs="Arial" w:eastAsia="Arial" w:hAnsi="Arial"/>
          <w:sz w:val="19"/>
          <w:szCs w:val="19"/>
          <w:color w:val="auto"/>
        </w:rPr>
        <w:t>ADVENT PARTNERS GPE IX LIMITED PARTNERSHIP ADVENT PARTNERS GPE IX-A LIMITED PARTNERSHIP ADVENT PARTNERS GPE IX-A CAYMAN LIMITED PARTNERSHIP ADVENT PARTNERS GPE IX-B CAYMAN LIMITED PARTNERSHIP ADVENT PARTNERS GPE IX CAYMAN LIMITED PARTNERSHIP</w:t>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AP GPE IX GP Limited Partnership,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International GPE IX, LLC,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86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w w:val="92"/>
              </w:rPr>
              <w:t>Manager</w:t>
            </w:r>
          </w:p>
        </w:tc>
        <w:tc>
          <w:tcPr>
            <w:tcW w:w="18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6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146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Name: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James Westra</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w w:val="89"/>
              </w:rPr>
              <w:t>Chief Legal Officer, General Counsel,</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and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26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Tax Receivable Agreement</w:t>
      </w:r>
      <w:r>
        <w:rPr>
          <w:rFonts w:ascii="Arial" w:cs="Arial" w:eastAsia="Arial" w:hAnsi="Arial"/>
          <w:sz w:val="20"/>
          <w:szCs w:val="20"/>
          <w:color w:val="auto"/>
        </w:rPr>
        <w:t>]</w:t>
      </w: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303" w:name="page304"/>
    <w:bookmarkEnd w:id="303"/>
    <w:p>
      <w:pPr>
        <w:spacing w:after="0"/>
        <w:rPr>
          <w:sz w:val="20"/>
          <w:szCs w:val="20"/>
          <w:color w:val="auto"/>
        </w:rPr>
      </w:pPr>
      <w:r>
        <w:rPr>
          <w:rFonts w:ascii="Arial" w:cs="Arial" w:eastAsia="Arial" w:hAnsi="Arial"/>
          <w:sz w:val="22"/>
          <w:szCs w:val="22"/>
          <w:color w:val="auto"/>
        </w:rPr>
        <w:t>ADVENT INTERNATIONAL GPE IX-A SCSP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ADVENT INTERNATIONAL GPE IX-D SCSP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ADVENT INTERNATIONAL GPE IX-E SCSP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ADVENT PARTNERS GPE IX STRATEGIC INVESTORS SCSP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6060" w:type="dxa"/>
            <w:vAlign w:val="bottom"/>
            <w:gridSpan w:val="3"/>
          </w:tcPr>
          <w:p>
            <w:pPr>
              <w:spacing w:after="0"/>
              <w:rPr>
                <w:sz w:val="20"/>
                <w:szCs w:val="20"/>
                <w:color w:val="auto"/>
              </w:rPr>
            </w:pPr>
            <w:r>
              <w:rPr>
                <w:rFonts w:ascii="Arial" w:cs="Arial" w:eastAsia="Arial" w:hAnsi="Arial"/>
                <w:sz w:val="22"/>
                <w:szCs w:val="22"/>
                <w:color w:val="auto"/>
              </w:rPr>
              <w:t>GPE IX GP S.à r.l., its General Partner</w:t>
            </w:r>
          </w:p>
        </w:tc>
        <w:tc>
          <w:tcPr>
            <w:tcW w:w="2860" w:type="dxa"/>
            <w:vAlign w:val="bottom"/>
          </w:tcPr>
          <w:p>
            <w:pPr>
              <w:spacing w:after="0"/>
              <w:rPr>
                <w:sz w:val="23"/>
                <w:szCs w:val="23"/>
                <w:color w:val="auto"/>
              </w:rPr>
            </w:pPr>
          </w:p>
        </w:tc>
      </w:tr>
      <w:tr>
        <w:trPr>
          <w:trHeight w:val="308"/>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6060" w:type="dxa"/>
            <w:vAlign w:val="bottom"/>
            <w:gridSpan w:val="3"/>
          </w:tcPr>
          <w:p>
            <w:pPr>
              <w:spacing w:after="0"/>
              <w:rPr>
                <w:sz w:val="20"/>
                <w:szCs w:val="20"/>
                <w:color w:val="auto"/>
              </w:rPr>
            </w:pPr>
            <w:r>
              <w:rPr>
                <w:rFonts w:ascii="Arial" w:cs="Arial" w:eastAsia="Arial" w:hAnsi="Arial"/>
                <w:sz w:val="22"/>
                <w:szCs w:val="22"/>
                <w:color w:val="auto"/>
              </w:rPr>
              <w:t>Advent International GPE IX, LLC, its</w:t>
            </w:r>
          </w:p>
        </w:tc>
        <w:tc>
          <w:tcPr>
            <w:tcW w:w="2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Justin Nuccio</w:t>
            </w:r>
          </w:p>
        </w:tc>
      </w:tr>
      <w:tr>
        <w:trPr>
          <w:trHeight w:val="280"/>
        </w:trPr>
        <w:tc>
          <w:tcPr>
            <w:tcW w:w="860" w:type="dxa"/>
            <w:vAlign w:val="bottom"/>
          </w:tcPr>
          <w:p>
            <w:pPr>
              <w:spacing w:after="0"/>
              <w:rPr>
                <w:sz w:val="24"/>
                <w:szCs w:val="24"/>
                <w:color w:val="auto"/>
              </w:rPr>
            </w:pPr>
          </w:p>
        </w:tc>
        <w:tc>
          <w:tcPr>
            <w:tcW w:w="6060" w:type="dxa"/>
            <w:vAlign w:val="bottom"/>
            <w:gridSpan w:val="3"/>
          </w:tcPr>
          <w:p>
            <w:pPr>
              <w:spacing w:after="0"/>
              <w:rPr>
                <w:sz w:val="20"/>
                <w:szCs w:val="20"/>
                <w:color w:val="auto"/>
              </w:rPr>
            </w:pPr>
            <w:r>
              <w:rPr>
                <w:rFonts w:ascii="Arial" w:cs="Arial" w:eastAsia="Arial" w:hAnsi="Arial"/>
                <w:sz w:val="22"/>
                <w:szCs w:val="22"/>
                <w:color w:val="auto"/>
              </w:rPr>
              <w:t>General Partner</w:t>
            </w:r>
          </w:p>
        </w:tc>
        <w:tc>
          <w:tcPr>
            <w:tcW w:w="2860" w:type="dxa"/>
            <w:vAlign w:val="bottom"/>
          </w:tcPr>
          <w:p>
            <w:pPr>
              <w:spacing w:after="0"/>
              <w:rPr>
                <w:sz w:val="20"/>
                <w:szCs w:val="20"/>
                <w:color w:val="auto"/>
              </w:rPr>
            </w:pPr>
            <w:r>
              <w:rPr>
                <w:rFonts w:ascii="Arial" w:cs="Arial" w:eastAsia="Arial" w:hAnsi="Arial"/>
                <w:sz w:val="22"/>
                <w:szCs w:val="22"/>
                <w:color w:val="auto"/>
              </w:rPr>
              <w:t>Justin Nuccio, Manager</w:t>
            </w:r>
          </w:p>
        </w:tc>
      </w:tr>
      <w:tr>
        <w:trPr>
          <w:trHeight w:val="297"/>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6060" w:type="dxa"/>
            <w:vAlign w:val="bottom"/>
            <w:gridSpan w:val="3"/>
          </w:tcPr>
          <w:p>
            <w:pPr>
              <w:spacing w:after="0"/>
              <w:rPr>
                <w:sz w:val="20"/>
                <w:szCs w:val="20"/>
                <w:color w:val="auto"/>
              </w:rPr>
            </w:pPr>
            <w:r>
              <w:rPr>
                <w:rFonts w:ascii="Arial" w:cs="Arial" w:eastAsia="Arial" w:hAnsi="Arial"/>
                <w:sz w:val="22"/>
                <w:szCs w:val="22"/>
                <w:color w:val="auto"/>
              </w:rPr>
              <w:t>Advent International Corporation, its</w:t>
            </w:r>
          </w:p>
        </w:tc>
        <w:tc>
          <w:tcPr>
            <w:tcW w:w="2860" w:type="dxa"/>
            <w:vAlign w:val="bottom"/>
          </w:tcPr>
          <w:p>
            <w:pPr>
              <w:spacing w:after="0"/>
              <w:rPr>
                <w:sz w:val="24"/>
                <w:szCs w:val="24"/>
                <w:color w:val="auto"/>
              </w:rPr>
            </w:pPr>
          </w:p>
        </w:tc>
      </w:tr>
      <w:tr>
        <w:trPr>
          <w:trHeight w:val="378"/>
        </w:trPr>
        <w:tc>
          <w:tcPr>
            <w:tcW w:w="8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2"/>
                <w:szCs w:val="22"/>
                <w:color w:val="auto"/>
                <w:w w:val="92"/>
              </w:rPr>
              <w:t>Manager</w:t>
            </w:r>
          </w:p>
        </w:tc>
        <w:tc>
          <w:tcPr>
            <w:tcW w:w="1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9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33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5240" w:type="dxa"/>
            <w:vAlign w:val="bottom"/>
            <w:gridSpan w:val="2"/>
          </w:tcPr>
          <w:p>
            <w:pPr>
              <w:ind w:left="60"/>
              <w:spacing w:after="0"/>
              <w:rPr>
                <w:sz w:val="20"/>
                <w:szCs w:val="20"/>
                <w:color w:val="auto"/>
              </w:rPr>
            </w:pPr>
            <w:r>
              <w:rPr>
                <w:rFonts w:ascii="Arial" w:cs="Arial" w:eastAsia="Arial" w:hAnsi="Arial"/>
                <w:sz w:val="22"/>
                <w:szCs w:val="22"/>
                <w:color w:val="auto"/>
              </w:rPr>
              <w:t>James Westra</w:t>
            </w:r>
          </w:p>
        </w:tc>
        <w:tc>
          <w:tcPr>
            <w:tcW w:w="2860" w:type="dxa"/>
            <w:vAlign w:val="bottom"/>
          </w:tcPr>
          <w:p>
            <w:pPr>
              <w:spacing w:after="0"/>
              <w:rPr>
                <w:sz w:val="24"/>
                <w:szCs w:val="24"/>
                <w:color w:val="auto"/>
              </w:rPr>
            </w:pPr>
          </w:p>
        </w:tc>
      </w:tr>
      <w:tr>
        <w:trPr>
          <w:trHeight w:val="297"/>
        </w:trPr>
        <w:tc>
          <w:tcPr>
            <w:tcW w:w="8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5240" w:type="dxa"/>
            <w:vAlign w:val="bottom"/>
            <w:gridSpan w:val="2"/>
          </w:tcPr>
          <w:p>
            <w:pPr>
              <w:ind w:left="60"/>
              <w:spacing w:after="0"/>
              <w:rPr>
                <w:sz w:val="20"/>
                <w:szCs w:val="20"/>
                <w:color w:val="auto"/>
              </w:rPr>
            </w:pPr>
            <w:r>
              <w:rPr>
                <w:rFonts w:ascii="Arial" w:cs="Arial" w:eastAsia="Arial" w:hAnsi="Arial"/>
                <w:sz w:val="22"/>
                <w:szCs w:val="22"/>
                <w:color w:val="auto"/>
              </w:rPr>
              <w:t>Chief Legal Officer, General Counsel,</w:t>
            </w:r>
          </w:p>
        </w:tc>
        <w:tc>
          <w:tcPr>
            <w:tcW w:w="2860" w:type="dxa"/>
            <w:vAlign w:val="bottom"/>
          </w:tcPr>
          <w:p>
            <w:pPr>
              <w:spacing w:after="0"/>
              <w:rPr>
                <w:sz w:val="24"/>
                <w:szCs w:val="24"/>
                <w:color w:val="auto"/>
              </w:rPr>
            </w:pPr>
          </w:p>
        </w:tc>
      </w:tr>
      <w:tr>
        <w:trPr>
          <w:trHeight w:val="297"/>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40" w:type="dxa"/>
            <w:vAlign w:val="bottom"/>
            <w:gridSpan w:val="2"/>
          </w:tcPr>
          <w:p>
            <w:pPr>
              <w:ind w:left="60"/>
              <w:spacing w:after="0"/>
              <w:rPr>
                <w:sz w:val="20"/>
                <w:szCs w:val="20"/>
                <w:color w:val="auto"/>
              </w:rPr>
            </w:pPr>
            <w:r>
              <w:rPr>
                <w:rFonts w:ascii="Arial" w:cs="Arial" w:eastAsia="Arial" w:hAnsi="Arial"/>
                <w:sz w:val="22"/>
                <w:szCs w:val="22"/>
                <w:color w:val="auto"/>
              </w:rPr>
              <w:t>and Managing Partner</w:t>
            </w:r>
          </w:p>
        </w:tc>
        <w:tc>
          <w:tcPr>
            <w:tcW w:w="2860" w:type="dxa"/>
            <w:vAlign w:val="bottom"/>
          </w:tcPr>
          <w:p>
            <w:pPr>
              <w:spacing w:after="0"/>
              <w:rPr>
                <w:sz w:val="24"/>
                <w:szCs w:val="24"/>
                <w:color w:val="auto"/>
              </w:rPr>
            </w:pPr>
          </w:p>
        </w:tc>
      </w:tr>
    </w:tbl>
    <w:p>
      <w:pPr>
        <w:spacing w:after="0" w:line="200" w:lineRule="exact"/>
        <w:rPr>
          <w:sz w:val="20"/>
          <w:szCs w:val="20"/>
          <w:color w:val="auto"/>
        </w:rPr>
      </w:pPr>
    </w:p>
    <w:p>
      <w:pPr>
        <w:spacing w:after="0" w:line="349" w:lineRule="exact"/>
        <w:rPr>
          <w:sz w:val="20"/>
          <w:szCs w:val="20"/>
          <w:color w:val="auto"/>
        </w:rPr>
      </w:pPr>
    </w:p>
    <w:p>
      <w:pPr>
        <w:ind w:right="4159"/>
        <w:spacing w:after="0" w:line="279" w:lineRule="auto"/>
        <w:rPr>
          <w:sz w:val="20"/>
          <w:szCs w:val="20"/>
          <w:color w:val="auto"/>
        </w:rPr>
      </w:pPr>
      <w:r>
        <w:rPr>
          <w:rFonts w:ascii="Arial" w:cs="Arial" w:eastAsia="Arial" w:hAnsi="Arial"/>
          <w:sz w:val="21"/>
          <w:szCs w:val="21"/>
          <w:color w:val="auto"/>
        </w:rPr>
        <w:t>ADVENT GLOBAL TECHNOLOGY LIMITED PARTNERSHIP ADVENT GLOBAL TECHNOLOGY-B LIMITED PARTNERSHIP ADVENT GLOBAL TECHNOLOGY-C LIMITED PARTNERSHIP ADVENT GLOBAL TECHNOLOGY-D LIMITED PARTNERSHIP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Global Technology GP Limited</w:t>
            </w:r>
          </w:p>
        </w:tc>
      </w:tr>
      <w:tr>
        <w:trPr>
          <w:trHeight w:val="270"/>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Partnership,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Global Technology LLC,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86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w w:val="92"/>
              </w:rPr>
              <w:t>Manager</w:t>
            </w:r>
          </w:p>
        </w:tc>
        <w:tc>
          <w:tcPr>
            <w:tcW w:w="18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6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146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Name: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James Westra</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w w:val="89"/>
              </w:rPr>
              <w:t>Chief Legal Officer, General Counsel,</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and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304" w:name="page305"/>
    <w:bookmarkEnd w:id="304"/>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019"/>
          </w:cols>
          <w:pgMar w:left="1440" w:top="622"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93345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22" w:right="1440" w:bottom="1440" w:gutter="0" w:footer="0" w:header="0"/>
          <w:type w:val="continuous"/>
        </w:sectPr>
      </w:pPr>
    </w:p>
    <w:bookmarkStart w:id="305" w:name="page306"/>
    <w:bookmarkEnd w:id="305"/>
    <w:tbl>
      <w:tblPr>
        <w:tblLayout w:type="fixed"/>
        <w:tblInd w:w="0" w:type="dxa"/>
        <w:tblCellMar>
          <w:top w:w="0" w:type="dxa"/>
          <w:left w:w="0" w:type="dxa"/>
          <w:bottom w:w="0" w:type="dxa"/>
          <w:right w:w="0" w:type="dxa"/>
        </w:tblCellMar>
      </w:tblPr>
      <w:tr>
        <w:trPr>
          <w:trHeight w:val="274"/>
        </w:trPr>
        <w:tc>
          <w:tcPr>
            <w:tcW w:w="6940" w:type="dxa"/>
            <w:vAlign w:val="bottom"/>
            <w:gridSpan w:val="2"/>
          </w:tcPr>
          <w:p>
            <w:pPr>
              <w:spacing w:after="0"/>
              <w:rPr>
                <w:sz w:val="20"/>
                <w:szCs w:val="20"/>
                <w:color w:val="auto"/>
              </w:rPr>
            </w:pPr>
            <w:r>
              <w:rPr>
                <w:rFonts w:ascii="Arial" w:cs="Arial" w:eastAsia="Arial" w:hAnsi="Arial"/>
                <w:sz w:val="22"/>
                <w:szCs w:val="22"/>
                <w:color w:val="auto"/>
              </w:rPr>
              <w:t>ADVENT GLOBAL TECHNOLOGY-A SCSP</w:t>
            </w:r>
          </w:p>
        </w:tc>
        <w:tc>
          <w:tcPr>
            <w:tcW w:w="2860" w:type="dxa"/>
            <w:vAlign w:val="bottom"/>
          </w:tcPr>
          <w:p>
            <w:pPr>
              <w:spacing w:after="0"/>
              <w:rPr>
                <w:sz w:val="23"/>
                <w:szCs w:val="23"/>
                <w:color w:val="auto"/>
              </w:rPr>
            </w:pPr>
          </w:p>
        </w:tc>
      </w:tr>
      <w:tr>
        <w:trPr>
          <w:trHeight w:val="765"/>
        </w:trPr>
        <w:tc>
          <w:tcPr>
            <w:tcW w:w="600" w:type="dxa"/>
            <w:vAlign w:val="bottom"/>
          </w:tcPr>
          <w:p>
            <w:pPr>
              <w:ind w:left="20"/>
              <w:spacing w:after="0"/>
              <w:rPr>
                <w:sz w:val="20"/>
                <w:szCs w:val="20"/>
                <w:color w:val="auto"/>
              </w:rPr>
            </w:pPr>
            <w:r>
              <w:rPr>
                <w:rFonts w:ascii="Arial" w:cs="Arial" w:eastAsia="Arial" w:hAnsi="Arial"/>
                <w:sz w:val="22"/>
                <w:szCs w:val="22"/>
                <w:color w:val="auto"/>
              </w:rPr>
              <w:t>By:</w:t>
            </w:r>
          </w:p>
        </w:tc>
        <w:tc>
          <w:tcPr>
            <w:tcW w:w="6340" w:type="dxa"/>
            <w:vAlign w:val="bottom"/>
          </w:tcPr>
          <w:p>
            <w:pPr>
              <w:ind w:left="280"/>
              <w:spacing w:after="0"/>
              <w:rPr>
                <w:sz w:val="20"/>
                <w:szCs w:val="20"/>
                <w:color w:val="auto"/>
              </w:rPr>
            </w:pPr>
            <w:r>
              <w:rPr>
                <w:rFonts w:ascii="Arial" w:cs="Arial" w:eastAsia="Arial" w:hAnsi="Arial"/>
                <w:sz w:val="22"/>
                <w:szCs w:val="22"/>
                <w:color w:val="auto"/>
              </w:rPr>
              <w:t>Advent Global Technology GP S.à r.l., its</w:t>
            </w:r>
          </w:p>
        </w:tc>
        <w:tc>
          <w:tcPr>
            <w:tcW w:w="2860" w:type="dxa"/>
            <w:vAlign w:val="bottom"/>
          </w:tcPr>
          <w:p>
            <w:pPr>
              <w:spacing w:after="0"/>
              <w:rPr>
                <w:sz w:val="24"/>
                <w:szCs w:val="24"/>
                <w:color w:val="auto"/>
              </w:rPr>
            </w:pPr>
          </w:p>
        </w:tc>
      </w:tr>
      <w:tr>
        <w:trPr>
          <w:trHeight w:val="274"/>
        </w:trPr>
        <w:tc>
          <w:tcPr>
            <w:tcW w:w="600" w:type="dxa"/>
            <w:vAlign w:val="bottom"/>
          </w:tcPr>
          <w:p>
            <w:pPr>
              <w:spacing w:after="0"/>
              <w:rPr>
                <w:sz w:val="23"/>
                <w:szCs w:val="23"/>
                <w:color w:val="auto"/>
              </w:rPr>
            </w:pPr>
          </w:p>
        </w:tc>
        <w:tc>
          <w:tcPr>
            <w:tcW w:w="6340" w:type="dxa"/>
            <w:vAlign w:val="bottom"/>
          </w:tcPr>
          <w:p>
            <w:pPr>
              <w:ind w:left="280"/>
              <w:spacing w:after="0"/>
              <w:rPr>
                <w:sz w:val="20"/>
                <w:szCs w:val="20"/>
                <w:color w:val="auto"/>
              </w:rPr>
            </w:pPr>
            <w:r>
              <w:rPr>
                <w:rFonts w:ascii="Arial" w:cs="Arial" w:eastAsia="Arial" w:hAnsi="Arial"/>
                <w:sz w:val="22"/>
                <w:szCs w:val="22"/>
                <w:color w:val="auto"/>
              </w:rPr>
              <w:t>General Partner</w:t>
            </w:r>
          </w:p>
        </w:tc>
        <w:tc>
          <w:tcPr>
            <w:tcW w:w="2860" w:type="dxa"/>
            <w:vAlign w:val="bottom"/>
          </w:tcPr>
          <w:p>
            <w:pPr>
              <w:spacing w:after="0"/>
              <w:rPr>
                <w:sz w:val="23"/>
                <w:szCs w:val="23"/>
                <w:color w:val="auto"/>
              </w:rPr>
            </w:pPr>
          </w:p>
        </w:tc>
      </w:tr>
      <w:tr>
        <w:trPr>
          <w:trHeight w:val="308"/>
        </w:trPr>
        <w:tc>
          <w:tcPr>
            <w:tcW w:w="600" w:type="dxa"/>
            <w:vAlign w:val="bottom"/>
          </w:tcPr>
          <w:p>
            <w:pPr>
              <w:ind w:left="20"/>
              <w:spacing w:after="0"/>
              <w:rPr>
                <w:sz w:val="20"/>
                <w:szCs w:val="20"/>
                <w:color w:val="auto"/>
              </w:rPr>
            </w:pPr>
            <w:r>
              <w:rPr>
                <w:rFonts w:ascii="Arial" w:cs="Arial" w:eastAsia="Arial" w:hAnsi="Arial"/>
                <w:sz w:val="22"/>
                <w:szCs w:val="22"/>
                <w:color w:val="auto"/>
              </w:rPr>
              <w:t>By:</w:t>
            </w:r>
          </w:p>
        </w:tc>
        <w:tc>
          <w:tcPr>
            <w:tcW w:w="6340" w:type="dxa"/>
            <w:vAlign w:val="bottom"/>
          </w:tcPr>
          <w:p>
            <w:pPr>
              <w:ind w:left="280"/>
              <w:spacing w:after="0"/>
              <w:rPr>
                <w:sz w:val="20"/>
                <w:szCs w:val="20"/>
                <w:color w:val="auto"/>
              </w:rPr>
            </w:pPr>
            <w:r>
              <w:rPr>
                <w:rFonts w:ascii="Arial" w:cs="Arial" w:eastAsia="Arial" w:hAnsi="Arial"/>
                <w:sz w:val="22"/>
                <w:szCs w:val="22"/>
                <w:color w:val="auto"/>
              </w:rPr>
              <w:t>Advent Global Technology LLC, its</w:t>
            </w:r>
          </w:p>
        </w:tc>
        <w:tc>
          <w:tcPr>
            <w:tcW w:w="2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Justin Nuccio</w:t>
            </w:r>
          </w:p>
        </w:tc>
      </w:tr>
      <w:tr>
        <w:trPr>
          <w:trHeight w:val="280"/>
        </w:trPr>
        <w:tc>
          <w:tcPr>
            <w:tcW w:w="600" w:type="dxa"/>
            <w:vAlign w:val="bottom"/>
          </w:tcPr>
          <w:p>
            <w:pPr>
              <w:spacing w:after="0"/>
              <w:rPr>
                <w:sz w:val="24"/>
                <w:szCs w:val="24"/>
                <w:color w:val="auto"/>
              </w:rPr>
            </w:pPr>
          </w:p>
        </w:tc>
        <w:tc>
          <w:tcPr>
            <w:tcW w:w="6340" w:type="dxa"/>
            <w:vAlign w:val="bottom"/>
          </w:tcPr>
          <w:p>
            <w:pPr>
              <w:ind w:left="280"/>
              <w:spacing w:after="0"/>
              <w:rPr>
                <w:sz w:val="20"/>
                <w:szCs w:val="20"/>
                <w:color w:val="auto"/>
              </w:rPr>
            </w:pPr>
            <w:r>
              <w:rPr>
                <w:rFonts w:ascii="Arial" w:cs="Arial" w:eastAsia="Arial" w:hAnsi="Arial"/>
                <w:sz w:val="22"/>
                <w:szCs w:val="22"/>
                <w:color w:val="auto"/>
              </w:rPr>
              <w:t>General Partner</w:t>
            </w:r>
          </w:p>
        </w:tc>
        <w:tc>
          <w:tcPr>
            <w:tcW w:w="2860" w:type="dxa"/>
            <w:vAlign w:val="bottom"/>
          </w:tcPr>
          <w:p>
            <w:pPr>
              <w:spacing w:after="0"/>
              <w:rPr>
                <w:sz w:val="20"/>
                <w:szCs w:val="20"/>
                <w:color w:val="auto"/>
              </w:rPr>
            </w:pPr>
            <w:r>
              <w:rPr>
                <w:rFonts w:ascii="Arial" w:cs="Arial" w:eastAsia="Arial" w:hAnsi="Arial"/>
                <w:sz w:val="22"/>
                <w:szCs w:val="22"/>
                <w:color w:val="auto"/>
              </w:rPr>
              <w:t>Justin Nuccio, Manager</w:t>
            </w:r>
          </w:p>
        </w:tc>
      </w:tr>
      <w:tr>
        <w:trPr>
          <w:trHeight w:val="293"/>
        </w:trPr>
        <w:tc>
          <w:tcPr>
            <w:tcW w:w="600" w:type="dxa"/>
            <w:vAlign w:val="bottom"/>
          </w:tcPr>
          <w:p>
            <w:pPr>
              <w:ind w:left="20"/>
              <w:spacing w:after="0"/>
              <w:rPr>
                <w:sz w:val="20"/>
                <w:szCs w:val="20"/>
                <w:color w:val="auto"/>
              </w:rPr>
            </w:pPr>
            <w:r>
              <w:rPr>
                <w:rFonts w:ascii="Arial" w:cs="Arial" w:eastAsia="Arial" w:hAnsi="Arial"/>
                <w:sz w:val="22"/>
                <w:szCs w:val="22"/>
                <w:color w:val="auto"/>
              </w:rPr>
              <w:t>By:</w:t>
            </w:r>
          </w:p>
        </w:tc>
        <w:tc>
          <w:tcPr>
            <w:tcW w:w="6340" w:type="dxa"/>
            <w:vAlign w:val="bottom"/>
          </w:tcPr>
          <w:p>
            <w:pPr>
              <w:ind w:left="280"/>
              <w:spacing w:after="0"/>
              <w:rPr>
                <w:sz w:val="20"/>
                <w:szCs w:val="20"/>
                <w:color w:val="auto"/>
              </w:rPr>
            </w:pPr>
            <w:r>
              <w:rPr>
                <w:rFonts w:ascii="Arial" w:cs="Arial" w:eastAsia="Arial" w:hAnsi="Arial"/>
                <w:sz w:val="22"/>
                <w:szCs w:val="22"/>
                <w:color w:val="auto"/>
              </w:rPr>
              <w:t>Advent International Corporation, its</w:t>
            </w:r>
          </w:p>
        </w:tc>
        <w:tc>
          <w:tcPr>
            <w:tcW w:w="2860" w:type="dxa"/>
            <w:vAlign w:val="bottom"/>
          </w:tcPr>
          <w:p>
            <w:pPr>
              <w:spacing w:after="0"/>
              <w:rPr>
                <w:sz w:val="24"/>
                <w:szCs w:val="24"/>
                <w:color w:val="auto"/>
              </w:rPr>
            </w:pPr>
          </w:p>
        </w:tc>
      </w:tr>
      <w:tr>
        <w:trPr>
          <w:trHeight w:val="274"/>
        </w:trPr>
        <w:tc>
          <w:tcPr>
            <w:tcW w:w="600" w:type="dxa"/>
            <w:vAlign w:val="bottom"/>
          </w:tcPr>
          <w:p>
            <w:pPr>
              <w:spacing w:after="0"/>
              <w:rPr>
                <w:sz w:val="23"/>
                <w:szCs w:val="23"/>
                <w:color w:val="auto"/>
              </w:rPr>
            </w:pPr>
          </w:p>
        </w:tc>
        <w:tc>
          <w:tcPr>
            <w:tcW w:w="6340" w:type="dxa"/>
            <w:vAlign w:val="bottom"/>
          </w:tcPr>
          <w:p>
            <w:pPr>
              <w:ind w:left="280"/>
              <w:spacing w:after="0"/>
              <w:rPr>
                <w:sz w:val="20"/>
                <w:szCs w:val="20"/>
                <w:color w:val="auto"/>
              </w:rPr>
            </w:pPr>
            <w:r>
              <w:rPr>
                <w:rFonts w:ascii="Arial" w:cs="Arial" w:eastAsia="Arial" w:hAnsi="Arial"/>
                <w:sz w:val="22"/>
                <w:szCs w:val="22"/>
                <w:color w:val="auto"/>
              </w:rPr>
              <w:t>Manager</w:t>
            </w:r>
          </w:p>
        </w:tc>
        <w:tc>
          <w:tcPr>
            <w:tcW w:w="2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146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3440" w:type="dxa"/>
            <w:vAlign w:val="bottom"/>
            <w:gridSpan w:val="2"/>
          </w:tcPr>
          <w:p>
            <w:pPr>
              <w:ind w:left="140"/>
              <w:spacing w:after="0"/>
              <w:rPr>
                <w:sz w:val="20"/>
                <w:szCs w:val="20"/>
                <w:color w:val="auto"/>
              </w:rPr>
            </w:pPr>
            <w:r>
              <w:rPr>
                <w:rFonts w:ascii="Arial" w:cs="Arial" w:eastAsia="Arial" w:hAnsi="Arial"/>
                <w:sz w:val="22"/>
                <w:szCs w:val="22"/>
                <w:color w:val="auto"/>
              </w:rPr>
              <w:t>James Westra</w:t>
            </w:r>
          </w:p>
        </w:tc>
      </w:tr>
      <w:tr>
        <w:trPr>
          <w:trHeight w:val="297"/>
        </w:trPr>
        <w:tc>
          <w:tcPr>
            <w:tcW w:w="8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3440" w:type="dxa"/>
            <w:vAlign w:val="bottom"/>
            <w:gridSpan w:val="2"/>
          </w:tcPr>
          <w:p>
            <w:pPr>
              <w:ind w:left="140"/>
              <w:spacing w:after="0"/>
              <w:rPr>
                <w:sz w:val="20"/>
                <w:szCs w:val="20"/>
                <w:color w:val="auto"/>
              </w:rPr>
            </w:pPr>
            <w:r>
              <w:rPr>
                <w:rFonts w:ascii="Arial" w:cs="Arial" w:eastAsia="Arial" w:hAnsi="Arial"/>
                <w:sz w:val="22"/>
                <w:szCs w:val="22"/>
                <w:color w:val="auto"/>
                <w:w w:val="89"/>
              </w:rPr>
              <w:t>Chief Legal Officer, General Counsel,</w:t>
            </w:r>
          </w:p>
        </w:tc>
      </w:tr>
      <w:tr>
        <w:trPr>
          <w:trHeight w:val="297"/>
        </w:trPr>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40" w:type="dxa"/>
            <w:vAlign w:val="bottom"/>
            <w:gridSpan w:val="2"/>
          </w:tcPr>
          <w:p>
            <w:pPr>
              <w:ind w:left="140"/>
              <w:spacing w:after="0"/>
              <w:rPr>
                <w:sz w:val="20"/>
                <w:szCs w:val="20"/>
                <w:color w:val="auto"/>
              </w:rPr>
            </w:pPr>
            <w:r>
              <w:rPr>
                <w:rFonts w:ascii="Arial" w:cs="Arial" w:eastAsia="Arial" w:hAnsi="Arial"/>
                <w:sz w:val="22"/>
                <w:szCs w:val="22"/>
                <w:color w:val="auto"/>
              </w:rPr>
              <w:t>and Managing Partner</w:t>
            </w:r>
          </w:p>
        </w:tc>
      </w:tr>
    </w:tbl>
    <w:p>
      <w:pPr>
        <w:spacing w:after="0" w:line="200" w:lineRule="exact"/>
        <w:rPr>
          <w:sz w:val="20"/>
          <w:szCs w:val="20"/>
          <w:color w:val="auto"/>
        </w:rPr>
      </w:pPr>
    </w:p>
    <w:p>
      <w:pPr>
        <w:spacing w:after="0" w:line="295" w:lineRule="exact"/>
        <w:rPr>
          <w:sz w:val="20"/>
          <w:szCs w:val="20"/>
          <w:color w:val="auto"/>
        </w:rPr>
      </w:pPr>
    </w:p>
    <w:p>
      <w:pPr>
        <w:ind w:right="4219"/>
        <w:spacing w:after="0" w:line="298" w:lineRule="auto"/>
        <w:rPr>
          <w:sz w:val="20"/>
          <w:szCs w:val="20"/>
          <w:color w:val="auto"/>
        </w:rPr>
      </w:pPr>
      <w:r>
        <w:rPr>
          <w:rFonts w:ascii="Arial" w:cs="Arial" w:eastAsia="Arial" w:hAnsi="Arial"/>
          <w:sz w:val="19"/>
          <w:szCs w:val="19"/>
          <w:color w:val="auto"/>
        </w:rPr>
        <w:t>ADVENT PARTNERS AGT CAYMAN LIMITED PARTNERSHIP ADVENT PARTNERS AGT LIMITED PARTNERSHIP ADVENT PARTNERS AGT-A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ADVENT GLOBAL TECHNOLOGY STRATEGIC INVESTORS LIMITED PARTNERSHIP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AP AGT GP Limited Partnership,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Global Technology LLC, its</w:t>
            </w:r>
          </w:p>
        </w:tc>
      </w:tr>
      <w:tr>
        <w:trPr>
          <w:trHeight w:val="274"/>
        </w:trPr>
        <w:tc>
          <w:tcPr>
            <w:tcW w:w="86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General Partner</w:t>
            </w:r>
          </w:p>
        </w:tc>
      </w:tr>
      <w:tr>
        <w:trPr>
          <w:trHeight w:val="29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180" w:type="dxa"/>
            <w:vAlign w:val="bottom"/>
            <w:gridSpan w:val="3"/>
          </w:tcPr>
          <w:p>
            <w:pPr>
              <w:ind w:left="20"/>
              <w:spacing w:after="0"/>
              <w:rPr>
                <w:sz w:val="20"/>
                <w:szCs w:val="20"/>
                <w:color w:val="auto"/>
              </w:rPr>
            </w:pPr>
            <w:r>
              <w:rPr>
                <w:rFonts w:ascii="Arial" w:cs="Arial" w:eastAsia="Arial" w:hAnsi="Arial"/>
                <w:sz w:val="22"/>
                <w:szCs w:val="22"/>
                <w:color w:val="auto"/>
              </w:rPr>
              <w:t>Advent International Corporation, its</w:t>
            </w:r>
          </w:p>
        </w:tc>
      </w:tr>
      <w:tr>
        <w:trPr>
          <w:trHeight w:val="274"/>
        </w:trPr>
        <w:tc>
          <w:tcPr>
            <w:tcW w:w="86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w w:val="92"/>
              </w:rPr>
              <w:t>Manager</w:t>
            </w:r>
          </w:p>
        </w:tc>
        <w:tc>
          <w:tcPr>
            <w:tcW w:w="18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6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146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Name: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James Westra</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w w:val="89"/>
              </w:rPr>
              <w:t>Chief Legal Officer, General Counsel,</w:t>
            </w:r>
          </w:p>
        </w:tc>
      </w:tr>
      <w:tr>
        <w:trPr>
          <w:trHeight w:val="297"/>
        </w:trPr>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and Managing Partner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SUNLEY HOUSE CAPITAL MASTER LIMITED PARTNERSHIP</w:t>
      </w:r>
    </w:p>
    <w:p>
      <w:pPr>
        <w:sectPr>
          <w:pgSz w:w="11900" w:h="16838" w:orient="portrait"/>
          <w:cols w:equalWidth="0" w:num="1">
            <w:col w:w="10139"/>
          </w:cols>
          <w:pgMar w:left="320" w:top="402" w:right="1440"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Sunley House Capital GP LP, its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w:t>
      </w:r>
    </w:p>
    <w:p>
      <w:pPr>
        <w:spacing w:after="0" w:line="40" w:lineRule="exact"/>
        <w:rPr>
          <w:sz w:val="20"/>
          <w:szCs w:val="20"/>
          <w:color w:val="auto"/>
        </w:rPr>
      </w:pPr>
    </w:p>
    <w:p>
      <w:pPr>
        <w:sectPr>
          <w:pgSz w:w="11900" w:h="16838" w:orient="portrait"/>
          <w:cols w:equalWidth="0" w:num="2">
            <w:col w:w="340" w:space="560"/>
            <w:col w:w="9239"/>
          </w:cols>
          <w:pgMar w:left="320" w:top="402" w:right="1440"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Sunley House Capital GP LLC, its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ectPr>
          <w:pgSz w:w="11900" w:h="16838" w:orient="portrait"/>
          <w:cols w:equalWidth="0" w:num="2">
            <w:col w:w="340" w:space="560"/>
            <w:col w:w="9239"/>
          </w:cols>
          <w:pgMar w:left="320" w:top="402" w:right="1440" w:bottom="1440" w:gutter="0" w:footer="0" w:header="0"/>
          <w:type w:val="continuous"/>
        </w:sectPr>
      </w:pPr>
    </w:p>
    <w:p>
      <w:pPr>
        <w:spacing w:after="0" w:line="272"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28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James Westra</w:t>
            </w: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2000" w:type="dxa"/>
            <w:vAlign w:val="bottom"/>
            <w:gridSpan w:val="2"/>
          </w:tcPr>
          <w:p>
            <w:pPr>
              <w:ind w:left="140"/>
              <w:spacing w:after="0"/>
              <w:rPr>
                <w:sz w:val="20"/>
                <w:szCs w:val="20"/>
                <w:color w:val="auto"/>
              </w:rPr>
            </w:pPr>
            <w:r>
              <w:rPr>
                <w:rFonts w:ascii="Arial" w:cs="Arial" w:eastAsia="Arial" w:hAnsi="Arial"/>
                <w:sz w:val="22"/>
                <w:szCs w:val="22"/>
                <w:color w:val="auto"/>
              </w:rPr>
              <w:t>James Westra</w:t>
            </w:r>
          </w:p>
        </w:tc>
      </w:tr>
      <w:tr>
        <w:trPr>
          <w:trHeight w:val="297"/>
        </w:trPr>
        <w:tc>
          <w:tcPr>
            <w:tcW w:w="8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000" w:type="dxa"/>
            <w:vAlign w:val="bottom"/>
            <w:gridSpan w:val="2"/>
          </w:tcPr>
          <w:p>
            <w:pPr>
              <w:ind w:left="140"/>
              <w:spacing w:after="0"/>
              <w:rPr>
                <w:sz w:val="20"/>
                <w:szCs w:val="20"/>
                <w:color w:val="auto"/>
              </w:rPr>
            </w:pPr>
            <w:r>
              <w:rPr>
                <w:rFonts w:ascii="Arial" w:cs="Arial" w:eastAsia="Arial" w:hAnsi="Arial"/>
                <w:sz w:val="22"/>
                <w:szCs w:val="22"/>
                <w:color w:val="auto"/>
                <w:w w:val="90"/>
              </w:rPr>
              <w:t>Authorized Signatory</w:t>
            </w:r>
          </w:p>
        </w:tc>
      </w:tr>
    </w:tbl>
    <w:p>
      <w:pPr>
        <w:spacing w:after="0" w:line="230" w:lineRule="exact"/>
        <w:rPr>
          <w:sz w:val="20"/>
          <w:szCs w:val="20"/>
          <w:color w:val="auto"/>
        </w:rPr>
      </w:pPr>
    </w:p>
    <w:p>
      <w:pPr>
        <w:jc w:val="right"/>
        <w:ind w:right="26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Tax Receivable Agreement</w:t>
      </w:r>
      <w:r>
        <w:rPr>
          <w:rFonts w:ascii="Arial" w:cs="Arial" w:eastAsia="Arial" w:hAnsi="Arial"/>
          <w:sz w:val="20"/>
          <w:szCs w:val="20"/>
          <w:color w:val="auto"/>
        </w:rPr>
        <w:t>]</w:t>
      </w:r>
    </w:p>
    <w:p>
      <w:pPr>
        <w:spacing w:after="0" w:line="200" w:lineRule="exact"/>
        <w:rPr>
          <w:sz w:val="20"/>
          <w:szCs w:val="20"/>
          <w:color w:val="auto"/>
        </w:rPr>
      </w:pPr>
    </w:p>
    <w:p>
      <w:pPr>
        <w:spacing w:after="0" w:line="267"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71755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15" w:right="1440" w:bottom="1440" w:gutter="0" w:footer="0" w:header="0"/>
        </w:sectPr>
      </w:pPr>
    </w:p>
    <w:bookmarkStart w:id="307" w:name="page308"/>
    <w:bookmarkEnd w:id="307"/>
    <w:p>
      <w:pPr>
        <w:ind w:left="2780"/>
        <w:spacing w:after="0"/>
        <w:rPr>
          <w:sz w:val="20"/>
          <w:szCs w:val="20"/>
          <w:color w:val="auto"/>
        </w:rPr>
      </w:pPr>
      <w:r>
        <w:rPr>
          <w:rFonts w:ascii="Arial" w:cs="Arial" w:eastAsia="Arial" w:hAnsi="Arial"/>
          <w:sz w:val="22"/>
          <w:szCs w:val="22"/>
          <w:b w:val="1"/>
          <w:bCs w:val="1"/>
          <w:color w:val="auto"/>
        </w:rPr>
        <w:t>SE VII DHC AIV, L.P.</w:t>
      </w:r>
    </w:p>
    <w:p>
      <w:pPr>
        <w:spacing w:after="0" w:line="347" w:lineRule="exact"/>
        <w:rPr>
          <w:sz w:val="20"/>
          <w:szCs w:val="20"/>
          <w:color w:val="auto"/>
        </w:rPr>
      </w:pPr>
    </w:p>
    <w:tbl>
      <w:tblPr>
        <w:tblLayout w:type="fixed"/>
        <w:tblInd w:w="2780" w:type="dxa"/>
        <w:tblCellMar>
          <w:top w:w="0" w:type="dxa"/>
          <w:left w:w="0" w:type="dxa"/>
          <w:bottom w:w="0" w:type="dxa"/>
          <w:right w:w="0" w:type="dxa"/>
        </w:tblCellMar>
      </w:tblP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w w:val="92"/>
              </w:rPr>
              <w:t>Spectrum Equity Associates VII, L.P., its General Partner</w:t>
            </w:r>
          </w:p>
        </w:tc>
      </w:tr>
      <w:tr>
        <w:trPr>
          <w:trHeight w:val="2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SEA VII Management, LLC, its</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7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Managing Director</w:t>
            </w:r>
          </w:p>
        </w:tc>
      </w:tr>
      <w:tr>
        <w:trPr>
          <w:trHeight w:val="783"/>
        </w:trPr>
        <w:tc>
          <w:tcPr>
            <w:tcW w:w="6060" w:type="dxa"/>
            <w:vAlign w:val="bottom"/>
            <w:gridSpan w:val="2"/>
          </w:tcPr>
          <w:p>
            <w:pPr>
              <w:spacing w:after="0"/>
              <w:rPr>
                <w:sz w:val="20"/>
                <w:szCs w:val="20"/>
                <w:color w:val="auto"/>
              </w:rPr>
            </w:pPr>
            <w:r>
              <w:rPr>
                <w:rFonts w:ascii="Arial" w:cs="Arial" w:eastAsia="Arial" w:hAnsi="Arial"/>
                <w:sz w:val="22"/>
                <w:szCs w:val="22"/>
                <w:b w:val="1"/>
                <w:bCs w:val="1"/>
                <w:color w:val="auto"/>
              </w:rPr>
              <w:t>SPECTRUM VII INVESTMENT MANAGERS' FUND, L.P.</w:t>
            </w:r>
          </w:p>
        </w:tc>
      </w:tr>
      <w:tr>
        <w:trPr>
          <w:trHeight w:val="59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SEA VII Management, LLC, its General Partner</w:t>
            </w:r>
          </w:p>
        </w:tc>
      </w:tr>
      <w:tr>
        <w:trPr>
          <w:trHeight w:val="848"/>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357"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SPECTRUM VII CO-INVESTMENT FUND, L.P.</w:t>
      </w:r>
    </w:p>
    <w:p>
      <w:pPr>
        <w:spacing w:after="0" w:line="347" w:lineRule="exact"/>
        <w:rPr>
          <w:sz w:val="20"/>
          <w:szCs w:val="20"/>
          <w:color w:val="auto"/>
        </w:rPr>
      </w:pPr>
    </w:p>
    <w:tbl>
      <w:tblPr>
        <w:tblLayout w:type="fixed"/>
        <w:tblInd w:w="2780" w:type="dxa"/>
        <w:tblCellMar>
          <w:top w:w="0" w:type="dxa"/>
          <w:left w:w="0" w:type="dxa"/>
          <w:bottom w:w="0" w:type="dxa"/>
          <w:right w:w="0" w:type="dxa"/>
        </w:tblCellMar>
      </w:tblPr>
      <w:tr>
        <w:trPr>
          <w:trHeight w:val="270"/>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SEA VII Management, LLC,</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its General Partner</w:t>
            </w:r>
          </w:p>
        </w:tc>
      </w:tr>
      <w:tr>
        <w:trPr>
          <w:trHeight w:val="848"/>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Mitchell</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Christopher Mitchell</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08" w:name="page309"/>
    <w:bookmarkEnd w:id="308"/>
    <w:p>
      <w:pPr>
        <w:ind w:left="2780"/>
        <w:spacing w:after="0"/>
        <w:rPr>
          <w:sz w:val="20"/>
          <w:szCs w:val="20"/>
          <w:color w:val="auto"/>
        </w:rPr>
      </w:pPr>
      <w:r>
        <w:rPr>
          <w:rFonts w:ascii="Arial" w:cs="Arial" w:eastAsia="Arial" w:hAnsi="Arial"/>
          <w:sz w:val="22"/>
          <w:szCs w:val="22"/>
          <w:b w:val="1"/>
          <w:bCs w:val="1"/>
          <w:color w:val="auto"/>
        </w:rPr>
        <w:t>22C CAPITAL I-A, L.P.</w:t>
      </w:r>
    </w:p>
    <w:p>
      <w:pPr>
        <w:spacing w:after="0" w:line="347" w:lineRule="exact"/>
        <w:rPr>
          <w:sz w:val="20"/>
          <w:szCs w:val="20"/>
          <w:color w:val="auto"/>
        </w:rPr>
      </w:pPr>
    </w:p>
    <w:tbl>
      <w:tblPr>
        <w:tblLayout w:type="fixed"/>
        <w:tblInd w:w="2780" w:type="dxa"/>
        <w:tblCellMar>
          <w:top w:w="0" w:type="dxa"/>
          <w:left w:w="0" w:type="dxa"/>
          <w:bottom w:w="0" w:type="dxa"/>
          <w:right w:w="0" w:type="dxa"/>
        </w:tblCellMar>
      </w:tblPr>
      <w:tr>
        <w:trPr>
          <w:trHeight w:val="270"/>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22C Capital GP I, L.L.C., its</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2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22C Capital GP I MM LLC, its</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Managing Member</w:t>
            </w:r>
          </w:p>
        </w:tc>
      </w:tr>
      <w:tr>
        <w:trPr>
          <w:trHeight w:val="7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Member</w:t>
            </w:r>
          </w:p>
        </w:tc>
      </w:tr>
      <w:tr>
        <w:trPr>
          <w:trHeight w:val="7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Member</w:t>
            </w:r>
          </w:p>
        </w:tc>
      </w:tr>
      <w:tr>
        <w:trPr>
          <w:trHeight w:val="783"/>
        </w:trPr>
        <w:tc>
          <w:tcPr>
            <w:tcW w:w="6060" w:type="dxa"/>
            <w:vAlign w:val="bottom"/>
            <w:gridSpan w:val="2"/>
          </w:tcPr>
          <w:p>
            <w:pPr>
              <w:spacing w:after="0"/>
              <w:rPr>
                <w:sz w:val="20"/>
                <w:szCs w:val="20"/>
                <w:color w:val="auto"/>
              </w:rPr>
            </w:pPr>
            <w:r>
              <w:rPr>
                <w:rFonts w:ascii="Arial" w:cs="Arial" w:eastAsia="Arial" w:hAnsi="Arial"/>
                <w:sz w:val="22"/>
                <w:szCs w:val="22"/>
                <w:b w:val="1"/>
                <w:bCs w:val="1"/>
                <w:color w:val="auto"/>
              </w:rPr>
              <w:t>22C CAPITAL I, L.P.</w:t>
            </w:r>
          </w:p>
        </w:tc>
      </w:tr>
      <w:tr>
        <w:trPr>
          <w:trHeight w:val="590"/>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22C Capital GP I, L.L.C., its</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22C Capital GP I MM LLC, its Managing Member</w:t>
            </w:r>
          </w:p>
        </w:tc>
      </w:tr>
      <w:tr>
        <w:trPr>
          <w:trHeight w:val="848"/>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Member</w:t>
            </w:r>
          </w:p>
        </w:tc>
      </w:tr>
      <w:tr>
        <w:trPr>
          <w:trHeight w:val="7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09" w:name="page310"/>
    <w:bookmarkEnd w:id="309"/>
    <w:p>
      <w:pPr>
        <w:ind w:left="2780"/>
        <w:spacing w:after="0"/>
        <w:rPr>
          <w:sz w:val="20"/>
          <w:szCs w:val="20"/>
          <w:color w:val="auto"/>
        </w:rPr>
      </w:pPr>
      <w:r>
        <w:rPr>
          <w:rFonts w:ascii="Arial" w:cs="Arial" w:eastAsia="Arial" w:hAnsi="Arial"/>
          <w:sz w:val="22"/>
          <w:szCs w:val="22"/>
          <w:b w:val="1"/>
          <w:bCs w:val="1"/>
          <w:color w:val="auto"/>
        </w:rPr>
        <w:t>22C CAPITAL I-A, L.P.</w:t>
      </w:r>
    </w:p>
    <w:p>
      <w:pPr>
        <w:spacing w:after="0" w:line="347" w:lineRule="exact"/>
        <w:rPr>
          <w:sz w:val="20"/>
          <w:szCs w:val="20"/>
          <w:color w:val="auto"/>
        </w:rPr>
      </w:pPr>
    </w:p>
    <w:tbl>
      <w:tblPr>
        <w:tblLayout w:type="fixed"/>
        <w:tblInd w:w="2780" w:type="dxa"/>
        <w:tblCellMar>
          <w:top w:w="0" w:type="dxa"/>
          <w:left w:w="0" w:type="dxa"/>
          <w:bottom w:w="0" w:type="dxa"/>
          <w:right w:w="0" w:type="dxa"/>
        </w:tblCellMar>
      </w:tblPr>
      <w:tr>
        <w:trPr>
          <w:trHeight w:val="270"/>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22C Capital GP I, L.L.C., its</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General Partner</w:t>
            </w:r>
          </w:p>
        </w:tc>
      </w:tr>
      <w:tr>
        <w:trPr>
          <w:trHeight w:val="2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spacing w:after="0"/>
              <w:rPr>
                <w:sz w:val="20"/>
                <w:szCs w:val="20"/>
                <w:color w:val="auto"/>
              </w:rPr>
            </w:pPr>
            <w:r>
              <w:rPr>
                <w:rFonts w:ascii="Arial" w:cs="Arial" w:eastAsia="Arial" w:hAnsi="Arial"/>
                <w:sz w:val="22"/>
                <w:szCs w:val="22"/>
                <w:color w:val="auto"/>
              </w:rPr>
              <w:t>22C Capital GP I MM LLC, its</w:t>
            </w:r>
          </w:p>
        </w:tc>
      </w:tr>
      <w:tr>
        <w:trPr>
          <w:trHeight w:val="274"/>
        </w:trPr>
        <w:tc>
          <w:tcPr>
            <w:tcW w:w="8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Managing Member</w:t>
            </w:r>
          </w:p>
        </w:tc>
      </w:tr>
      <w:tr>
        <w:trPr>
          <w:trHeight w:val="7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Randall Winn</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David Randall Winn</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Member</w:t>
            </w:r>
          </w:p>
        </w:tc>
      </w:tr>
      <w:tr>
        <w:trPr>
          <w:trHeight w:val="79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J. Edell</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spacing w:after="0"/>
              <w:rPr>
                <w:sz w:val="20"/>
                <w:szCs w:val="20"/>
                <w:color w:val="auto"/>
              </w:rPr>
            </w:pPr>
            <w:r>
              <w:rPr>
                <w:rFonts w:ascii="Arial" w:cs="Arial" w:eastAsia="Arial" w:hAnsi="Arial"/>
                <w:sz w:val="22"/>
                <w:szCs w:val="22"/>
                <w:color w:val="auto"/>
              </w:rPr>
              <w:t>Eric J. Edell</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spacing w:after="0"/>
              <w:rPr>
                <w:sz w:val="20"/>
                <w:szCs w:val="20"/>
                <w:color w:val="auto"/>
              </w:rPr>
            </w:pPr>
            <w:r>
              <w:rPr>
                <w:rFonts w:ascii="Arial" w:cs="Arial" w:eastAsia="Arial" w:hAnsi="Arial"/>
                <w:sz w:val="22"/>
                <w:szCs w:val="22"/>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10" w:name="page311"/>
    <w:bookmarkEnd w:id="310"/>
    <w:p>
      <w:pPr>
        <w:jc w:val="center"/>
        <w:ind w:right="88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FORM OF JOINDER AGREEMENT</w:t>
      </w:r>
    </w:p>
    <w:p>
      <w:pPr>
        <w:spacing w:after="0" w:line="239" w:lineRule="exact"/>
        <w:rPr>
          <w:sz w:val="20"/>
          <w:szCs w:val="20"/>
          <w:color w:val="auto"/>
        </w:rPr>
      </w:pPr>
    </w:p>
    <w:p>
      <w:pPr>
        <w:ind w:left="140" w:right="160"/>
        <w:spacing w:after="0" w:line="297" w:lineRule="auto"/>
        <w:rPr>
          <w:sz w:val="20"/>
          <w:szCs w:val="20"/>
          <w:color w:val="auto"/>
        </w:rPr>
      </w:pPr>
      <w:r>
        <w:rPr>
          <w:rFonts w:ascii="Arial" w:cs="Arial" w:eastAsia="Arial" w:hAnsi="Arial"/>
          <w:sz w:val="19"/>
          <w:szCs w:val="19"/>
          <w:color w:val="auto"/>
        </w:rPr>
        <w:t>This JOINDER AGREEMENT, dated as of , 20 (this “</w:t>
      </w:r>
      <w:r>
        <w:rPr>
          <w:rFonts w:ascii="Arial" w:cs="Arial" w:eastAsia="Arial" w:hAnsi="Arial"/>
          <w:sz w:val="19"/>
          <w:szCs w:val="19"/>
          <w:u w:val="single" w:color="auto"/>
          <w:color w:val="auto"/>
        </w:rPr>
        <w:t>Joinder</w:t>
      </w:r>
      <w:r>
        <w:rPr>
          <w:rFonts w:ascii="Arial" w:cs="Arial" w:eastAsia="Arial" w:hAnsi="Arial"/>
          <w:sz w:val="19"/>
          <w:szCs w:val="19"/>
          <w:color w:val="auto"/>
        </w:rPr>
        <w:t>”), is delivered pursuant to that certain Tax Receivable Agreement, dated as of September 14, 2021 (as amended, restated, amended and restated, supplemented or otherwise modified from time to time, the “</w:t>
      </w:r>
      <w:r>
        <w:rPr>
          <w:rFonts w:ascii="Arial" w:cs="Arial" w:eastAsia="Arial" w:hAnsi="Arial"/>
          <w:sz w:val="19"/>
          <w:szCs w:val="19"/>
          <w:u w:val="single" w:color="auto"/>
          <w:color w:val="auto"/>
        </w:rPr>
        <w:t>Tax Receivable Agreement</w:t>
      </w:r>
      <w:r>
        <w:rPr>
          <w:rFonts w:ascii="Arial" w:cs="Arial" w:eastAsia="Arial" w:hAnsi="Arial"/>
          <w:sz w:val="19"/>
          <w:szCs w:val="19"/>
          <w:color w:val="auto"/>
        </w:rPr>
        <w:t>”) by and among Definitive Healthcare Corp., a Delaware corporation (“</w:t>
      </w:r>
      <w:r>
        <w:rPr>
          <w:rFonts w:ascii="Arial" w:cs="Arial" w:eastAsia="Arial" w:hAnsi="Arial"/>
          <w:sz w:val="19"/>
          <w:szCs w:val="19"/>
          <w:u w:val="single" w:color="auto"/>
          <w:color w:val="auto"/>
        </w:rPr>
        <w:t>PubCo</w:t>
      </w:r>
      <w:r>
        <w:rPr>
          <w:rFonts w:ascii="Arial" w:cs="Arial" w:eastAsia="Arial" w:hAnsi="Arial"/>
          <w:sz w:val="19"/>
          <w:szCs w:val="19"/>
          <w:color w:val="auto"/>
        </w:rPr>
        <w:t>”), AIDH TopCo, LLC, a Delaware limited liability company (the “</w:t>
      </w:r>
      <w:r>
        <w:rPr>
          <w:rFonts w:ascii="Arial" w:cs="Arial" w:eastAsia="Arial" w:hAnsi="Arial"/>
          <w:sz w:val="19"/>
          <w:szCs w:val="19"/>
          <w:u w:val="single" w:color="auto"/>
          <w:color w:val="auto"/>
        </w:rPr>
        <w:t>LLC</w:t>
      </w:r>
      <w:r>
        <w:rPr>
          <w:rFonts w:ascii="Arial" w:cs="Arial" w:eastAsia="Arial" w:hAnsi="Arial"/>
          <w:sz w:val="19"/>
          <w:szCs w:val="19"/>
          <w:color w:val="auto"/>
        </w:rPr>
        <w:t>”), each of the TRA Holders from time to time party thereto. Capitalized terms used but not otherwise defined herein have the respective meanings set forth in the Tax Receivable Agreement.</w:t>
      </w:r>
    </w:p>
    <w:p>
      <w:pPr>
        <w:spacing w:after="0" w:line="2" w:lineRule="exact"/>
        <w:rPr>
          <w:sz w:val="20"/>
          <w:szCs w:val="20"/>
          <w:color w:val="auto"/>
        </w:rPr>
      </w:pPr>
    </w:p>
    <w:p>
      <w:pPr>
        <w:ind w:left="1640" w:hanging="756"/>
        <w:spacing w:after="0" w:line="268" w:lineRule="auto"/>
        <w:tabs>
          <w:tab w:leader="none" w:pos="1323"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Joinder to the Tax Receivable Agreement</w:t>
      </w:r>
      <w:r>
        <w:rPr>
          <w:rFonts w:ascii="Arial" w:cs="Arial" w:eastAsia="Arial" w:hAnsi="Arial"/>
          <w:sz w:val="21"/>
          <w:szCs w:val="21"/>
          <w:color w:val="auto"/>
        </w:rPr>
        <w:t>. Upon the execution of this Joinder by the undersigned and delivery hereof to PubCo, the undersigned hereby is and hereafter will be a TRA Holder under the Tax Receivable Agreement and a Party thereto, with all the rights, privileges and responsibilities of a TRA Holder thereunder. The undersigned hereby agrees that it shall comply with and be fully bound by the terms of the Tax Receivable Agreement as if it had been a signatory thereto as of the date thereof.</w:t>
      </w:r>
    </w:p>
    <w:p>
      <w:pPr>
        <w:spacing w:after="0" w:line="2" w:lineRule="exact"/>
        <w:rPr>
          <w:rFonts w:ascii="Arial" w:cs="Arial" w:eastAsia="Arial" w:hAnsi="Arial"/>
          <w:sz w:val="21"/>
          <w:szCs w:val="21"/>
          <w:color w:val="auto"/>
        </w:rPr>
      </w:pPr>
    </w:p>
    <w:p>
      <w:pPr>
        <w:ind w:left="1640" w:right="460" w:hanging="756"/>
        <w:spacing w:after="0" w:line="268" w:lineRule="auto"/>
        <w:tabs>
          <w:tab w:leader="none" w:pos="1337"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Incorporation by Reference</w:t>
      </w:r>
      <w:r>
        <w:rPr>
          <w:rFonts w:ascii="Arial" w:cs="Arial" w:eastAsia="Arial" w:hAnsi="Arial"/>
          <w:sz w:val="21"/>
          <w:szCs w:val="21"/>
          <w:color w:val="auto"/>
        </w:rPr>
        <w:t>. All terms and conditions of the Tax Receivable Agreement are hereby incorporated by reference in this Joinder as if set forth herein in full.</w:t>
      </w:r>
    </w:p>
    <w:p>
      <w:pPr>
        <w:ind w:left="1320" w:hanging="436"/>
        <w:spacing w:after="0"/>
        <w:tabs>
          <w:tab w:leader="none" w:pos="132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Address</w:t>
      </w:r>
      <w:r>
        <w:rPr>
          <w:rFonts w:ascii="Arial" w:cs="Arial" w:eastAsia="Arial" w:hAnsi="Arial"/>
          <w:sz w:val="19"/>
          <w:szCs w:val="19"/>
          <w:color w:val="auto"/>
        </w:rPr>
        <w:t>.  All notices under the Tax Receivable Agreement to the undersigned shall be direct</w:t>
      </w:r>
    </w:p>
    <w:p>
      <w:pPr>
        <w:spacing w:after="0" w:line="52"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[Address]</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[City, State, Zip Code] Attn:</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Facsimile:</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E-mail:</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396" w:right="559" w:bottom="1440" w:gutter="0" w:footer="0" w:header="0"/>
        </w:sectPr>
      </w:pPr>
    </w:p>
    <w:bookmarkStart w:id="311" w:name="page312"/>
    <w:bookmarkEnd w:id="311"/>
    <w:p>
      <w:pPr>
        <w:ind w:left="160" w:firstLine="749"/>
        <w:spacing w:after="0" w:line="276" w:lineRule="auto"/>
        <w:rPr>
          <w:sz w:val="20"/>
          <w:szCs w:val="20"/>
          <w:color w:val="auto"/>
        </w:rPr>
      </w:pPr>
      <w:r>
        <w:rPr>
          <w:rFonts w:ascii="Arial" w:cs="Arial" w:eastAsia="Arial" w:hAnsi="Arial"/>
          <w:sz w:val="22"/>
          <w:szCs w:val="22"/>
          <w:color w:val="auto"/>
        </w:rPr>
        <w:t>IN WITNESS WHEREOF, the undersigned has duly executed and delivered this Joinder as of the day and year first above written.</w:t>
      </w:r>
    </w:p>
    <w:p>
      <w:pPr>
        <w:spacing w:after="0" w:line="236"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[NAME OF NEW PARTY]</w:t>
      </w:r>
    </w:p>
    <w:p>
      <w:pPr>
        <w:spacing w:after="0" w:line="34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24130</wp:posOffset>
            </wp:positionV>
            <wp:extent cx="30429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first set forth above: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DEFINITIVE HEALTHCARE CORP.</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24130</wp:posOffset>
            </wp:positionV>
            <wp:extent cx="24860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420" w:top="402" w:right="759" w:bottom="1440" w:gutter="0" w:footer="0" w:header="0"/>
        </w:sectPr>
      </w:pPr>
    </w:p>
    <w:bookmarkStart w:id="312" w:name="page313"/>
    <w:bookmarkEnd w:id="312"/>
    <w:p>
      <w:pPr>
        <w:jc w:val="right"/>
        <w:spacing w:after="0"/>
        <w:rPr>
          <w:sz w:val="20"/>
          <w:szCs w:val="20"/>
          <w:color w:val="auto"/>
        </w:rPr>
      </w:pPr>
      <w:r>
        <w:rPr>
          <w:rFonts w:ascii="Arial" w:cs="Arial" w:eastAsia="Arial" w:hAnsi="Arial"/>
          <w:sz w:val="22"/>
          <w:szCs w:val="22"/>
          <w:b w:val="1"/>
          <w:bCs w:val="1"/>
          <w:color w:val="auto"/>
        </w:rPr>
        <w:t>Exhibit 10.11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NOMINATING AGREEMENT</w:t>
      </w:r>
    </w:p>
    <w:p>
      <w:pPr>
        <w:spacing w:after="0" w:line="239"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9"/>
          <w:szCs w:val="19"/>
          <w:color w:val="auto"/>
        </w:rPr>
        <w:t>This Nominating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September 17, 2021, by and among Definitive Healthcare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Advent International GPE IX Limited Partnership (“</w:t>
      </w:r>
      <w:r>
        <w:rPr>
          <w:rFonts w:ascii="Arial" w:cs="Arial" w:eastAsia="Arial" w:hAnsi="Arial"/>
          <w:sz w:val="19"/>
          <w:szCs w:val="19"/>
          <w:u w:val="single" w:color="auto"/>
          <w:color w:val="auto"/>
        </w:rPr>
        <w:t>Advent</w:t>
      </w:r>
      <w:r>
        <w:rPr>
          <w:rFonts w:ascii="Arial" w:cs="Arial" w:eastAsia="Arial" w:hAnsi="Arial"/>
          <w:sz w:val="19"/>
          <w:szCs w:val="19"/>
          <w:color w:val="auto"/>
        </w:rPr>
        <w:t>”).</w:t>
      </w:r>
    </w:p>
    <w:p>
      <w:pPr>
        <w:spacing w:after="0" w:line="10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WHEREAS, the Company has determined that it is in its best interests to effect an initial public offering (“</w:t>
      </w:r>
      <w:r>
        <w:rPr>
          <w:rFonts w:ascii="Arial" w:cs="Arial" w:eastAsia="Arial" w:hAnsi="Arial"/>
          <w:sz w:val="22"/>
          <w:szCs w:val="22"/>
          <w:u w:val="single" w:color="auto"/>
          <w:color w:val="auto"/>
        </w:rPr>
        <w:t>IPO</w:t>
      </w:r>
      <w:r>
        <w:rPr>
          <w:rFonts w:ascii="Arial" w:cs="Arial" w:eastAsia="Arial" w:hAnsi="Arial"/>
          <w:sz w:val="22"/>
          <w:szCs w:val="22"/>
          <w:color w:val="auto"/>
        </w:rPr>
        <w:t>”) of shares of its Class A common stock, par value $0.001 per share (together with the Company’s Class B common stock, par value $0.00001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21"/>
          <w:szCs w:val="21"/>
          <w:color w:val="auto"/>
        </w:rPr>
        <w:t>WHEREAS, in connection with the IPO, the Company and Advent desire to enter into this Agreement setting forth certain rights and obligations with respect to the shares of Common Stock owned by Advent and its Affiliates; and</w:t>
      </w:r>
    </w:p>
    <w:p>
      <w:pPr>
        <w:spacing w:after="0" w:line="150"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WHEREAS, it is contemplated that as of the consummation of the IPO, the Board of Directors of the Company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will consist of ten (10) directors.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NOW, THEREFORE, for good and valuable consideration, the receipt and adequacy of which are hereby acknowledged, the parties hereto, intending to be legally bound, hereby agree as follows: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respective meanings:</w:t>
      </w:r>
    </w:p>
    <w:p>
      <w:pPr>
        <w:spacing w:after="0" w:line="174"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has the meaning given to that term in Rule 12b-2 under the Securities Exchange Act of 1934,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229" w:lineRule="exact"/>
        <w:rPr>
          <w:sz w:val="20"/>
          <w:szCs w:val="20"/>
          <w:color w:val="auto"/>
        </w:rPr>
      </w:pPr>
    </w:p>
    <w:p>
      <w:pPr>
        <w:ind w:firstLine="1505"/>
        <w:spacing w:after="0" w:line="276" w:lineRule="auto"/>
        <w:tabs>
          <w:tab w:leader="none" w:pos="192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Advent Designee</w:t>
      </w:r>
      <w:r>
        <w:rPr>
          <w:rFonts w:ascii="Arial" w:cs="Arial" w:eastAsia="Arial" w:hAnsi="Arial"/>
          <w:sz w:val="22"/>
          <w:szCs w:val="22"/>
          <w:color w:val="auto"/>
        </w:rPr>
        <w:t>” shall mean any person nominated at any time and from time to time by Advent pursuant to Section 2 to serve on the Board of Directors.</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given to that term in Rule 13d-3 under the Securities Exchange Act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1934, as amended.</w:t>
      </w:r>
    </w:p>
    <w:p>
      <w:pPr>
        <w:spacing w:after="0" w:line="228" w:lineRule="exact"/>
        <w:rPr>
          <w:rFonts w:ascii="Arial" w:cs="Arial" w:eastAsia="Arial" w:hAnsi="Arial"/>
          <w:sz w:val="19"/>
          <w:szCs w:val="19"/>
          <w:color w:val="auto"/>
        </w:rPr>
      </w:pPr>
    </w:p>
    <w:p>
      <w:pPr>
        <w:ind w:right="20" w:firstLine="1505"/>
        <w:spacing w:after="0" w:line="276" w:lineRule="auto"/>
        <w:tabs>
          <w:tab w:leader="none" w:pos="192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means the Amended and Restated By-Laws of the Company, as may be amended, restated or otherwise modified from time to time.</w:t>
      </w:r>
    </w:p>
    <w:p>
      <w:pPr>
        <w:spacing w:after="0" w:line="174"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Board Representation</w:t>
      </w:r>
      <w:r>
        <w:rPr>
          <w:rFonts w:ascii="Arial" w:cs="Arial" w:eastAsia="Arial" w:hAnsi="Arial"/>
          <w:sz w:val="19"/>
          <w:szCs w:val="19"/>
          <w:color w:val="auto"/>
        </w:rPr>
        <w:t>.</w:t>
      </w:r>
    </w:p>
    <w:p>
      <w:pPr>
        <w:spacing w:after="0" w:line="233" w:lineRule="exact"/>
        <w:rPr>
          <w:sz w:val="20"/>
          <w:szCs w:val="20"/>
          <w:color w:val="auto"/>
        </w:rPr>
      </w:pPr>
    </w:p>
    <w:p>
      <w:pPr>
        <w:jc w:val="both"/>
        <w:ind w:firstLine="1505"/>
        <w:spacing w:after="0" w:line="279" w:lineRule="auto"/>
        <w:tabs>
          <w:tab w:leader="none" w:pos="1929" w:val="left"/>
        </w:tabs>
        <w:numPr>
          <w:ilvl w:val="0"/>
          <w:numId w:val="210"/>
        </w:numPr>
        <w:rPr>
          <w:rFonts w:ascii="Arial" w:cs="Arial" w:eastAsia="Arial" w:hAnsi="Arial"/>
          <w:sz w:val="21"/>
          <w:szCs w:val="21"/>
          <w:color w:val="auto"/>
        </w:rPr>
      </w:pPr>
      <w:r>
        <w:rPr>
          <w:rFonts w:ascii="Arial" w:cs="Arial" w:eastAsia="Arial" w:hAnsi="Arial"/>
          <w:sz w:val="21"/>
          <w:szCs w:val="21"/>
          <w:color w:val="auto"/>
        </w:rPr>
        <w:t>So long as Advent and/or its Affiliates are the Beneficial Owner of at least 21.5% of the total number of shares of Common Stock outstanding at any time, the Company shall support the nomination of, and take all necessary actions within its control to cause the Board of Directors to include in the slate of nominees recommended to the Company’s stockholders for election as directors of the Company, two (2) persons designated by Advent.</w:t>
      </w:r>
    </w:p>
    <w:p>
      <w:pPr>
        <w:spacing w:after="0" w:line="173" w:lineRule="exact"/>
        <w:rPr>
          <w:rFonts w:ascii="Arial" w:cs="Arial" w:eastAsia="Arial" w:hAnsi="Arial"/>
          <w:sz w:val="21"/>
          <w:szCs w:val="21"/>
          <w:color w:val="auto"/>
        </w:rPr>
      </w:pPr>
    </w:p>
    <w:p>
      <w:pPr>
        <w:ind w:right="20" w:firstLine="1505"/>
        <w:spacing w:after="0" w:line="276" w:lineRule="auto"/>
        <w:tabs>
          <w:tab w:leader="none" w:pos="1929"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After such time as Advent and/or its Affiliates are no longer the Beneficial Owner of at least 21.5% of the total number of shares of Common Stock, but so long as Advent</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WEIL:\98107196\5\40590.0003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3" w:name="page314"/>
    <w:bookmarkEnd w:id="313"/>
    <w:p>
      <w:pPr>
        <w:jc w:val="both"/>
        <w:spacing w:after="0" w:line="262" w:lineRule="auto"/>
        <w:rPr>
          <w:sz w:val="20"/>
          <w:szCs w:val="20"/>
          <w:color w:val="auto"/>
        </w:rPr>
      </w:pPr>
      <w:r>
        <w:rPr>
          <w:rFonts w:ascii="Arial" w:cs="Arial" w:eastAsia="Arial" w:hAnsi="Arial"/>
          <w:sz w:val="22"/>
          <w:szCs w:val="22"/>
          <w:color w:val="auto"/>
        </w:rPr>
        <w:t>and/or its Affiliates are the Beneficial Owner of at least 5% of the total number of shares of Common Stock outstanding at any time, the Company shall support the nomination of, and take all necessary actions within its control to cause the Board of Directors to include in the slate of nominees recommended to the Company’s stockholders for election as directors of the Company, one (1) person designated by Advent.</w:t>
      </w:r>
    </w:p>
    <w:p>
      <w:pPr>
        <w:spacing w:after="0" w:line="191" w:lineRule="exact"/>
        <w:rPr>
          <w:sz w:val="20"/>
          <w:szCs w:val="20"/>
          <w:color w:val="auto"/>
        </w:rPr>
      </w:pPr>
    </w:p>
    <w:p>
      <w:pPr>
        <w:jc w:val="both"/>
        <w:ind w:firstLine="1505"/>
        <w:spacing w:after="0" w:line="276" w:lineRule="auto"/>
        <w:tabs>
          <w:tab w:leader="none" w:pos="1929" w:val="left"/>
        </w:tabs>
        <w:numPr>
          <w:ilvl w:val="0"/>
          <w:numId w:val="211"/>
        </w:numPr>
        <w:rPr>
          <w:rFonts w:ascii="Arial" w:cs="Arial" w:eastAsia="Arial" w:hAnsi="Arial"/>
          <w:sz w:val="21"/>
          <w:szCs w:val="21"/>
          <w:color w:val="auto"/>
        </w:rPr>
      </w:pPr>
      <w:r>
        <w:rPr>
          <w:rFonts w:ascii="Arial" w:cs="Arial" w:eastAsia="Arial" w:hAnsi="Arial"/>
          <w:sz w:val="21"/>
          <w:szCs w:val="21"/>
          <w:color w:val="auto"/>
        </w:rPr>
        <w:t>So long as Advent and/or its Affiliates are the Beneficial Owner of at least 5% of the total number of shares of Common Stock outstanding at any time, the Company shall, and take all necessary actions within its control to cause the Board of Directors to, fill any vacancy of an Advent Designee arising through the death, resignation or removal to be filled by a person designated by Advent and such person so chosen shall hold office until the next annual election and until his or her successor is duly elected and qualified, or until his or her earlier death, resignation or removal.</w:t>
      </w:r>
    </w:p>
    <w:p>
      <w:pPr>
        <w:spacing w:after="0" w:line="177" w:lineRule="exact"/>
        <w:rPr>
          <w:rFonts w:ascii="Arial" w:cs="Arial" w:eastAsia="Arial" w:hAnsi="Arial"/>
          <w:sz w:val="21"/>
          <w:szCs w:val="21"/>
          <w:color w:val="auto"/>
        </w:rPr>
      </w:pPr>
    </w:p>
    <w:p>
      <w:pPr>
        <w:jc w:val="both"/>
        <w:ind w:firstLine="1505"/>
        <w:spacing w:after="0" w:line="303" w:lineRule="auto"/>
        <w:tabs>
          <w:tab w:leader="none" w:pos="192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Notwithstanding the provisions of this Section 2, Advent shall not be entitled to designate any person as a nominee to the Board of Directors if the Company receives a written opinion of its outside legal counsel, which shall be a counsel of national reputation, that such person would not be qualified under any applicable law, rule or regulation, rule of the Nasdaq Global Market or the By-Laws to serve as a director of the Company. Other than for the reasons set forth in the preceding sentence, the Company shall not have the right to object to any Advent Designee. The Company shall notify Advent in writing of the date on which proxy materials are expected to be mailed by the Company in connection with an election of directors (and such notice shall be delivered to Advent at least 30 days prior to such expected mailing date). The Company shall notify Advent of any objection to an Advent Designee pursuant to this Section 2(d) sufficiently in advance of the date on which such proxy materials are to be mailed by the Company in connection with such election of directors so as to enable Advent to propose a replacement Advent Designee in accordance with the terms of this Agreement.</w:t>
      </w:r>
    </w:p>
    <w:p>
      <w:pPr>
        <w:spacing w:after="0" w:line="157" w:lineRule="exact"/>
        <w:rPr>
          <w:rFonts w:ascii="Arial" w:cs="Arial" w:eastAsia="Arial" w:hAnsi="Arial"/>
          <w:sz w:val="19"/>
          <w:szCs w:val="19"/>
          <w:color w:val="auto"/>
        </w:rPr>
      </w:pPr>
    </w:p>
    <w:p>
      <w:pPr>
        <w:jc w:val="both"/>
        <w:ind w:firstLine="1505"/>
        <w:spacing w:after="0" w:line="266" w:lineRule="auto"/>
        <w:tabs>
          <w:tab w:leader="none" w:pos="192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Company shall pay all reasonable out-of-pocket expenses incurred by any Advent Designee in connection with the performance of his or her duties as a director and in connection with his or her attendance at any meeting of the Board of Directors.</w:t>
      </w:r>
    </w:p>
    <w:p>
      <w:pPr>
        <w:spacing w:after="0" w:line="18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So long as Advent has the right to nominate an Advent Designee or any such Advent Designee is serving on the Board of Directors, the Company shall use its reasonable best efforts to maintain in effect at all times directors and officers indemnity insurance coverage reasonably satisfactory to Advent.</w:t>
      </w:r>
    </w:p>
    <w:p>
      <w:pPr>
        <w:spacing w:after="0" w:line="184" w:lineRule="exact"/>
        <w:rPr>
          <w:rFonts w:ascii="Arial" w:cs="Arial" w:eastAsia="Arial" w:hAnsi="Arial"/>
          <w:sz w:val="22"/>
          <w:szCs w:val="22"/>
          <w:color w:val="auto"/>
        </w:rPr>
      </w:pPr>
    </w:p>
    <w:p>
      <w:pPr>
        <w:jc w:val="both"/>
        <w:ind w:firstLine="1505"/>
        <w:spacing w:after="0" w:line="305" w:lineRule="auto"/>
        <w:tabs>
          <w:tab w:leader="none" w:pos="192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Company recognizes that each Advent Designee (i) will from time to time receive non-public information concerning the Company, and (ii) may share such information with directors, officers, members, stockholders, partners, employees or advisors of Advent International Corporation on a confidential basis. The Company hereby irrevocably consents to such sharing of such information on a confidential basis. Advent agrees that it will keep confidential and not disclose or divulge any confidential information regarding the Company it receives from the Company or a Advent Designee, unless such information (x) is available or becomes available to the public in general or (y) is or has been made known or disclosed to Advent by a third party without a breach of any obligation of confidentiality such third party may have to the Company; provided, however, that Advent may disclose confidential information on a confidential basis (I)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WEIL:\98107196\5\40590.0003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14" w:name="page315"/>
    <w:bookmarkEnd w:id="314"/>
    <w:p>
      <w:pPr>
        <w:jc w:val="both"/>
        <w:spacing w:after="0" w:line="306" w:lineRule="auto"/>
        <w:rPr>
          <w:sz w:val="20"/>
          <w:szCs w:val="20"/>
          <w:color w:val="auto"/>
        </w:rPr>
      </w:pPr>
      <w:r>
        <w:rPr>
          <w:rFonts w:ascii="Arial" w:cs="Arial" w:eastAsia="Arial" w:hAnsi="Arial"/>
          <w:sz w:val="19"/>
          <w:szCs w:val="19"/>
          <w:color w:val="auto"/>
        </w:rPr>
        <w:t>to its Affiliates (other than portfolio companies), (II) to each of its and its Affiliate’s (other than portfolio companies) attorneys, accountants, consultants, advisors and other professionals to the extent necessary to obtain their services in connection with evaluating the information, or (III) as may be required by law or legal, judicial or regulatory process or requested by any regulatory or self-regulatory authority or examiner, provided, further, that Advent shall take reasonable steps to minimize the extent of any required disclosure described in this clause (f), including, with respect to clause (g)(III), providing the Company with prompt written notice so that the Company may seek a protective order at the Company’s expense or other appropriate remedy and cooperating with the Company in any effort to obtain a protective order or other remedy.</w:t>
      </w:r>
    </w:p>
    <w:p>
      <w:pPr>
        <w:spacing w:after="0" w:line="15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Notwithstanding the provisions of this Section 2, the Company shall not be required to take any action which it reasonably believes is unlawful, and the Company shall be allowed to take any action the omission of which it reasonably believes would be unlawful.</w:t>
      </w:r>
    </w:p>
    <w:p>
      <w:pPr>
        <w:spacing w:after="0" w:line="185"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ind w:right="20" w:firstLine="1505"/>
        <w:spacing w:after="0" w:line="276" w:lineRule="auto"/>
        <w:tabs>
          <w:tab w:leader="none" w:pos="1929"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Delaware, without giving effect to its principles of conflicts of laws.</w:t>
      </w:r>
    </w:p>
    <w:p>
      <w:pPr>
        <w:spacing w:after="0" w:line="174" w:lineRule="exact"/>
        <w:rPr>
          <w:rFonts w:ascii="Arial" w:cs="Arial" w:eastAsia="Arial" w:hAnsi="Arial"/>
          <w:sz w:val="22"/>
          <w:szCs w:val="22"/>
          <w:color w:val="auto"/>
        </w:rPr>
      </w:pPr>
    </w:p>
    <w:p>
      <w:pPr>
        <w:jc w:val="both"/>
        <w:ind w:firstLine="1505"/>
        <w:spacing w:after="0" w:line="308" w:lineRule="auto"/>
        <w:tabs>
          <w:tab w:leader="none" w:pos="1929"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Certain Adjustments</w:t>
      </w:r>
      <w:r>
        <w:rPr>
          <w:rFonts w:ascii="Arial" w:cs="Arial" w:eastAsia="Arial" w:hAnsi="Arial"/>
          <w:sz w:val="19"/>
          <w:szCs w:val="19"/>
          <w:color w:val="auto"/>
        </w:rPr>
        <w:t>. The provisions of this Agreement shall apply to the full extent set forth herein with respect to any and all shares of capital stock of the Company or any successor or assign of the Company (whether by merger, consolidation, sale of assets or otherwise) that may be issued in respect of, in exchange for, or in substitution for the shares of Common Stock, by combination, recapitalization, reclassification, merger, consolidation or otherwise and the term “</w:t>
      </w:r>
      <w:r>
        <w:rPr>
          <w:rFonts w:ascii="Arial" w:cs="Arial" w:eastAsia="Arial" w:hAnsi="Arial"/>
          <w:sz w:val="19"/>
          <w:szCs w:val="19"/>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shall include all such other securities. In the event of any change in the capitalization of the Company, as a result of any stock split, stock dividend or stock combination or otherwise, the provisions of this Agreement shall be appropriately adjusted.</w:t>
      </w:r>
    </w:p>
    <w:p>
      <w:pPr>
        <w:spacing w:after="0" w:line="153" w:lineRule="exact"/>
        <w:rPr>
          <w:rFonts w:ascii="Arial" w:cs="Arial" w:eastAsia="Arial" w:hAnsi="Arial"/>
          <w:sz w:val="19"/>
          <w:szCs w:val="19"/>
          <w:color w:val="auto"/>
        </w:rPr>
      </w:pPr>
    </w:p>
    <w:p>
      <w:pPr>
        <w:ind w:firstLine="1505"/>
        <w:spacing w:after="0" w:line="276" w:lineRule="auto"/>
        <w:tabs>
          <w:tab w:leader="none" w:pos="197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parties expressly agree that the provisions of this Agreement may be specifically enforced against each of the parties hereto in any court of competent jurisdiction.</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43"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herein, the provisions hereof, including without limitation the nomination rights and other rights set forth Section 2, shall inure to the benefit of, and be binding upon, the successors, assigns, heirs, executors, and administrators of the parties hereto.</w:t>
      </w:r>
    </w:p>
    <w:p>
      <w:pPr>
        <w:spacing w:after="0" w:line="184" w:lineRule="exact"/>
        <w:rPr>
          <w:rFonts w:ascii="Arial" w:cs="Arial" w:eastAsia="Arial" w:hAnsi="Arial"/>
          <w:sz w:val="22"/>
          <w:szCs w:val="22"/>
          <w:color w:val="auto"/>
        </w:rPr>
      </w:pPr>
    </w:p>
    <w:p>
      <w:pPr>
        <w:jc w:val="both"/>
        <w:ind w:firstLine="1505"/>
        <w:spacing w:after="0" w:line="279" w:lineRule="auto"/>
        <w:tabs>
          <w:tab w:leader="none" w:pos="2010"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By-Laws, constitutes the full and entire understanding and agreement between the parties with regard to the subject matter hereof and supersedes all prior oral or written (and all contemporaneous oral) agreements or understandings with respect to the subject matter hereof. In the event of a conflict between the By-Laws and this Agreement, the provisions of the By-Laws shall control.</w:t>
      </w:r>
    </w:p>
    <w:p>
      <w:pPr>
        <w:spacing w:after="0" w:line="173" w:lineRule="exact"/>
        <w:rPr>
          <w:rFonts w:ascii="Arial" w:cs="Arial" w:eastAsia="Arial" w:hAnsi="Arial"/>
          <w:sz w:val="21"/>
          <w:szCs w:val="21"/>
          <w:color w:val="auto"/>
        </w:rPr>
      </w:pPr>
    </w:p>
    <w:p>
      <w:pPr>
        <w:jc w:val="both"/>
        <w:ind w:firstLine="1505"/>
        <w:spacing w:after="0" w:line="266" w:lineRule="auto"/>
        <w:tabs>
          <w:tab w:leader="none" w:pos="1929"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Notices, etc</w:t>
      </w:r>
      <w:r>
        <w:rPr>
          <w:rFonts w:ascii="Arial" w:cs="Arial" w:eastAsia="Arial" w:hAnsi="Arial"/>
          <w:sz w:val="22"/>
          <w:szCs w:val="22"/>
          <w:color w:val="auto"/>
        </w:rPr>
        <w:t>. All notices and other communications required or permitted hereunder shall be in writing and shall be mailed by registered or certified mail, return receipt requested, postage prepaid or otherwise delivered by hand, messenger or e-mail, addressed: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WEIL:\98107196\5\40590.0003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15" w:name="page316"/>
    <w:bookmarkEnd w:id="315"/>
    <w:p>
      <w:pPr>
        <w:ind w:left="1500"/>
        <w:spacing w:after="0"/>
        <w:rPr>
          <w:sz w:val="20"/>
          <w:szCs w:val="20"/>
          <w:color w:val="auto"/>
        </w:rPr>
      </w:pPr>
      <w:r>
        <w:rPr>
          <w:rFonts w:ascii="Arial" w:cs="Arial" w:eastAsia="Arial" w:hAnsi="Arial"/>
          <w:sz w:val="22"/>
          <w:szCs w:val="22"/>
          <w:color w:val="auto"/>
        </w:rPr>
        <w:t>if to Advent:</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c/o Advent International Corporation,</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Prudential Tower,</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800 Boylston Street</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Boston, Massachusetts 02199</w:t>
      </w:r>
    </w:p>
    <w:p>
      <w:pPr>
        <w:spacing w:after="0" w:line="17" w:lineRule="exact"/>
        <w:rPr>
          <w:sz w:val="20"/>
          <w:szCs w:val="20"/>
          <w:color w:val="auto"/>
        </w:rPr>
      </w:pPr>
    </w:p>
    <w:p>
      <w:pPr>
        <w:ind w:left="2260"/>
        <w:spacing w:after="0"/>
        <w:tabs>
          <w:tab w:leader="none" w:pos="35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Lauren Young and James Westra</w:t>
      </w:r>
    </w:p>
    <w:p>
      <w:pPr>
        <w:spacing w:after="0" w:line="17"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lyoung@adventinternational.com; jwestra@adventinternational.com</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550 Cochituate Rd</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Framingham, Massachusetts 01701</w:t>
      </w:r>
    </w:p>
    <w:p>
      <w:pPr>
        <w:spacing w:after="0" w:line="17" w:lineRule="exact"/>
        <w:rPr>
          <w:sz w:val="20"/>
          <w:szCs w:val="20"/>
          <w:color w:val="auto"/>
        </w:rPr>
      </w:pPr>
    </w:p>
    <w:p>
      <w:pPr>
        <w:ind w:left="2260"/>
        <w:spacing w:after="0"/>
        <w:tabs>
          <w:tab w:leader="none" w:pos="35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Legal Officer</w:t>
      </w:r>
    </w:p>
    <w:p>
      <w:pPr>
        <w:spacing w:after="0" w:line="17"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dsamuels@definitivehc.com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or at such other address as the Company or Advent shall have furnished to the other in writing.</w:t>
      </w:r>
    </w:p>
    <w:p>
      <w:pPr>
        <w:spacing w:after="0" w:line="23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21"/>
          <w:szCs w:val="21"/>
          <w:color w:val="auto"/>
        </w:rPr>
        <w:t>Each such notice or other communication shall for all purposes of this Agreement be treated as effective or as having been given when delivered, if delivered by hand or by messenger (or overnight courier), 24 hours after confirmed receipt if sent by e-mail transmission or at the earlier of its receipt or on the fifth day after mailing, if mailed, as aforesaid.</w:t>
      </w:r>
    </w:p>
    <w:p>
      <w:pPr>
        <w:spacing w:after="0" w:line="169" w:lineRule="exact"/>
        <w:rPr>
          <w:sz w:val="20"/>
          <w:szCs w:val="20"/>
          <w:color w:val="auto"/>
        </w:rPr>
      </w:pPr>
    </w:p>
    <w:p>
      <w:pPr>
        <w:jc w:val="both"/>
        <w:ind w:firstLine="1505"/>
        <w:spacing w:after="0" w:line="305" w:lineRule="auto"/>
        <w:tabs>
          <w:tab w:leader="none" w:pos="1929"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hereto upon any breach or default of the Company under this Agreement, shall impair any such right, power or remedy of such party nor shall it be construed to be a waiver of any such breach or default, or an acquiescence therein, or of or in any similar breach or default thereunder occurring; nor shall any waiver of any single breach or default be deemed a waiver of any other breach or default therefore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54" w:lineRule="exact"/>
        <w:rPr>
          <w:rFonts w:ascii="Arial" w:cs="Arial" w:eastAsia="Arial" w:hAnsi="Arial"/>
          <w:sz w:val="19"/>
          <w:szCs w:val="19"/>
          <w:color w:val="auto"/>
        </w:rPr>
      </w:pPr>
    </w:p>
    <w:p>
      <w:pPr>
        <w:jc w:val="both"/>
        <w:ind w:right="20" w:firstLine="1505"/>
        <w:spacing w:after="0" w:line="284" w:lineRule="auto"/>
        <w:tabs>
          <w:tab w:leader="none" w:pos="1956"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including PDF copies thereof, each of which may be executed by less than all of the parties hereto, each of which shall be enforceable against the parties actually executing such counterparts, and all of which together shall constitute one instrument.</w:t>
      </w:r>
    </w:p>
    <w:p>
      <w:pPr>
        <w:spacing w:after="0" w:line="168" w:lineRule="exact"/>
        <w:rPr>
          <w:rFonts w:ascii="Arial" w:cs="Arial" w:eastAsia="Arial" w:hAnsi="Arial"/>
          <w:sz w:val="21"/>
          <w:szCs w:val="21"/>
          <w:color w:val="auto"/>
        </w:rPr>
      </w:pPr>
    </w:p>
    <w:p>
      <w:pPr>
        <w:ind w:right="20" w:firstLine="1505"/>
        <w:spacing w:after="0" w:line="276" w:lineRule="auto"/>
        <w:tabs>
          <w:tab w:leader="none" w:pos="1956"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be invalid, illegal or unenforceable, the validity, legality and enforceability of the remaining provisions shall not in any way be affected or impaired thereby.</w:t>
      </w:r>
    </w:p>
    <w:p>
      <w:pPr>
        <w:spacing w:after="0" w:line="174" w:lineRule="exact"/>
        <w:rPr>
          <w:rFonts w:ascii="Arial" w:cs="Arial" w:eastAsia="Arial" w:hAnsi="Arial"/>
          <w:sz w:val="22"/>
          <w:szCs w:val="22"/>
          <w:color w:val="auto"/>
        </w:rPr>
      </w:pPr>
    </w:p>
    <w:p>
      <w:pPr>
        <w:ind w:firstLine="1505"/>
        <w:spacing w:after="0" w:line="276" w:lineRule="auto"/>
        <w:tabs>
          <w:tab w:leader="none" w:pos="1929"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The provisions of this Agreement may be amended at any time and from time to time, and particular provisions of this Agreement may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WEIL:\98107196\5\40590.0003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16" w:name="page317"/>
    <w:bookmarkEnd w:id="316"/>
    <w:p>
      <w:pPr>
        <w:spacing w:after="0"/>
        <w:rPr>
          <w:sz w:val="20"/>
          <w:szCs w:val="20"/>
          <w:color w:val="auto"/>
        </w:rPr>
      </w:pPr>
      <w:r>
        <w:rPr>
          <w:rFonts w:ascii="Arial" w:cs="Arial" w:eastAsia="Arial" w:hAnsi="Arial"/>
          <w:sz w:val="22"/>
          <w:szCs w:val="22"/>
          <w:color w:val="auto"/>
        </w:rPr>
        <w:t>waived or modified, with and only with an agreement or consent in writing signed by the Company and Advent.</w:t>
      </w:r>
    </w:p>
    <w:p>
      <w:pPr>
        <w:spacing w:after="0" w:line="233" w:lineRule="exact"/>
        <w:rPr>
          <w:sz w:val="20"/>
          <w:szCs w:val="20"/>
          <w:color w:val="auto"/>
        </w:rPr>
      </w:pPr>
    </w:p>
    <w:p>
      <w:pPr>
        <w:jc w:val="both"/>
        <w:ind w:firstLine="1505"/>
        <w:spacing w:after="0" w:line="261" w:lineRule="auto"/>
        <w:tabs>
          <w:tab w:leader="none" w:pos="1956"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The parties hereto irrevocably submit, in any legal action or proceeding relating to this Agreement, to the jurisdiction of the courts of the United States located in the State of Delaware or in any Delaware state court and consent that any such action or proceeding may be brought in such courts and waive any objection that they may now or hereafter have to the venue of such action or proceeding in any such court or that such action or proceeding was brought in an inconvenient forum.</w:t>
      </w:r>
    </w:p>
    <w:p>
      <w:pPr>
        <w:spacing w:after="0" w:line="190" w:lineRule="exact"/>
        <w:rPr>
          <w:rFonts w:ascii="Arial" w:cs="Arial" w:eastAsia="Arial" w:hAnsi="Arial"/>
          <w:sz w:val="22"/>
          <w:szCs w:val="22"/>
          <w:color w:val="auto"/>
        </w:rPr>
      </w:pPr>
    </w:p>
    <w:p>
      <w:pPr>
        <w:jc w:val="both"/>
        <w:ind w:firstLine="1505"/>
        <w:spacing w:after="0" w:line="327" w:lineRule="auto"/>
        <w:tabs>
          <w:tab w:leader="none" w:pos="1943"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agree to use their best efforts and act in good faith in carrying out their obligations under this Agreement. The parties also agree, without further consideration, to execute such further instruments and to take such further actions as may be necessary or desirable to carry out the purposes and intent of this Agreement.</w:t>
      </w:r>
    </w:p>
    <w:p>
      <w:pPr>
        <w:spacing w:after="0" w:line="132" w:lineRule="exact"/>
        <w:rPr>
          <w:rFonts w:ascii="Arial" w:cs="Arial" w:eastAsia="Arial" w:hAnsi="Arial"/>
          <w:sz w:val="19"/>
          <w:szCs w:val="19"/>
          <w:color w:val="auto"/>
        </w:rPr>
      </w:pPr>
    </w:p>
    <w:p>
      <w:pPr>
        <w:ind w:firstLine="1505"/>
        <w:spacing w:after="0" w:line="276" w:lineRule="auto"/>
        <w:tabs>
          <w:tab w:leader="none" w:pos="197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parties expressly agree that the provisions of this Agreement may be specifically enforced against each of the parties hereto in any court of competent jurisdiction.</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43"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with respect to Section 3(o), this Agreement shall automatically terminate at such time as Advent and its Affiliates no longer beneficially own at least 5% of the total number of shares of Common Stock outstanding.</w:t>
      </w:r>
    </w:p>
    <w:p>
      <w:pPr>
        <w:spacing w:after="0" w:line="184" w:lineRule="exact"/>
        <w:rPr>
          <w:rFonts w:ascii="Arial" w:cs="Arial" w:eastAsia="Arial" w:hAnsi="Arial"/>
          <w:sz w:val="22"/>
          <w:szCs w:val="22"/>
          <w:color w:val="auto"/>
        </w:rPr>
      </w:pPr>
    </w:p>
    <w:p>
      <w:pPr>
        <w:jc w:val="both"/>
        <w:ind w:firstLine="1505"/>
        <w:spacing w:after="0" w:line="262" w:lineRule="auto"/>
        <w:tabs>
          <w:tab w:leader="none" w:pos="1929"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Logos; Marketing</w:t>
      </w:r>
      <w:r>
        <w:rPr>
          <w:rFonts w:ascii="Arial" w:cs="Arial" w:eastAsia="Arial" w:hAnsi="Arial"/>
          <w:sz w:val="22"/>
          <w:szCs w:val="22"/>
          <w:color w:val="auto"/>
        </w:rPr>
        <w:t>. The Company hereby grants Advent and its Affiliates permission to use the Company’s name and logo in its marketing materials. The Company hereby grants Advent and its Affiliates a non-exclusive, royalty-free fully paid-up license to use the Company’s trademarks and logos in connection with describing Advent’s relationship with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WEIL:\98107196\5\40590.0003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17" w:name="page318"/>
    <w:bookmarkEnd w:id="317"/>
    <w:p>
      <w:pPr>
        <w:ind w:left="760"/>
        <w:spacing w:after="0"/>
        <w:rPr>
          <w:sz w:val="20"/>
          <w:szCs w:val="20"/>
          <w:color w:val="auto"/>
        </w:rPr>
      </w:pPr>
      <w:r>
        <w:rPr>
          <w:rFonts w:ascii="Arial" w:cs="Arial" w:eastAsia="Arial" w:hAnsi="Arial"/>
          <w:sz w:val="19"/>
          <w:szCs w:val="19"/>
          <w:color w:val="auto"/>
        </w:rPr>
        <w:t>IN WITNESS WHEREOF, each of the parties hereto has executed this Agreement as of the date first above written.</w:t>
      </w:r>
    </w:p>
    <w:p>
      <w:pPr>
        <w:spacing w:after="0" w:line="316"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22"/>
          <w:szCs w:val="22"/>
          <w:color w:val="auto"/>
        </w:rPr>
        <w:t>By:</w:t>
        <w:tab/>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Jason Krantz</w:t>
      </w:r>
    </w:p>
    <w:p>
      <w:pPr>
        <w:spacing w:after="0" w:line="3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392"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ADVENT INTERNATIONAL GPE IX LIMITED</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PARTNERSHIP</w:t>
      </w:r>
    </w:p>
    <w:p>
      <w:pPr>
        <w:spacing w:after="0" w:line="200" w:lineRule="exact"/>
        <w:rPr>
          <w:sz w:val="20"/>
          <w:szCs w:val="20"/>
          <w:color w:val="auto"/>
        </w:rPr>
      </w:pPr>
    </w:p>
    <w:p>
      <w:pPr>
        <w:spacing w:after="0" w:line="39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22"/>
          <w:szCs w:val="22"/>
          <w:color w:val="auto"/>
        </w:rPr>
        <w:t>By:</w:t>
        <w:tab/>
        <w:t>GPE IX GP Limited Partnership, its General Partner</w:t>
      </w:r>
    </w:p>
    <w:p>
      <w:pPr>
        <w:spacing w:after="0" w:line="314"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21"/>
          <w:szCs w:val="21"/>
          <w:color w:val="auto"/>
        </w:rPr>
        <w:t>By:</w:t>
        <w:tab/>
        <w:t>Advent International GPE IX, LLC, its General Partner</w:t>
      </w:r>
    </w:p>
    <w:p>
      <w:pPr>
        <w:spacing w:after="0" w:line="326"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22"/>
          <w:szCs w:val="22"/>
          <w:color w:val="auto"/>
        </w:rPr>
        <w:t>By:</w:t>
        <w:tab/>
        <w:t>Advent International Corporation, its Manager</w:t>
      </w:r>
    </w:p>
    <w:p>
      <w:pPr>
        <w:spacing w:after="0" w:line="314"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22"/>
          <w:szCs w:val="22"/>
          <w:color w:val="auto"/>
        </w:rPr>
        <w:t>By:</w:t>
        <w:tab/>
        <w:t>/s/ James Westra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James Westra</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Chief Legal Officer, General Counsel, and Managing</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Partner</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[Signature Page to Advent Nominating Agreement]</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6</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WEIL:\98107196\5\40590.0003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02" w:right="479" w:bottom="1440" w:gutter="0" w:footer="0" w:header="0"/>
        </w:sectPr>
      </w:pPr>
    </w:p>
    <w:bookmarkStart w:id="318" w:name="page319"/>
    <w:bookmarkEnd w:id="318"/>
    <w:p>
      <w:pPr>
        <w:ind w:left="10020"/>
        <w:spacing w:after="0"/>
        <w:rPr>
          <w:sz w:val="20"/>
          <w:szCs w:val="20"/>
          <w:color w:val="auto"/>
        </w:rPr>
      </w:pPr>
      <w:r>
        <w:rPr>
          <w:rFonts w:ascii="Arial" w:cs="Arial" w:eastAsia="Arial" w:hAnsi="Arial"/>
          <w:sz w:val="19"/>
          <w:szCs w:val="19"/>
          <w:b w:val="1"/>
          <w:bCs w:val="1"/>
          <w:color w:val="auto"/>
        </w:rPr>
        <w:t>Exhibit 10.12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NOMINATING AGREEMENT</w:t>
      </w:r>
    </w:p>
    <w:p>
      <w:pPr>
        <w:spacing w:after="0" w:line="23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This Nominating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September 17, 2021, by and among Definitive Healthcare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SE VII DHC AIV, L.P. (“</w:t>
      </w:r>
      <w:r>
        <w:rPr>
          <w:rFonts w:ascii="Arial" w:cs="Arial" w:eastAsia="Arial" w:hAnsi="Arial"/>
          <w:sz w:val="22"/>
          <w:szCs w:val="22"/>
          <w:u w:val="single" w:color="auto"/>
          <w:color w:val="auto"/>
        </w:rPr>
        <w:t>Spectrum</w:t>
      </w:r>
      <w:r>
        <w:rPr>
          <w:rFonts w:ascii="Arial" w:cs="Arial" w:eastAsia="Arial" w:hAnsi="Arial"/>
          <w:sz w:val="22"/>
          <w:szCs w:val="22"/>
          <w:color w:val="auto"/>
        </w:rPr>
        <w:t>”).</w:t>
      </w:r>
    </w:p>
    <w:p>
      <w:pPr>
        <w:spacing w:after="0" w:line="1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WHEREAS, the Company has determined that it is in its best interests to effect an initial public offering (“</w:t>
      </w:r>
      <w:r>
        <w:rPr>
          <w:rFonts w:ascii="Arial" w:cs="Arial" w:eastAsia="Arial" w:hAnsi="Arial"/>
          <w:sz w:val="22"/>
          <w:szCs w:val="22"/>
          <w:u w:val="single" w:color="auto"/>
          <w:color w:val="auto"/>
        </w:rPr>
        <w:t>IPO</w:t>
      </w:r>
      <w:r>
        <w:rPr>
          <w:rFonts w:ascii="Arial" w:cs="Arial" w:eastAsia="Arial" w:hAnsi="Arial"/>
          <w:sz w:val="22"/>
          <w:szCs w:val="22"/>
          <w:color w:val="auto"/>
        </w:rPr>
        <w:t>”) of shares of its Class A common stock, par value $0.001 per share (together with the Company’s Class B common stock, par value $0.00001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9"/>
          <w:szCs w:val="19"/>
          <w:color w:val="auto"/>
        </w:rPr>
        <w:t>WHEREAS, in connection with the IPO, the Company and Spectrum desire to enter into this Agreement setting forth certain rights and obligations with respect to the shares of Common Stock owned by Spectrum and its Affiliates; and</w:t>
      </w:r>
    </w:p>
    <w:p>
      <w:pPr>
        <w:spacing w:after="0" w:line="104"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WHEREAS, it is contemplated that as of the consummation of the IPO, the Board of Directors of the Company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will consist of ten (10) directors.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NOW, THEREFORE, for good and valuable consideration, the receipt and adequacy of which are hereby acknowledged, the parties hereto, intending to be legally bound, hereby agree as follows: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respective meanings:</w:t>
      </w:r>
    </w:p>
    <w:p>
      <w:pPr>
        <w:spacing w:after="0" w:line="174"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has the meaning given to that term in Rule 12b-2 under the Securities Exchange Act of 1934,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229" w:lineRule="exact"/>
        <w:rPr>
          <w:sz w:val="20"/>
          <w:szCs w:val="20"/>
          <w:color w:val="auto"/>
        </w:rPr>
      </w:pPr>
    </w:p>
    <w:p>
      <w:pPr>
        <w:ind w:right="20" w:firstLine="1505"/>
        <w:spacing w:after="0" w:line="276" w:lineRule="auto"/>
        <w:tabs>
          <w:tab w:leader="none" w:pos="1929"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Spectrum Designee</w:t>
      </w:r>
      <w:r>
        <w:rPr>
          <w:rFonts w:ascii="Arial" w:cs="Arial" w:eastAsia="Arial" w:hAnsi="Arial"/>
          <w:sz w:val="22"/>
          <w:szCs w:val="22"/>
          <w:color w:val="auto"/>
        </w:rPr>
        <w:t>” shall mean any person nominated at any time and from time to time by Spectrum pursuant to Section 2 to serve on the Board of Directors.</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given to that term in Rule 13d-3 under the Securities Exchange Act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1934, as amended.</w:t>
      </w:r>
    </w:p>
    <w:p>
      <w:pPr>
        <w:spacing w:after="0" w:line="228" w:lineRule="exact"/>
        <w:rPr>
          <w:rFonts w:ascii="Arial" w:cs="Arial" w:eastAsia="Arial" w:hAnsi="Arial"/>
          <w:sz w:val="19"/>
          <w:szCs w:val="19"/>
          <w:color w:val="auto"/>
        </w:rPr>
      </w:pPr>
    </w:p>
    <w:p>
      <w:pPr>
        <w:ind w:right="20" w:firstLine="1505"/>
        <w:spacing w:after="0" w:line="276" w:lineRule="auto"/>
        <w:tabs>
          <w:tab w:leader="none" w:pos="1929"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means the Amended and Restated By-Laws of the Company, as may be amended, restated or otherwise modified from time to time.</w:t>
      </w:r>
    </w:p>
    <w:p>
      <w:pPr>
        <w:spacing w:after="0" w:line="174"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Board Representation</w:t>
      </w:r>
      <w:r>
        <w:rPr>
          <w:rFonts w:ascii="Arial" w:cs="Arial" w:eastAsia="Arial" w:hAnsi="Arial"/>
          <w:sz w:val="19"/>
          <w:szCs w:val="19"/>
          <w:color w:val="auto"/>
        </w:rPr>
        <w:t>.</w:t>
      </w:r>
    </w:p>
    <w:p>
      <w:pPr>
        <w:spacing w:after="0" w:line="233" w:lineRule="exact"/>
        <w:rPr>
          <w:sz w:val="20"/>
          <w:szCs w:val="20"/>
          <w:color w:val="auto"/>
        </w:rPr>
      </w:pPr>
    </w:p>
    <w:p>
      <w:pPr>
        <w:jc w:val="both"/>
        <w:ind w:firstLine="1505"/>
        <w:spacing w:after="0" w:line="279" w:lineRule="auto"/>
        <w:tabs>
          <w:tab w:leader="none" w:pos="192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So long as Spectrum and/or its Affiliates are the Beneficial Owner of at least 5% of the total number of shares of Common Stock outstanding at any time, the Company shall support the nomination of, and take all necessary actions within its control to cause the Board of Directors to include in the slate of nominees recommended to the Company’s stockholders for election as directors of the Company, one (1) person designated by Spectrum.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WEIL:\98112154\6\40590.0003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9" w:name="page320"/>
    <w:bookmarkEnd w:id="319"/>
    <w:p>
      <w:pPr>
        <w:jc w:val="both"/>
        <w:ind w:firstLine="1505"/>
        <w:spacing w:after="0" w:line="311" w:lineRule="auto"/>
        <w:tabs>
          <w:tab w:leader="none" w:pos="192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So long as Spectrum and/or its Affiliates are the Beneficial Owner of at least 5% of the total number of shares of Common Stock outstanding at any time, the Company shall, and take all necessary actions within its control to cause the Board of Directors to, fill any vacancy of the Spectrum Designee arising through the death, resignation or removal to be filled by a person designated by Spectrum and such person so chosen shall hold office until the next annual election and until his or her successor is duly elected and qualified, or until his or her earlier death, resignation or removal.</w:t>
      </w:r>
    </w:p>
    <w:p>
      <w:pPr>
        <w:spacing w:after="0" w:line="150" w:lineRule="exact"/>
        <w:rPr>
          <w:rFonts w:ascii="Arial" w:cs="Arial" w:eastAsia="Arial" w:hAnsi="Arial"/>
          <w:sz w:val="19"/>
          <w:szCs w:val="19"/>
          <w:color w:val="auto"/>
        </w:rPr>
      </w:pPr>
    </w:p>
    <w:p>
      <w:pPr>
        <w:jc w:val="both"/>
        <w:ind w:firstLine="1505"/>
        <w:spacing w:after="0" w:line="303" w:lineRule="auto"/>
        <w:tabs>
          <w:tab w:leader="none" w:pos="192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Notwithstanding the provisions of this Section 2, Spectrum shall not be entitled to designate any person as a nominee to the Board of Directors if the Company receives a written opinion of its outside legal counsel, which shall be a counsel of national reputation, that such person would not be qualified under any applicable law, rule or regulation, rule of the Nasdaq Global Market or the By-Laws to serve as a director of the Company. Other than for the reasons set forth in the preceding sentence, the Company shall not have the right to object to the Spectrum Designee. The Company shall notify Spectrum in writing of the date on which proxy materials are expected to be mailed by the Company in connection with an election of directors (and such notice shall be delivered to Spectrum at least 30 days prior to such expected mailing date). The Company shall notify Spectrum of any objection to the Spectrum Designee pursuant to this Section 2(d) sufficiently in advance of the date on which such proxy materials are to be mailed by the Company in connection with such election of directors so as to enable Spectrum to propose a replacement Spectrum Designee in accordance with the terms of this Agreement.</w:t>
      </w:r>
    </w:p>
    <w:p>
      <w:pPr>
        <w:spacing w:after="0" w:line="157" w:lineRule="exact"/>
        <w:rPr>
          <w:rFonts w:ascii="Arial" w:cs="Arial" w:eastAsia="Arial" w:hAnsi="Arial"/>
          <w:sz w:val="19"/>
          <w:szCs w:val="19"/>
          <w:color w:val="auto"/>
        </w:rPr>
      </w:pPr>
    </w:p>
    <w:p>
      <w:pPr>
        <w:jc w:val="both"/>
        <w:ind w:firstLine="1505"/>
        <w:spacing w:after="0" w:line="266" w:lineRule="auto"/>
        <w:tabs>
          <w:tab w:leader="none" w:pos="192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Company shall pay all reasonable out-of-pocket expenses incurred by the Spectrum Designee in connection with the performance of his or her duties as a director and in connection with his or her attendance at any meeting of the Board of Directors.</w:t>
      </w:r>
    </w:p>
    <w:p>
      <w:pPr>
        <w:spacing w:after="0" w:line="18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So long as Spectrum has the right to nominate a Spectrum Designee or any such Spectrum Designee is serving on the Board of Directors, the Company shall use its reasonable best efforts to maintain in effect at all times directors and officers indemnity insurance coverage reasonably satisfactory to Spectrum.</w:t>
      </w:r>
    </w:p>
    <w:p>
      <w:pPr>
        <w:spacing w:after="0" w:line="184" w:lineRule="exact"/>
        <w:rPr>
          <w:rFonts w:ascii="Arial" w:cs="Arial" w:eastAsia="Arial" w:hAnsi="Arial"/>
          <w:sz w:val="22"/>
          <w:szCs w:val="22"/>
          <w:color w:val="auto"/>
        </w:rPr>
      </w:pPr>
    </w:p>
    <w:p>
      <w:pPr>
        <w:jc w:val="both"/>
        <w:ind w:firstLine="1505"/>
        <w:spacing w:after="0" w:line="271" w:lineRule="auto"/>
        <w:tabs>
          <w:tab w:leader="none" w:pos="1929"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The Company recognizes that the Spectrum Designee (i) will from time to time receive non-public information concerning the Company, and (ii) may share such information with directors, officers, members, stockholders, partners, employees or advisors of Spectrum Equity Management, L.P. on a confidential basis. The Company hereby irrevocably consents to such sharing of such information on a confidential basis. Spectrum agrees that it will keep confidential and not disclose or divulge any confidential information regarding the Company it receives from the Company or a Spectrum Designee, unless such information (x) is available or becomes available to the public in general or (y) is or has been made known or disclosed to Spectrum by a third party without a breach of any obligation of confidentiality such third party may have to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Spectrum may disclose confidential information on a confidential basis (I) to its Affiliates (other than portfolio companies), (II) to each of its and its Affiliate’s (other than portfolio companies) attorneys, accountants, consultants, advisors and other professionals to the extent necessary to obtain their services in connection with evaluating the information, or (III) as may be required by law or legal, judicial or regulatory process or requested by any regulatory or self-regulatory authority or examiner, </w:t>
      </w:r>
      <w:r>
        <w:rPr>
          <w:rFonts w:ascii="Arial" w:cs="Arial" w:eastAsia="Arial" w:hAnsi="Arial"/>
          <w:sz w:val="21"/>
          <w:szCs w:val="21"/>
          <w:u w:val="single" w:color="auto"/>
          <w:color w:val="auto"/>
        </w:rPr>
        <w:t>provided</w:t>
      </w:r>
      <w:r>
        <w:rPr>
          <w:rFonts w:ascii="Arial" w:cs="Arial" w:eastAsia="Arial" w:hAnsi="Arial"/>
          <w:sz w:val="21"/>
          <w:szCs w:val="21"/>
          <w:color w:val="auto"/>
        </w:rPr>
        <w:t>, further, that Spectrum shall take reasonable steps to minimize the extent of any required disclosure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WEIL:\98112154\6\40590.0003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0" w:name="page321"/>
    <w:bookmarkEnd w:id="320"/>
    <w:p>
      <w:pPr>
        <w:jc w:val="both"/>
        <w:spacing w:after="0" w:line="266" w:lineRule="auto"/>
        <w:rPr>
          <w:sz w:val="20"/>
          <w:szCs w:val="20"/>
          <w:color w:val="auto"/>
        </w:rPr>
      </w:pPr>
      <w:r>
        <w:rPr>
          <w:rFonts w:ascii="Arial" w:cs="Arial" w:eastAsia="Arial" w:hAnsi="Arial"/>
          <w:sz w:val="22"/>
          <w:szCs w:val="22"/>
          <w:color w:val="auto"/>
        </w:rPr>
        <w:t>described in this clause (f), including, with respect to clause (f)(III), providing the Company with prompt written notice so that the Company may seek a protective order at the Company’s expense or other appropriate remedy and cooperating with the Company in any effort to obtain a protective order or other remedy.</w:t>
      </w:r>
    </w:p>
    <w:p>
      <w:pPr>
        <w:spacing w:after="0" w:line="18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22"/>
          <w:szCs w:val="22"/>
          <w:color w:val="auto"/>
        </w:rPr>
        <w:t>Notwithstanding the provisions of this Section 2, the Company shall not be required to take any action which it reasonably believes is unlawful, and the Company shall be allowed to take any action the omission of which it reasonably believes would be unlawful.</w:t>
      </w:r>
    </w:p>
    <w:p>
      <w:pPr>
        <w:spacing w:after="0" w:line="185"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ind w:right="20" w:firstLine="1505"/>
        <w:spacing w:after="0" w:line="276" w:lineRule="auto"/>
        <w:tabs>
          <w:tab w:leader="none" w:pos="1929"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Delaware, without giving effect to its principles of conflicts of laws.</w:t>
      </w:r>
    </w:p>
    <w:p>
      <w:pPr>
        <w:spacing w:after="0" w:line="174" w:lineRule="exact"/>
        <w:rPr>
          <w:rFonts w:ascii="Arial" w:cs="Arial" w:eastAsia="Arial" w:hAnsi="Arial"/>
          <w:sz w:val="22"/>
          <w:szCs w:val="22"/>
          <w:color w:val="auto"/>
        </w:rPr>
      </w:pPr>
    </w:p>
    <w:p>
      <w:pPr>
        <w:jc w:val="both"/>
        <w:ind w:firstLine="1505"/>
        <w:spacing w:after="0" w:line="308" w:lineRule="auto"/>
        <w:tabs>
          <w:tab w:leader="none" w:pos="1929"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Certain Adjustments</w:t>
      </w:r>
      <w:r>
        <w:rPr>
          <w:rFonts w:ascii="Arial" w:cs="Arial" w:eastAsia="Arial" w:hAnsi="Arial"/>
          <w:sz w:val="19"/>
          <w:szCs w:val="19"/>
          <w:color w:val="auto"/>
        </w:rPr>
        <w:t>. The provisions of this Agreement shall apply to the full extent set forth herein with respect to any and all shares of capital stock of the Company or any successor or assign of the Company (whether by merger, consolidation, sale of assets or otherwise) that may be issued in respect of, in exchange for, or in substitution for the shares of Common Stock, by combination, recapitalization, reclassification, merger, consolidation or otherwise and the term “</w:t>
      </w:r>
      <w:r>
        <w:rPr>
          <w:rFonts w:ascii="Arial" w:cs="Arial" w:eastAsia="Arial" w:hAnsi="Arial"/>
          <w:sz w:val="19"/>
          <w:szCs w:val="19"/>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shall include all such other securities. In the event of any change in the capitalization of the Company, as a result of any stock split, stock dividend or stock combination or otherwise, the provisions of this Agreement shall be appropriately adjusted.</w:t>
      </w:r>
    </w:p>
    <w:p>
      <w:pPr>
        <w:spacing w:after="0" w:line="153" w:lineRule="exact"/>
        <w:rPr>
          <w:rFonts w:ascii="Arial" w:cs="Arial" w:eastAsia="Arial" w:hAnsi="Arial"/>
          <w:sz w:val="19"/>
          <w:szCs w:val="19"/>
          <w:color w:val="auto"/>
        </w:rPr>
      </w:pPr>
    </w:p>
    <w:p>
      <w:pPr>
        <w:ind w:firstLine="1505"/>
        <w:spacing w:after="0" w:line="276" w:lineRule="auto"/>
        <w:tabs>
          <w:tab w:leader="none" w:pos="197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parties expressly agree that the provisions of this Agreement may be specifically enforced against each of the parties hereto in any court of competent jurisdiction.</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43"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herein, the provisions hereof, including without limitation the nomination rights and other rights set forth in Section 2, shall inure to the benefit of, and be binding upon, the successors, assigns, heirs, executors, and administrators of the parties hereto.</w:t>
      </w:r>
    </w:p>
    <w:p>
      <w:pPr>
        <w:spacing w:after="0" w:line="184" w:lineRule="exact"/>
        <w:rPr>
          <w:rFonts w:ascii="Arial" w:cs="Arial" w:eastAsia="Arial" w:hAnsi="Arial"/>
          <w:sz w:val="22"/>
          <w:szCs w:val="22"/>
          <w:color w:val="auto"/>
        </w:rPr>
      </w:pPr>
    </w:p>
    <w:p>
      <w:pPr>
        <w:jc w:val="both"/>
        <w:ind w:firstLine="1505"/>
        <w:spacing w:after="0" w:line="279" w:lineRule="auto"/>
        <w:tabs>
          <w:tab w:leader="none" w:pos="2010" w:val="left"/>
        </w:tabs>
        <w:numPr>
          <w:ilvl w:val="0"/>
          <w:numId w:val="21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By-Laws, constitutes the full and entire understanding and agreement between the parties with regard to the subject matter hereof and supersedes all prior oral or written (and all contemporaneous oral) agreements or understandings with respect to the subject matter hereof. In the event of a conflict between the By-Laws and this Agreement, the provisions of the By-Laws shall control.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WEIL:\98112154\6\40590.0003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1" w:name="page322"/>
    <w:bookmarkEnd w:id="321"/>
    <w:p>
      <w:pPr>
        <w:jc w:val="both"/>
        <w:ind w:firstLine="1505"/>
        <w:spacing w:after="0" w:line="266" w:lineRule="auto"/>
        <w:tabs>
          <w:tab w:leader="none" w:pos="1929"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Notices, etc</w:t>
      </w:r>
      <w:r>
        <w:rPr>
          <w:rFonts w:ascii="Arial" w:cs="Arial" w:eastAsia="Arial" w:hAnsi="Arial"/>
          <w:sz w:val="22"/>
          <w:szCs w:val="22"/>
          <w:color w:val="auto"/>
        </w:rPr>
        <w:t>. All notices and other communications required or permitted hereunder shall be in writing and shall be mailed by registered or certified mail, return receipt requested, postage prepaid or otherwise delivered by hand, messenger or e-mail, addressed:</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Spectrum:</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Spectrum Equity VII, L.P</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One International Place, 35th Floor</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Boston, MA 02110</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Attention: Leah Palmer</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E-mail: leah@spectrumequity.com</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550 Cochituate Rd</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Framingham, Massachusetts 01701</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Attention: Chief Legal Officer</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E-mail: dsamuels@definitivehc.com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or at such other address as the Company or Spectrum shall have furnished to the other in writing.</w:t>
      </w:r>
    </w:p>
    <w:p>
      <w:pPr>
        <w:spacing w:after="0" w:line="23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21"/>
          <w:szCs w:val="21"/>
          <w:color w:val="auto"/>
        </w:rPr>
        <w:t>Each such notice or other communication shall for all purposes of this Agreement be treated as effective or as having been given when delivered, if delivered by hand or by messenger (or overnight courier), 24 hours after confirmed receipt if sent by e-mail transmission or at the earlier of its receipt or on the fifth day after mailing, if mailed, as aforesaid.</w:t>
      </w:r>
    </w:p>
    <w:p>
      <w:pPr>
        <w:spacing w:after="0" w:line="169" w:lineRule="exact"/>
        <w:rPr>
          <w:sz w:val="20"/>
          <w:szCs w:val="20"/>
          <w:color w:val="auto"/>
        </w:rPr>
      </w:pPr>
    </w:p>
    <w:p>
      <w:pPr>
        <w:jc w:val="both"/>
        <w:ind w:firstLine="1505"/>
        <w:spacing w:after="0" w:line="305" w:lineRule="auto"/>
        <w:tabs>
          <w:tab w:leader="none" w:pos="1929"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hereto upon any breach or default of the Company under this Agreement, shall impair any such right, power or remedy of such party nor shall it be construed to be a waiver of any such breach or default, or an acquiescence therein, or of or in any similar breach or default thereunder occurring; nor shall any waiver of any single breach or default be deemed a waiver of any other breach or default therefore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54" w:lineRule="exact"/>
        <w:rPr>
          <w:rFonts w:ascii="Arial" w:cs="Arial" w:eastAsia="Arial" w:hAnsi="Arial"/>
          <w:sz w:val="19"/>
          <w:szCs w:val="19"/>
          <w:color w:val="auto"/>
        </w:rPr>
      </w:pPr>
    </w:p>
    <w:p>
      <w:pPr>
        <w:jc w:val="both"/>
        <w:ind w:right="20" w:firstLine="1505"/>
        <w:spacing w:after="0" w:line="284" w:lineRule="auto"/>
        <w:tabs>
          <w:tab w:leader="none" w:pos="1956"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including PDF copies thereof, each of which may be executed by less than all of the parties hereto, each of which shall be enforceable against the parties actually executing such counterparts, and all of which together shall constitute one instrument.</w:t>
      </w:r>
    </w:p>
    <w:p>
      <w:pPr>
        <w:spacing w:after="0" w:line="168" w:lineRule="exact"/>
        <w:rPr>
          <w:rFonts w:ascii="Arial" w:cs="Arial" w:eastAsia="Arial" w:hAnsi="Arial"/>
          <w:sz w:val="21"/>
          <w:szCs w:val="21"/>
          <w:color w:val="auto"/>
        </w:rPr>
      </w:pPr>
    </w:p>
    <w:p>
      <w:pPr>
        <w:ind w:right="20" w:firstLine="1505"/>
        <w:spacing w:after="0" w:line="276" w:lineRule="auto"/>
        <w:tabs>
          <w:tab w:leader="none" w:pos="1956"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be invalid, illegal or unenforceable, the validity, legality and enforceability of the remaining provisions shall not in any way be affected or impaired thereby.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WEIL:\98112154\6\40590.0003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2" w:name="page323"/>
    <w:bookmarkEnd w:id="322"/>
    <w:p>
      <w:pPr>
        <w:jc w:val="both"/>
        <w:ind w:firstLine="1505"/>
        <w:spacing w:after="0" w:line="266" w:lineRule="auto"/>
        <w:tabs>
          <w:tab w:leader="none" w:pos="1929"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The provisions of this Agreement may be amended at any time and from time to time, and particular provisions of this Agreement may be waived or modified, with and only with an agreement or consent in writing signed by the Company and Spectrum.</w:t>
      </w:r>
    </w:p>
    <w:p>
      <w:pPr>
        <w:spacing w:after="0" w:line="184" w:lineRule="exact"/>
        <w:rPr>
          <w:rFonts w:ascii="Arial" w:cs="Arial" w:eastAsia="Arial" w:hAnsi="Arial"/>
          <w:sz w:val="22"/>
          <w:szCs w:val="22"/>
          <w:color w:val="auto"/>
        </w:rPr>
      </w:pPr>
    </w:p>
    <w:p>
      <w:pPr>
        <w:jc w:val="both"/>
        <w:ind w:firstLine="1505"/>
        <w:spacing w:after="0" w:line="261" w:lineRule="auto"/>
        <w:tabs>
          <w:tab w:leader="none" w:pos="1956"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The parties hereto irrevocably submit, in any legal action or proceeding relating to this Agreement, to the jurisdiction of the courts of the United States located in the State of Delaware or in any Delaware state court and consent that any such action or proceeding may be brought in such courts and waive any objection that they may now or hereafter have to the venue of such action or proceeding in any such court or that such action or proceeding was brought in an inconvenient forum.</w:t>
      </w:r>
    </w:p>
    <w:p>
      <w:pPr>
        <w:spacing w:after="0" w:line="190" w:lineRule="exact"/>
        <w:rPr>
          <w:rFonts w:ascii="Arial" w:cs="Arial" w:eastAsia="Arial" w:hAnsi="Arial"/>
          <w:sz w:val="22"/>
          <w:szCs w:val="22"/>
          <w:color w:val="auto"/>
        </w:rPr>
      </w:pPr>
    </w:p>
    <w:p>
      <w:pPr>
        <w:jc w:val="both"/>
        <w:ind w:firstLine="1505"/>
        <w:spacing w:after="0" w:line="327" w:lineRule="auto"/>
        <w:tabs>
          <w:tab w:leader="none" w:pos="1943"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agree to use their best efforts and act in good faith in carrying out their obligations under this Agreement. The parties also agree, without further consideration, to execute such further instruments and to take such further actions as may be necessary or desirable to carry out the purposes and intent of this Agreement.</w:t>
      </w:r>
    </w:p>
    <w:p>
      <w:pPr>
        <w:spacing w:after="0" w:line="132" w:lineRule="exact"/>
        <w:rPr>
          <w:rFonts w:ascii="Arial" w:cs="Arial" w:eastAsia="Arial" w:hAnsi="Arial"/>
          <w:sz w:val="19"/>
          <w:szCs w:val="19"/>
          <w:color w:val="auto"/>
        </w:rPr>
      </w:pPr>
    </w:p>
    <w:p>
      <w:pPr>
        <w:ind w:firstLine="1505"/>
        <w:spacing w:after="0" w:line="276" w:lineRule="auto"/>
        <w:tabs>
          <w:tab w:leader="none" w:pos="1970"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parties expressly agree that the provisions of this Agreement may be specifically enforced against each of the parties hereto in any court of competent jurisdiction.</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43"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with respect to Section 3(o), this Agreement shall automatically terminate at such time as Spectrum and its Affiliates no longer beneficially own at least 5% of the total number of shares of Common Stock outstanding.</w:t>
      </w:r>
    </w:p>
    <w:p>
      <w:pPr>
        <w:spacing w:after="0" w:line="184" w:lineRule="exact"/>
        <w:rPr>
          <w:rFonts w:ascii="Arial" w:cs="Arial" w:eastAsia="Arial" w:hAnsi="Arial"/>
          <w:sz w:val="22"/>
          <w:szCs w:val="22"/>
          <w:color w:val="auto"/>
        </w:rPr>
      </w:pPr>
    </w:p>
    <w:p>
      <w:pPr>
        <w:jc w:val="both"/>
        <w:ind w:firstLine="1505"/>
        <w:spacing w:after="0" w:line="262" w:lineRule="auto"/>
        <w:tabs>
          <w:tab w:leader="none" w:pos="1983"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Logos; Marketing</w:t>
      </w:r>
      <w:r>
        <w:rPr>
          <w:rFonts w:ascii="Arial" w:cs="Arial" w:eastAsia="Arial" w:hAnsi="Arial"/>
          <w:sz w:val="22"/>
          <w:szCs w:val="22"/>
          <w:color w:val="auto"/>
        </w:rPr>
        <w:t>. The Company hereby grants Spectrum and its Affiliates permission to use the Company’s name and logo in its marketing materials. The Company hereby grants Spectrum and its Affiliates a non-exclusive, royalty-free fully paid-up license to use the Company’s trademarks and logos in connection with describing Spectrum’s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WEIL:\98112154\6\40590.0003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3" w:name="page324"/>
    <w:bookmarkEnd w:id="323"/>
    <w:p>
      <w:pPr>
        <w:ind w:left="760"/>
        <w:spacing w:after="0"/>
        <w:rPr>
          <w:sz w:val="20"/>
          <w:szCs w:val="20"/>
          <w:color w:val="auto"/>
        </w:rPr>
      </w:pPr>
      <w:r>
        <w:rPr>
          <w:rFonts w:ascii="Arial" w:cs="Arial" w:eastAsia="Arial" w:hAnsi="Arial"/>
          <w:sz w:val="19"/>
          <w:szCs w:val="19"/>
          <w:color w:val="auto"/>
        </w:rPr>
        <w:t>IN WITNESS WHEREOF, each of the parties hereto has executed this Agreement as of the date first above written.</w:t>
      </w:r>
    </w:p>
    <w:p>
      <w:pPr>
        <w:spacing w:after="0" w:line="329"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20"/>
        <w:spacing w:after="0"/>
        <w:tabs>
          <w:tab w:leader="none" w:pos="5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3438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Jason Krantz</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SE VII DHC AIV, L.P.</w:t>
      </w:r>
    </w:p>
    <w:p>
      <w:pPr>
        <w:spacing w:after="0" w:line="50" w:lineRule="exact"/>
        <w:rPr>
          <w:sz w:val="20"/>
          <w:szCs w:val="20"/>
          <w:color w:val="auto"/>
        </w:rPr>
      </w:pPr>
    </w:p>
    <w:p>
      <w:pPr>
        <w:ind w:left="5320"/>
        <w:spacing w:after="0"/>
        <w:tabs>
          <w:tab w:leader="none" w:pos="5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Spectrum Equity Associates VII, L.P.,</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20"/>
        <w:spacing w:after="0"/>
        <w:tabs>
          <w:tab w:leader="none" w:pos="5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SEA VII Management, LLC,</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20"/>
        <w:spacing w:after="0"/>
        <w:tabs>
          <w:tab w:leader="none" w:pos="5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Christopher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3438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Christopher Mitchell</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Managing Director</w:t>
      </w: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[Signature Page to Spectrum Nominating Agreement]</w:t>
      </w:r>
    </w:p>
    <w:p>
      <w:pPr>
        <w:spacing w:after="0" w:line="287"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6</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WEIL:\98112154\6\40590.0003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02" w:right="819" w:bottom="1440" w:gutter="0" w:footer="0" w:header="0"/>
        </w:sectPr>
      </w:pPr>
    </w:p>
    <w:bookmarkStart w:id="324" w:name="page325"/>
    <w:bookmarkEnd w:id="324"/>
    <w:p>
      <w:pPr>
        <w:ind w:left="10020"/>
        <w:spacing w:after="0"/>
        <w:rPr>
          <w:sz w:val="20"/>
          <w:szCs w:val="20"/>
          <w:color w:val="auto"/>
        </w:rPr>
      </w:pPr>
      <w:r>
        <w:rPr>
          <w:rFonts w:ascii="Arial" w:cs="Arial" w:eastAsia="Arial" w:hAnsi="Arial"/>
          <w:sz w:val="19"/>
          <w:szCs w:val="19"/>
          <w:b w:val="1"/>
          <w:bCs w:val="1"/>
          <w:color w:val="auto"/>
        </w:rPr>
        <w:t>Exhibit 10.13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NOMINATING AGREEMENT</w:t>
      </w:r>
    </w:p>
    <w:p>
      <w:pPr>
        <w:spacing w:after="0" w:line="23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This Nominating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September 17, 2021, by and among Definitive Healthcare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Jason Krantz.</w:t>
      </w:r>
    </w:p>
    <w:p>
      <w:pPr>
        <w:spacing w:after="0" w:line="1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WHEREAS, the Company has determined that it is in its best interests to effect an initial public offering (“</w:t>
      </w:r>
      <w:r>
        <w:rPr>
          <w:rFonts w:ascii="Arial" w:cs="Arial" w:eastAsia="Arial" w:hAnsi="Arial"/>
          <w:sz w:val="22"/>
          <w:szCs w:val="22"/>
          <w:u w:val="single" w:color="auto"/>
          <w:color w:val="auto"/>
        </w:rPr>
        <w:t>IPO</w:t>
      </w:r>
      <w:r>
        <w:rPr>
          <w:rFonts w:ascii="Arial" w:cs="Arial" w:eastAsia="Arial" w:hAnsi="Arial"/>
          <w:sz w:val="22"/>
          <w:szCs w:val="22"/>
          <w:color w:val="auto"/>
        </w:rPr>
        <w:t>”) of shares of its Class A common stock, par value $0.001 per share (together with the Company’s Class B common stock, par value $0.00001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WHEREAS, in connection with the IPO, the Company and Jason Krantz desire to enter into this Agreement setting forth certain rights and obligations with respect to the shares of Common Stock owned by Jason Krantz; and</w:t>
      </w:r>
    </w:p>
    <w:p>
      <w:pPr>
        <w:spacing w:after="0" w:line="174" w:lineRule="exact"/>
        <w:rPr>
          <w:sz w:val="20"/>
          <w:szCs w:val="20"/>
          <w:color w:val="auto"/>
        </w:rPr>
      </w:pPr>
    </w:p>
    <w:p>
      <w:pPr>
        <w:jc w:val="both"/>
        <w:ind w:right="20" w:firstLine="749"/>
        <w:spacing w:after="0" w:line="276" w:lineRule="auto"/>
        <w:rPr>
          <w:sz w:val="20"/>
          <w:szCs w:val="20"/>
          <w:color w:val="auto"/>
        </w:rPr>
      </w:pPr>
      <w:r>
        <w:rPr>
          <w:rFonts w:ascii="Arial" w:cs="Arial" w:eastAsia="Arial" w:hAnsi="Arial"/>
          <w:sz w:val="22"/>
          <w:szCs w:val="22"/>
          <w:color w:val="auto"/>
        </w:rPr>
        <w:t>WHEREAS, it is contemplated that as of the consummation of the IPO, the Board of Directors of the Company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will consist of ten (10) directors.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NOW, THEREFORE, for good and valuable consideration, the receipt and adequacy of which are hereby acknowledged, the parties hereto, intending to be legally bound, hereby agree as follows:</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respective meanings:</w:t>
      </w:r>
    </w:p>
    <w:p>
      <w:pPr>
        <w:spacing w:after="0" w:line="174" w:lineRule="exact"/>
        <w:rPr>
          <w:sz w:val="20"/>
          <w:szCs w:val="20"/>
          <w:color w:val="auto"/>
        </w:rPr>
      </w:pPr>
    </w:p>
    <w:p>
      <w:pPr>
        <w:jc w:val="both"/>
        <w:ind w:firstLine="1505"/>
        <w:spacing w:after="0" w:line="317" w:lineRule="auto"/>
        <w:tabs>
          <w:tab w:leader="none" w:pos="192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has the meaning given to that term in Rule 12b-2 under the Securities Exchange Act of 1934, as amended, and shall include (i) trustees of a trust revocable solely by Jason Krantz; (ii) the guardian/conservator of Jason Krantz; and (iii)in the event of Jason Krantz’s death, his executor(s), administrator(s), or trustee(s) under his will, including Jason Krantz’s heirs, successors and assigns and any trust or other estate planning vehicle for the benefit of such persons.</w:t>
      </w:r>
    </w:p>
    <w:p>
      <w:pPr>
        <w:spacing w:after="0" w:line="141" w:lineRule="exact"/>
        <w:rPr>
          <w:rFonts w:ascii="Arial" w:cs="Arial" w:eastAsia="Arial" w:hAnsi="Arial"/>
          <w:sz w:val="19"/>
          <w:szCs w:val="19"/>
          <w:color w:val="auto"/>
        </w:rPr>
      </w:pPr>
    </w:p>
    <w:p>
      <w:pPr>
        <w:ind w:right="20" w:firstLine="1505"/>
        <w:spacing w:after="0" w:line="276" w:lineRule="auto"/>
        <w:tabs>
          <w:tab w:leader="none" w:pos="192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Krantz Designee</w:t>
      </w:r>
      <w:r>
        <w:rPr>
          <w:rFonts w:ascii="Arial" w:cs="Arial" w:eastAsia="Arial" w:hAnsi="Arial"/>
          <w:sz w:val="22"/>
          <w:szCs w:val="22"/>
          <w:color w:val="auto"/>
        </w:rPr>
        <w:t>” shall mean any person nominated at any time and from time to time by Jason Krantz pursuant to Section 2 to serve on the Board of Directors.</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given to that term in Rule 13d-3 under the Securities Exchange Act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1934, as amended.</w:t>
      </w:r>
    </w:p>
    <w:p>
      <w:pPr>
        <w:spacing w:after="0" w:line="228" w:lineRule="exact"/>
        <w:rPr>
          <w:rFonts w:ascii="Arial" w:cs="Arial" w:eastAsia="Arial" w:hAnsi="Arial"/>
          <w:sz w:val="19"/>
          <w:szCs w:val="19"/>
          <w:color w:val="auto"/>
        </w:rPr>
      </w:pPr>
    </w:p>
    <w:p>
      <w:pPr>
        <w:ind w:right="20" w:firstLine="1505"/>
        <w:spacing w:after="0" w:line="276" w:lineRule="auto"/>
        <w:tabs>
          <w:tab w:leader="none" w:pos="192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means the Amended and Restated By-Laws of the Company, as may be amended, restated or otherwise modified from time to time.</w:t>
      </w:r>
    </w:p>
    <w:p>
      <w:pPr>
        <w:spacing w:after="0" w:line="174"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Board Representation</w:t>
      </w:r>
      <w:r>
        <w:rPr>
          <w:rFonts w:ascii="Arial" w:cs="Arial" w:eastAsia="Arial" w:hAnsi="Arial"/>
          <w:sz w:val="19"/>
          <w:szCs w:val="19"/>
          <w:color w:val="auto"/>
        </w:rPr>
        <w:t>.</w:t>
      </w:r>
    </w:p>
    <w:p>
      <w:pPr>
        <w:spacing w:after="0" w:line="233" w:lineRule="exact"/>
        <w:rPr>
          <w:sz w:val="20"/>
          <w:szCs w:val="20"/>
          <w:color w:val="auto"/>
        </w:rPr>
      </w:pPr>
    </w:p>
    <w:p>
      <w:pPr>
        <w:jc w:val="both"/>
        <w:ind w:firstLine="1505"/>
        <w:spacing w:after="0" w:line="262" w:lineRule="auto"/>
        <w:tabs>
          <w:tab w:leader="none" w:pos="192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So long as Jason Krantz and/or his Affiliates are the Beneficial Owner of at least 5% of the total number of shares of Common Stock outstanding at any time, the Company shall support the nomination of, and take all necessary actions within its control to cause the Board of Directors to include in the slate of nominees recommended to the Company’s stockholders for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WEIL:\98112182\3\40590.0003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25" w:name="page326"/>
    <w:bookmarkEnd w:id="325"/>
    <w:p>
      <w:pPr>
        <w:spacing w:after="0" w:line="276" w:lineRule="auto"/>
        <w:rPr>
          <w:sz w:val="20"/>
          <w:szCs w:val="20"/>
          <w:color w:val="auto"/>
        </w:rPr>
      </w:pPr>
      <w:r>
        <w:rPr>
          <w:rFonts w:ascii="Arial" w:cs="Arial" w:eastAsia="Arial" w:hAnsi="Arial"/>
          <w:sz w:val="22"/>
          <w:szCs w:val="22"/>
          <w:color w:val="auto"/>
        </w:rPr>
        <w:t>election as directors of the Company, one (1) person designated by Jason Krantz, or if he is deceased, the personal representative or executor of his estate.</w:t>
      </w:r>
    </w:p>
    <w:p>
      <w:pPr>
        <w:spacing w:after="0" w:line="174" w:lineRule="exact"/>
        <w:rPr>
          <w:sz w:val="20"/>
          <w:szCs w:val="20"/>
          <w:color w:val="auto"/>
        </w:rPr>
      </w:pPr>
    </w:p>
    <w:p>
      <w:pPr>
        <w:jc w:val="both"/>
        <w:ind w:firstLine="1505"/>
        <w:spacing w:after="0" w:line="260" w:lineRule="auto"/>
        <w:tabs>
          <w:tab w:leader="none" w:pos="192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So long as Jason Krantz and/or his Affiliates are the Beneficial Owner of at least 5% of the total number of shares of Common Stock outstanding at any time, the Company shall, and take all necessary actions within its control to cause the Board of Directors to, fill any vacancy of the Krantz Designee arising through the death, resignation or removal to be filled by a person designated by Jason Krantz, or if deceased, the personal representative or executor of his estate, and such person so chosen shall hold office until the next annual election and until his or her successor is duly elected and qualified, or until his or her earlier death, resignation or removal.</w:t>
      </w:r>
    </w:p>
    <w:p>
      <w:pPr>
        <w:spacing w:after="0" w:line="191" w:lineRule="exact"/>
        <w:rPr>
          <w:rFonts w:ascii="Arial" w:cs="Arial" w:eastAsia="Arial" w:hAnsi="Arial"/>
          <w:sz w:val="22"/>
          <w:szCs w:val="22"/>
          <w:color w:val="auto"/>
        </w:rPr>
      </w:pPr>
    </w:p>
    <w:p>
      <w:pPr>
        <w:jc w:val="both"/>
        <w:ind w:firstLine="1505"/>
        <w:spacing w:after="0" w:line="303" w:lineRule="auto"/>
        <w:tabs>
          <w:tab w:leader="none" w:pos="1929" w:val="left"/>
        </w:tabs>
        <w:numPr>
          <w:ilvl w:val="0"/>
          <w:numId w:val="224"/>
        </w:numPr>
        <w:rPr>
          <w:rFonts w:ascii="Arial" w:cs="Arial" w:eastAsia="Arial" w:hAnsi="Arial"/>
          <w:sz w:val="19"/>
          <w:szCs w:val="19"/>
          <w:color w:val="auto"/>
        </w:rPr>
      </w:pPr>
      <w:r>
        <w:rPr>
          <w:rFonts w:ascii="Arial" w:cs="Arial" w:eastAsia="Arial" w:hAnsi="Arial"/>
          <w:sz w:val="19"/>
          <w:szCs w:val="19"/>
          <w:color w:val="auto"/>
        </w:rPr>
        <w:t>Notwithstanding the provisions of this Section 2, Jason Krantz shall not be entitled to designate any person as a nominee to the Board of Directors if the Company receives a written opinion of its outside legal counsel, which shall be a counsel of national reputation, that such person would not be qualified under any applicable law, rule or regulation, rule of the Nasdaq Global Market or the By-Laws to serve as a director of the Company. Other than for the reasons set forth in the preceding sentence, the Company shall not have the right to object to the Krantz Designee. The Company shall notify Jason Krantz in writing of the date on which proxy materials are expected to be mailed by the Company in connection with an election of directors (and such notice shall be delivered to Jason Krantz at least 30 days prior to such expected mailing date). The Company shall notify Jason Krantz of any objection to the Krantz Designee pursuant to this Section 2(d) sufficiently in advance of the date on which such proxy materials are to be mailed by the Company in connection with such election of directors so as to enable Jason Krantz to propose a replacement Krantz Designee in accordance with the terms of this Agreement.</w:t>
      </w:r>
    </w:p>
    <w:p>
      <w:pPr>
        <w:spacing w:after="0" w:line="157" w:lineRule="exact"/>
        <w:rPr>
          <w:rFonts w:ascii="Arial" w:cs="Arial" w:eastAsia="Arial" w:hAnsi="Arial"/>
          <w:sz w:val="19"/>
          <w:szCs w:val="19"/>
          <w:color w:val="auto"/>
        </w:rPr>
      </w:pPr>
    </w:p>
    <w:p>
      <w:pPr>
        <w:jc w:val="both"/>
        <w:ind w:firstLine="1505"/>
        <w:spacing w:after="0" w:line="266" w:lineRule="auto"/>
        <w:tabs>
          <w:tab w:leader="none" w:pos="192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Company shall pay all reasonable out-of-pocket expenses incurred by the Krantz Designee in connection with the performance of his or her duties as a director and in connection with his or her attendance at any meeting of the Board of Directors.</w:t>
      </w:r>
    </w:p>
    <w:p>
      <w:pPr>
        <w:spacing w:after="0" w:line="184" w:lineRule="exact"/>
        <w:rPr>
          <w:rFonts w:ascii="Arial" w:cs="Arial" w:eastAsia="Arial" w:hAnsi="Arial"/>
          <w:sz w:val="22"/>
          <w:szCs w:val="22"/>
          <w:color w:val="auto"/>
        </w:rPr>
      </w:pPr>
    </w:p>
    <w:p>
      <w:pPr>
        <w:jc w:val="both"/>
        <w:ind w:right="20" w:firstLine="1505"/>
        <w:spacing w:after="0" w:line="266" w:lineRule="auto"/>
        <w:tabs>
          <w:tab w:leader="none" w:pos="192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So long as Jason Krantz or his estate has the right to nominate a Krantz Designee or any such Krantz Designee is serving on the Board of Directors, the Company shall use its reasonable best efforts to maintain in effect at all times directors and officers indemnity insurance coverage reasonably satisfactory to Jason Krantz.</w:t>
      </w:r>
    </w:p>
    <w:p>
      <w:pPr>
        <w:spacing w:after="0" w:line="18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2"/>
          <w:szCs w:val="22"/>
          <w:color w:val="auto"/>
        </w:rPr>
        <w:t>Notwithstanding the provisions of this Section 2, the Company shall not be required to take any action which it reasonably believes is unlawful, and the Company shall be allowed to take any action the omission of which it reasonably believes would be unlawful.</w:t>
      </w:r>
    </w:p>
    <w:p>
      <w:pPr>
        <w:spacing w:after="0" w:line="185"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ind w:right="20" w:firstLine="1505"/>
        <w:spacing w:after="0" w:line="276" w:lineRule="auto"/>
        <w:tabs>
          <w:tab w:leader="none" w:pos="1929"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Delaware, without giving effect to its principles of conflicts of laws.</w:t>
      </w:r>
    </w:p>
    <w:p>
      <w:pPr>
        <w:spacing w:after="0" w:line="174" w:lineRule="exact"/>
        <w:rPr>
          <w:rFonts w:ascii="Arial" w:cs="Arial" w:eastAsia="Arial" w:hAnsi="Arial"/>
          <w:sz w:val="22"/>
          <w:szCs w:val="22"/>
          <w:color w:val="auto"/>
        </w:rPr>
      </w:pPr>
    </w:p>
    <w:p>
      <w:pPr>
        <w:jc w:val="both"/>
        <w:ind w:firstLine="1505"/>
        <w:spacing w:after="0" w:line="262" w:lineRule="auto"/>
        <w:tabs>
          <w:tab w:leader="none" w:pos="1929"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Certain Adjustments</w:t>
      </w:r>
      <w:r>
        <w:rPr>
          <w:rFonts w:ascii="Arial" w:cs="Arial" w:eastAsia="Arial" w:hAnsi="Arial"/>
          <w:sz w:val="22"/>
          <w:szCs w:val="22"/>
          <w:color w:val="auto"/>
        </w:rPr>
        <w:t>. The provisions of this Agreement shall apply to the full extent set forth herein with respect to any and all shares of capital stock of the Company or any successor or assign of the Company (whether by merger, consolidation, sale of assets or otherwise) that may be issued in respect of, in exchange for, or in substitution for the shares of Common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WEIL:\98112182\3\40590.0003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6" w:name="page327"/>
    <w:bookmarkEnd w:id="326"/>
    <w:p>
      <w:pPr>
        <w:jc w:val="both"/>
        <w:spacing w:after="0" w:line="327" w:lineRule="auto"/>
        <w:rPr>
          <w:sz w:val="20"/>
          <w:szCs w:val="20"/>
          <w:color w:val="auto"/>
        </w:rPr>
      </w:pPr>
      <w:r>
        <w:rPr>
          <w:rFonts w:ascii="Arial" w:cs="Arial" w:eastAsia="Arial" w:hAnsi="Arial"/>
          <w:sz w:val="19"/>
          <w:szCs w:val="19"/>
          <w:color w:val="auto"/>
        </w:rPr>
        <w:t>Stock, by combination, recapitalization, reclassification, merger, consolidation or otherwise and the term “</w:t>
      </w:r>
      <w:r>
        <w:rPr>
          <w:rFonts w:ascii="Arial" w:cs="Arial" w:eastAsia="Arial" w:hAnsi="Arial"/>
          <w:sz w:val="19"/>
          <w:szCs w:val="19"/>
          <w:u w:val="single" w:color="auto"/>
          <w:color w:val="auto"/>
        </w:rPr>
        <w:t>Common Stock</w:t>
      </w:r>
      <w:r>
        <w:rPr>
          <w:rFonts w:ascii="Arial" w:cs="Arial" w:eastAsia="Arial" w:hAnsi="Arial"/>
          <w:sz w:val="19"/>
          <w:szCs w:val="19"/>
          <w:color w:val="auto"/>
        </w:rPr>
        <w:t>” shall include all such other securities. In the event of any change in the capitalization of the Company, as a result of any stock split, stock dividend or stock combination or otherwise, the provisions of this Agreement shall be appropriately adjusted.</w:t>
      </w:r>
    </w:p>
    <w:p>
      <w:pPr>
        <w:spacing w:after="0" w:line="133" w:lineRule="exact"/>
        <w:rPr>
          <w:sz w:val="20"/>
          <w:szCs w:val="20"/>
          <w:color w:val="auto"/>
        </w:rPr>
      </w:pPr>
    </w:p>
    <w:p>
      <w:pPr>
        <w:ind w:firstLine="1505"/>
        <w:spacing w:after="0" w:line="276" w:lineRule="auto"/>
        <w:tabs>
          <w:tab w:leader="none" w:pos="1970"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parties expressly agree that the provisions of this Agreement may be specifically enforced against each of the parties hereto in any court of competent jurisdiction.</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43"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herein, the provisions hereof, including without limitation the nomination rights and other rights set forth in Section 2, shall inure to the benefit of, and be binding upon, the successors, assigns, heirs, executors, and administrators of the parties hereto.</w:t>
      </w:r>
    </w:p>
    <w:p>
      <w:pPr>
        <w:spacing w:after="0" w:line="184" w:lineRule="exact"/>
        <w:rPr>
          <w:rFonts w:ascii="Arial" w:cs="Arial" w:eastAsia="Arial" w:hAnsi="Arial"/>
          <w:sz w:val="22"/>
          <w:szCs w:val="22"/>
          <w:color w:val="auto"/>
        </w:rPr>
      </w:pPr>
    </w:p>
    <w:p>
      <w:pPr>
        <w:jc w:val="both"/>
        <w:ind w:firstLine="1505"/>
        <w:spacing w:after="0" w:line="279" w:lineRule="auto"/>
        <w:tabs>
          <w:tab w:leader="none" w:pos="2010"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By-Laws, constitutes the full and entire understanding and agreement between the parties with regard to the subject matter hereof and supersedes all prior oral or written (and all contemporaneous oral) agreements or understandings with respect to the subject matter hereof. In the event of a conflict between the By-Laws and this Agreement, the provisions of the By-Laws shall control.</w:t>
      </w:r>
    </w:p>
    <w:p>
      <w:pPr>
        <w:spacing w:after="0" w:line="173" w:lineRule="exact"/>
        <w:rPr>
          <w:rFonts w:ascii="Arial" w:cs="Arial" w:eastAsia="Arial" w:hAnsi="Arial"/>
          <w:sz w:val="21"/>
          <w:szCs w:val="21"/>
          <w:color w:val="auto"/>
        </w:rPr>
      </w:pPr>
    </w:p>
    <w:p>
      <w:pPr>
        <w:jc w:val="both"/>
        <w:ind w:firstLine="1505"/>
        <w:spacing w:after="0" w:line="266" w:lineRule="auto"/>
        <w:tabs>
          <w:tab w:leader="none" w:pos="1929"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Notices, etc</w:t>
      </w:r>
      <w:r>
        <w:rPr>
          <w:rFonts w:ascii="Arial" w:cs="Arial" w:eastAsia="Arial" w:hAnsi="Arial"/>
          <w:sz w:val="22"/>
          <w:szCs w:val="22"/>
          <w:color w:val="auto"/>
        </w:rPr>
        <w:t>. All notices and other communications required or permitted hereunder shall be in writing and shall be mailed by registered or certified mail, return receipt requested, postage prepaid or otherwise delivered by hand, messenger or e-mail, addressed:</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Jason Krantz:</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550 Cochituate Rd</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Framingham, Massachusetts 01701</w:t>
      </w:r>
    </w:p>
    <w:p>
      <w:pPr>
        <w:spacing w:after="0" w:line="17"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jkrantz@definitivehc.com</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550 Cochituate Rd</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Framingham, Massachusetts 01701</w:t>
      </w:r>
    </w:p>
    <w:p>
      <w:pPr>
        <w:spacing w:after="0" w:line="17" w:lineRule="exact"/>
        <w:rPr>
          <w:sz w:val="20"/>
          <w:szCs w:val="20"/>
          <w:color w:val="auto"/>
        </w:rPr>
      </w:pPr>
    </w:p>
    <w:p>
      <w:pPr>
        <w:ind w:left="2260"/>
        <w:spacing w:after="0"/>
        <w:tabs>
          <w:tab w:leader="none" w:pos="35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Legal Officer</w:t>
      </w:r>
    </w:p>
    <w:p>
      <w:pPr>
        <w:spacing w:after="0" w:line="17"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dsamuels@definitivehc.com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or at such other address as the Company or Jason Krantz shall have furnished to the other in writing.</w:t>
      </w:r>
    </w:p>
    <w:p>
      <w:pPr>
        <w:spacing w:after="0" w:line="23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21"/>
          <w:szCs w:val="21"/>
          <w:color w:val="auto"/>
        </w:rPr>
        <w:t>Each such notice or other communication shall for all purposes of this Agreement be treated as effective or as having been given when delivered, if delivered by hand or by messenger (or overnight courier), 24 hours after confirmed receipt if sent by e-mail transmission or at the earlier of its receipt or on the fifth day after mailing, if mailed, as aforesaid.</w:t>
      </w:r>
    </w:p>
    <w:p>
      <w:pPr>
        <w:spacing w:after="0" w:line="169" w:lineRule="exact"/>
        <w:rPr>
          <w:sz w:val="20"/>
          <w:szCs w:val="20"/>
          <w:color w:val="auto"/>
        </w:rPr>
      </w:pPr>
    </w:p>
    <w:p>
      <w:pPr>
        <w:jc w:val="both"/>
        <w:ind w:firstLine="1505"/>
        <w:spacing w:after="0" w:line="266" w:lineRule="auto"/>
        <w:tabs>
          <w:tab w:leader="none" w:pos="1929"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Delays or Omissions</w:t>
      </w:r>
      <w:r>
        <w:rPr>
          <w:rFonts w:ascii="Arial" w:cs="Arial" w:eastAsia="Arial" w:hAnsi="Arial"/>
          <w:sz w:val="22"/>
          <w:szCs w:val="22"/>
          <w:color w:val="auto"/>
        </w:rPr>
        <w:t>. No delay or omission to exercise any right, power or remedy accruing to any party hereto upon any breach or default of the Company under this Agreement, shall impair any such right, power or remedy of such party nor shall it be construed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WEIL:\98112182\3\40590.0003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7" w:name="page328"/>
    <w:bookmarkEnd w:id="327"/>
    <w:p>
      <w:pPr>
        <w:jc w:val="both"/>
        <w:spacing w:after="0" w:line="308" w:lineRule="auto"/>
        <w:rPr>
          <w:sz w:val="20"/>
          <w:szCs w:val="20"/>
          <w:color w:val="auto"/>
        </w:rPr>
      </w:pPr>
      <w:r>
        <w:rPr>
          <w:rFonts w:ascii="Arial" w:cs="Arial" w:eastAsia="Arial" w:hAnsi="Arial"/>
          <w:sz w:val="19"/>
          <w:szCs w:val="19"/>
          <w:color w:val="auto"/>
        </w:rPr>
        <w:t>be a waiver of any such breach or default, or an acquiescence therein, or of or in any similar breach or default thereunder occurring; nor shall any waiver of any single breach or default be deemed a waiver of any other breach or default therefore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54" w:lineRule="exact"/>
        <w:rPr>
          <w:sz w:val="20"/>
          <w:szCs w:val="20"/>
          <w:color w:val="auto"/>
        </w:rPr>
      </w:pPr>
    </w:p>
    <w:p>
      <w:pPr>
        <w:jc w:val="both"/>
        <w:ind w:right="20" w:firstLine="1505"/>
        <w:spacing w:after="0" w:line="284" w:lineRule="auto"/>
        <w:tabs>
          <w:tab w:leader="none" w:pos="1956"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including PDF copies thereof, each of which may be executed by less than all of the parties hereto, each of which shall be enforceable against the parties actually executing such counterparts, and all of which together shall constitute one instrument.</w:t>
      </w:r>
    </w:p>
    <w:p>
      <w:pPr>
        <w:spacing w:after="0" w:line="168" w:lineRule="exact"/>
        <w:rPr>
          <w:rFonts w:ascii="Arial" w:cs="Arial" w:eastAsia="Arial" w:hAnsi="Arial"/>
          <w:sz w:val="21"/>
          <w:szCs w:val="21"/>
          <w:color w:val="auto"/>
        </w:rPr>
      </w:pPr>
    </w:p>
    <w:p>
      <w:pPr>
        <w:ind w:right="20" w:firstLine="1505"/>
        <w:spacing w:after="0" w:line="276" w:lineRule="auto"/>
        <w:tabs>
          <w:tab w:leader="none" w:pos="1956"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be invalid, illegal or unenforceable, the validity, legality and enforceability of the remaining provisions shall not in any way be affected or impaired thereby.</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929"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The provisions of this Agreement may be amended at any time and from time to time, and particular provisions of this Agreement may be waived or modified, with and only with an agreement or consent in writing signed by the Company and Jason Krantz.</w:t>
      </w:r>
    </w:p>
    <w:p>
      <w:pPr>
        <w:spacing w:after="0" w:line="184" w:lineRule="exact"/>
        <w:rPr>
          <w:rFonts w:ascii="Arial" w:cs="Arial" w:eastAsia="Arial" w:hAnsi="Arial"/>
          <w:sz w:val="22"/>
          <w:szCs w:val="22"/>
          <w:color w:val="auto"/>
        </w:rPr>
      </w:pPr>
    </w:p>
    <w:p>
      <w:pPr>
        <w:jc w:val="both"/>
        <w:ind w:firstLine="1505"/>
        <w:spacing w:after="0" w:line="261" w:lineRule="auto"/>
        <w:tabs>
          <w:tab w:leader="none" w:pos="1956"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The parties hereto irrevocably submit, in any legal action or proceeding relating to this Agreement, to the jurisdiction of the courts of the United States located in the State of Delaware or in any Delaware state court and consent that any such action or proceeding may be brought in such courts and waive any objection that they may now or hereafter have to the venue of such action or proceeding in any such court or that such action or proceeding was brought in an inconvenient forum.</w:t>
      </w:r>
    </w:p>
    <w:p>
      <w:pPr>
        <w:spacing w:after="0" w:line="190" w:lineRule="exact"/>
        <w:rPr>
          <w:rFonts w:ascii="Arial" w:cs="Arial" w:eastAsia="Arial" w:hAnsi="Arial"/>
          <w:sz w:val="22"/>
          <w:szCs w:val="22"/>
          <w:color w:val="auto"/>
        </w:rPr>
      </w:pPr>
    </w:p>
    <w:p>
      <w:pPr>
        <w:jc w:val="both"/>
        <w:ind w:firstLine="1505"/>
        <w:spacing w:after="0" w:line="327" w:lineRule="auto"/>
        <w:tabs>
          <w:tab w:leader="none" w:pos="1943"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agree to use their best efforts and act in good faith in carrying out their obligations under this Agreement. The parties also agree, without further consideration, to execute such further instruments and to take such further actions as may be necessary or desirable to carry out the purposes and intent of this Agreement.</w:t>
      </w:r>
    </w:p>
    <w:p>
      <w:pPr>
        <w:spacing w:after="0" w:line="132" w:lineRule="exact"/>
        <w:rPr>
          <w:rFonts w:ascii="Arial" w:cs="Arial" w:eastAsia="Arial" w:hAnsi="Arial"/>
          <w:sz w:val="19"/>
          <w:szCs w:val="19"/>
          <w:color w:val="auto"/>
        </w:rPr>
      </w:pPr>
    </w:p>
    <w:p>
      <w:pPr>
        <w:ind w:firstLine="1505"/>
        <w:spacing w:after="0" w:line="276" w:lineRule="auto"/>
        <w:tabs>
          <w:tab w:leader="none" w:pos="1970"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parties expressly agree that the provisions of this Agreement may be specifically enforced against each of the parties hereto in any court of competent jurisdiction.</w:t>
      </w:r>
    </w:p>
    <w:p>
      <w:pPr>
        <w:spacing w:after="0" w:line="174" w:lineRule="exact"/>
        <w:rPr>
          <w:rFonts w:ascii="Arial" w:cs="Arial" w:eastAsia="Arial" w:hAnsi="Arial"/>
          <w:sz w:val="22"/>
          <w:szCs w:val="22"/>
          <w:color w:val="auto"/>
        </w:rPr>
      </w:pPr>
    </w:p>
    <w:p>
      <w:pPr>
        <w:ind w:firstLine="1505"/>
        <w:spacing w:after="0" w:line="276" w:lineRule="auto"/>
        <w:tabs>
          <w:tab w:leader="none" w:pos="1929"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shall automatically terminate at such time as Jason Krantz and his Affiliates no longer beneficially own at least 5% of the total number of shares of Common Stock outstanding.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WEIL:\98112182\3\40590.0003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8" w:name="page329"/>
    <w:bookmarkEnd w:id="328"/>
    <w:p>
      <w:pPr>
        <w:ind w:left="760"/>
        <w:spacing w:after="0"/>
        <w:rPr>
          <w:sz w:val="20"/>
          <w:szCs w:val="20"/>
          <w:color w:val="auto"/>
        </w:rPr>
      </w:pPr>
      <w:r>
        <w:rPr>
          <w:rFonts w:ascii="Arial" w:cs="Arial" w:eastAsia="Arial" w:hAnsi="Arial"/>
          <w:sz w:val="19"/>
          <w:szCs w:val="19"/>
          <w:color w:val="auto"/>
        </w:rPr>
        <w:t>IN WITNESS WHEREOF, each of the parties hereto has executed this Agreement as of the date first above written.</w:t>
      </w:r>
    </w:p>
    <w:p>
      <w:pPr>
        <w:spacing w:after="0" w:line="316"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20"/>
        <w:spacing w:after="0"/>
        <w:tabs>
          <w:tab w:leader="none" w:pos="5880" w:val="left"/>
        </w:tabs>
        <w:rPr>
          <w:sz w:val="20"/>
          <w:szCs w:val="20"/>
          <w:color w:val="auto"/>
        </w:rPr>
      </w:pPr>
      <w:r>
        <w:rPr>
          <w:rFonts w:ascii="Arial" w:cs="Arial" w:eastAsia="Arial" w:hAnsi="Arial"/>
          <w:sz w:val="22"/>
          <w:szCs w:val="22"/>
          <w:color w:val="auto"/>
        </w:rPr>
        <w:t>By:</w:t>
        <w:tab/>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24130</wp:posOffset>
            </wp:positionV>
            <wp:extent cx="33775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Jason Krantz</w:t>
      </w:r>
    </w:p>
    <w:p>
      <w:pPr>
        <w:spacing w:after="0" w:line="3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24130</wp:posOffset>
            </wp:positionV>
            <wp:extent cx="337756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Jason Krantz</w:t>
      </w: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[Signature Page to Jason Krantz Nominating Agreement]</w:t>
      </w:r>
    </w:p>
    <w:p>
      <w:pPr>
        <w:spacing w:after="0" w:line="287"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WEIL:\98112182\3\40590.0003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02" w:right="819" w:bottom="1440" w:gutter="0" w:footer="0" w:header="0"/>
        </w:sectPr>
      </w:pPr>
    </w:p>
    <w:bookmarkStart w:id="329" w:name="page330"/>
    <w:bookmarkEnd w:id="329"/>
    <w:p>
      <w:pPr>
        <w:jc w:val="right"/>
        <w:spacing w:after="0"/>
        <w:rPr>
          <w:sz w:val="20"/>
          <w:szCs w:val="20"/>
          <w:color w:val="auto"/>
        </w:rPr>
      </w:pPr>
      <w:r>
        <w:rPr>
          <w:rFonts w:ascii="Arial" w:cs="Arial" w:eastAsia="Arial" w:hAnsi="Arial"/>
          <w:sz w:val="20"/>
          <w:szCs w:val="20"/>
          <w:b w:val="1"/>
          <w:bCs w:val="1"/>
          <w:color w:val="auto"/>
        </w:rPr>
        <w:t>EXHIBIT 10.14</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AIDH TOPCO, LLC</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September 17, 2021</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AIDH TopCo, LLC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550 Cochituate Rd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Framingham, MA 01701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Attention: David A. Samuels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0"/>
          <w:szCs w:val="20"/>
          <w:u w:val="single" w:color="auto"/>
          <w:color w:val="auto"/>
        </w:rPr>
        <w:t>Expense Reimbursement Letter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Transactions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We are writing to acknowledge the agreement of certain parties listed on the signature pages hereto (“you” or “your”) to work with AIDH TopCo, LLC (the “</w:t>
      </w:r>
      <w:r>
        <w:rPr>
          <w:rFonts w:ascii="Arial" w:cs="Arial" w:eastAsia="Arial" w:hAnsi="Arial"/>
          <w:sz w:val="20"/>
          <w:szCs w:val="20"/>
          <w:u w:val="single" w:color="auto"/>
          <w:color w:val="auto"/>
        </w:rPr>
        <w:t>Company</w:t>
      </w:r>
      <w:r>
        <w:rPr>
          <w:rFonts w:ascii="Arial" w:cs="Arial" w:eastAsia="Arial" w:hAnsi="Arial"/>
          <w:sz w:val="20"/>
          <w:szCs w:val="20"/>
          <w:color w:val="auto"/>
        </w:rPr>
        <w:t>”, “</w:t>
      </w:r>
      <w:r>
        <w:rPr>
          <w:rFonts w:ascii="Arial" w:cs="Arial" w:eastAsia="Arial" w:hAnsi="Arial"/>
          <w:sz w:val="20"/>
          <w:szCs w:val="20"/>
          <w:u w:val="single" w:color="auto"/>
          <w:color w:val="auto"/>
        </w:rPr>
        <w:t>our</w:t>
      </w:r>
      <w:r>
        <w:rPr>
          <w:rFonts w:ascii="Arial" w:cs="Arial" w:eastAsia="Arial" w:hAnsi="Arial"/>
          <w:sz w:val="20"/>
          <w:szCs w:val="20"/>
          <w:color w:val="auto"/>
        </w:rPr>
        <w:t>”, “</w:t>
      </w:r>
      <w:r>
        <w:rPr>
          <w:rFonts w:ascii="Arial" w:cs="Arial" w:eastAsia="Arial" w:hAnsi="Arial"/>
          <w:sz w:val="20"/>
          <w:szCs w:val="20"/>
          <w:u w:val="single" w:color="auto"/>
          <w:color w:val="auto"/>
        </w:rPr>
        <w:t>us</w:t>
      </w:r>
      <w:r>
        <w:rPr>
          <w:rFonts w:ascii="Arial" w:cs="Arial" w:eastAsia="Arial" w:hAnsi="Arial"/>
          <w:sz w:val="20"/>
          <w:szCs w:val="20"/>
          <w:color w:val="auto"/>
        </w:rPr>
        <w:t>”, or “</w:t>
      </w:r>
      <w:r>
        <w:rPr>
          <w:rFonts w:ascii="Arial" w:cs="Arial" w:eastAsia="Arial" w:hAnsi="Arial"/>
          <w:sz w:val="20"/>
          <w:szCs w:val="20"/>
          <w:u w:val="single" w:color="auto"/>
          <w:color w:val="auto"/>
        </w:rPr>
        <w:t>we</w:t>
      </w:r>
      <w:r>
        <w:rPr>
          <w:rFonts w:ascii="Arial" w:cs="Arial" w:eastAsia="Arial" w:hAnsi="Arial"/>
          <w:sz w:val="20"/>
          <w:szCs w:val="20"/>
          <w:color w:val="auto"/>
        </w:rPr>
        <w:t>”) and Definitive Healthcare Corp. (“</w:t>
      </w:r>
      <w:r>
        <w:rPr>
          <w:rFonts w:ascii="Arial" w:cs="Arial" w:eastAsia="Arial" w:hAnsi="Arial"/>
          <w:sz w:val="20"/>
          <w:szCs w:val="20"/>
          <w:u w:val="single" w:color="auto"/>
          <w:color w:val="auto"/>
        </w:rPr>
        <w:t>Pubco</w:t>
      </w:r>
      <w:r>
        <w:rPr>
          <w:rFonts w:ascii="Arial" w:cs="Arial" w:eastAsia="Arial" w:hAnsi="Arial"/>
          <w:sz w:val="20"/>
          <w:szCs w:val="20"/>
          <w:color w:val="auto"/>
        </w:rPr>
        <w:t>”), in connection with the initial public offering of the Class A common stock by Pubco (the “</w:t>
      </w:r>
      <w:r>
        <w:rPr>
          <w:rFonts w:ascii="Arial" w:cs="Arial" w:eastAsia="Arial" w:hAnsi="Arial"/>
          <w:sz w:val="20"/>
          <w:szCs w:val="20"/>
          <w:u w:val="single" w:color="auto"/>
          <w:color w:val="auto"/>
        </w:rPr>
        <w:t>Initial Public Offering</w:t>
      </w:r>
      <w:r>
        <w:rPr>
          <w:rFonts w:ascii="Arial" w:cs="Arial" w:eastAsia="Arial" w:hAnsi="Arial"/>
          <w:sz w:val="20"/>
          <w:szCs w:val="20"/>
          <w:color w:val="auto"/>
        </w:rPr>
        <w:t>”), including the reorganization of Pubco and the Company contemplated in connection with the Initial Public Offering (the “</w:t>
      </w:r>
      <w:r>
        <w:rPr>
          <w:rFonts w:ascii="Arial" w:cs="Arial" w:eastAsia="Arial" w:hAnsi="Arial"/>
          <w:sz w:val="20"/>
          <w:szCs w:val="20"/>
          <w:u w:val="single" w:color="auto"/>
          <w:color w:val="auto"/>
        </w:rPr>
        <w:t>Reorganization Transactions</w:t>
      </w:r>
      <w:r>
        <w:rPr>
          <w:rFonts w:ascii="Arial" w:cs="Arial" w:eastAsia="Arial" w:hAnsi="Arial"/>
          <w:sz w:val="20"/>
          <w:szCs w:val="20"/>
          <w:color w:val="auto"/>
        </w:rPr>
        <w:t>” together with the Initial Public Offering, the “</w:t>
      </w:r>
      <w:r>
        <w:rPr>
          <w:rFonts w:ascii="Arial" w:cs="Arial" w:eastAsia="Arial" w:hAnsi="Arial"/>
          <w:sz w:val="20"/>
          <w:szCs w:val="20"/>
          <w:u w:val="single" w:color="auto"/>
          <w:color w:val="auto"/>
        </w:rPr>
        <w:t>Transactions</w:t>
      </w:r>
      <w:r>
        <w:rPr>
          <w:rFonts w:ascii="Arial" w:cs="Arial" w:eastAsia="Arial" w:hAnsi="Arial"/>
          <w:sz w:val="20"/>
          <w:szCs w:val="20"/>
          <w:color w:val="auto"/>
        </w:rPr>
        <w:t>”).</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consideration of your agreement to work with us towards the Transactions, we agree, by acknowledgment hereof, to reimburse you for all reasonable and documented out-of-pocket costs and expenses incurred by you (whether prior to or on the date hereof and including, without limitation, reasonable and documented fees and disbursements of counsel and consultants) in connection with the Transactions (all such costs and expenses, the “</w:t>
      </w:r>
      <w:r>
        <w:rPr>
          <w:rFonts w:ascii="Arial" w:cs="Arial" w:eastAsia="Arial" w:hAnsi="Arial"/>
          <w:sz w:val="19"/>
          <w:szCs w:val="19"/>
          <w:u w:val="single" w:color="auto"/>
          <w:color w:val="auto"/>
        </w:rPr>
        <w:t>Expenses</w:t>
      </w:r>
      <w:r>
        <w:rPr>
          <w:rFonts w:ascii="Arial" w:cs="Arial" w:eastAsia="Arial" w:hAnsi="Arial"/>
          <w:sz w:val="19"/>
          <w:szCs w:val="19"/>
          <w:color w:val="auto"/>
        </w:rPr>
        <w:t>”); provided, that in no event shall the Expenses reimbursable by the Company pursuant to this letter agreement to each of you exceed $300,000 (the “</w:t>
      </w:r>
      <w:r>
        <w:rPr>
          <w:rFonts w:ascii="Arial" w:cs="Arial" w:eastAsia="Arial" w:hAnsi="Arial"/>
          <w:sz w:val="19"/>
          <w:szCs w:val="19"/>
          <w:u w:val="single" w:color="auto"/>
          <w:color w:val="auto"/>
        </w:rPr>
        <w:t>Expense Cap</w:t>
      </w:r>
      <w:r>
        <w:rPr>
          <w:rFonts w:ascii="Arial" w:cs="Arial" w:eastAsia="Arial" w:hAnsi="Arial"/>
          <w:sz w:val="19"/>
          <w:szCs w:val="19"/>
          <w:color w:val="auto"/>
        </w:rPr>
        <w:t>”).</w:t>
      </w:r>
    </w:p>
    <w:p>
      <w:pPr>
        <w:spacing w:after="0" w:line="178"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This letter agreement shall be binding upon the Company and the Company’s successors and assigns, may be enforced by you and your successors and assigns, and shall be enforceable without regard to any act, event or circumstance except as expressly set forth herein.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This letter agreement shall be governed by and construed in accordance with the laws of the State of Delaware. Each party hereto irrevocably waives all right to trial by jury in any action, proceeding or counterclaim (whether based on contract, tort or otherwise) arising out of or relating to this letter agreement or the transactions contemplated hereby or the actions of the Company or any of its affiliates in the negotiation, performance or enforcement hereof.</w:t>
      </w:r>
    </w:p>
    <w:p>
      <w:pPr>
        <w:spacing w:after="0" w:line="231"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This letter agreement may be executed and delivered in counterparts (including by facsimile or other electronic transmission), each one of which shall be deemed an original and all of which together shall constitute one and the same letter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Expense Reimbursement Letter]</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30" w:name="page331"/>
    <w:bookmarkEnd w:id="330"/>
    <w:p>
      <w:pPr>
        <w:spacing w:after="0" w:line="347" w:lineRule="auto"/>
        <w:rPr>
          <w:sz w:val="20"/>
          <w:szCs w:val="20"/>
          <w:color w:val="auto"/>
        </w:rPr>
      </w:pPr>
      <w:r>
        <w:rPr>
          <w:rFonts w:ascii="Arial" w:cs="Arial" w:eastAsia="Arial" w:hAnsi="Arial"/>
          <w:sz w:val="18"/>
          <w:szCs w:val="18"/>
          <w:color w:val="auto"/>
        </w:rPr>
        <w:t>Please indicate your acceptance of the provisions hereof by signing a copy of this letter agreement and returning it, together with (i) evidence of reimbursable and accrued Expenses as of the date hereof and (ii) wire instructions for payment of the Expenses, to the Company.</w:t>
      </w:r>
    </w:p>
    <w:p>
      <w:pPr>
        <w:spacing w:after="0" w:line="40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Very truly yours,</w:t>
      </w:r>
    </w:p>
    <w:p>
      <w:pPr>
        <w:spacing w:after="0" w:line="25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AIDH TOPCO, LLC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5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3920" w:type="dxa"/>
            <w:vAlign w:val="bottom"/>
          </w:tcPr>
          <w:p>
            <w:pPr>
              <w:ind w:left="20"/>
              <w:spacing w:after="0"/>
              <w:rPr>
                <w:sz w:val="20"/>
                <w:szCs w:val="20"/>
                <w:color w:val="auto"/>
              </w:rPr>
            </w:pPr>
            <w:r>
              <w:rPr>
                <w:rFonts w:ascii="Arial" w:cs="Arial" w:eastAsia="Arial" w:hAnsi="Arial"/>
                <w:sz w:val="20"/>
                <w:szCs w:val="20"/>
                <w:color w:val="auto"/>
              </w:rPr>
              <w:t>/s/ Jason Krantz</w:t>
            </w:r>
          </w:p>
        </w:tc>
      </w:tr>
      <w:tr>
        <w:trPr>
          <w:trHeight w:val="23"/>
        </w:trPr>
        <w:tc>
          <w:tcPr>
            <w:tcW w:w="7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3920" w:type="dxa"/>
            <w:vAlign w:val="bottom"/>
          </w:tcPr>
          <w:p>
            <w:pPr>
              <w:ind w:left="20"/>
              <w:spacing w:after="0"/>
              <w:rPr>
                <w:sz w:val="20"/>
                <w:szCs w:val="20"/>
                <w:color w:val="auto"/>
              </w:rPr>
            </w:pPr>
            <w:r>
              <w:rPr>
                <w:rFonts w:ascii="Arial" w:cs="Arial" w:eastAsia="Arial" w:hAnsi="Arial"/>
                <w:sz w:val="20"/>
                <w:szCs w:val="20"/>
                <w:color w:val="auto"/>
              </w:rPr>
              <w:t>Jason Krantz</w:t>
            </w:r>
          </w:p>
        </w:tc>
      </w:tr>
      <w:tr>
        <w:trPr>
          <w:trHeight w:val="284"/>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39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Expense Reimbursement Letter]</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3" w:right="359" w:bottom="1440" w:gutter="0" w:footer="0" w:header="0"/>
        </w:sectPr>
      </w:pPr>
    </w:p>
    <w:bookmarkStart w:id="331" w:name="page332"/>
    <w:bookmarkEnd w:id="331"/>
    <w:p>
      <w:pPr>
        <w:spacing w:after="0"/>
        <w:rPr>
          <w:sz w:val="20"/>
          <w:szCs w:val="20"/>
          <w:color w:val="auto"/>
        </w:rPr>
      </w:pPr>
      <w:r>
        <w:rPr>
          <w:rFonts w:ascii="Arial" w:cs="Arial" w:eastAsia="Arial" w:hAnsi="Arial"/>
          <w:sz w:val="20"/>
          <w:szCs w:val="20"/>
          <w:color w:val="auto"/>
        </w:rPr>
        <w:t>ACCEPTED AND AGREED: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6360" w:type="dxa"/>
            <w:vAlign w:val="bottom"/>
            <w:gridSpan w:val="2"/>
          </w:tcPr>
          <w:p>
            <w:pPr>
              <w:ind w:left="220"/>
              <w:spacing w:after="0"/>
              <w:rPr>
                <w:sz w:val="20"/>
                <w:szCs w:val="20"/>
                <w:color w:val="auto"/>
              </w:rPr>
            </w:pPr>
            <w:r>
              <w:rPr>
                <w:rFonts w:ascii="Arial" w:cs="Arial" w:eastAsia="Arial" w:hAnsi="Arial"/>
                <w:sz w:val="20"/>
                <w:szCs w:val="20"/>
                <w:color w:val="auto"/>
              </w:rPr>
              <w:t>/s/ James Westra</w:t>
            </w:r>
          </w:p>
        </w:tc>
      </w:tr>
      <w:tr>
        <w:trPr>
          <w:trHeight w:val="23"/>
        </w:trPr>
        <w:tc>
          <w:tcPr>
            <w:tcW w:w="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254"/>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6360" w:type="dxa"/>
            <w:vAlign w:val="bottom"/>
            <w:gridSpan w:val="2"/>
          </w:tcPr>
          <w:p>
            <w:pPr>
              <w:ind w:left="20"/>
              <w:spacing w:after="0"/>
              <w:rPr>
                <w:sz w:val="20"/>
                <w:szCs w:val="20"/>
                <w:color w:val="auto"/>
              </w:rPr>
            </w:pPr>
            <w:r>
              <w:rPr>
                <w:rFonts w:ascii="Arial" w:cs="Arial" w:eastAsia="Arial" w:hAnsi="Arial"/>
                <w:sz w:val="20"/>
                <w:szCs w:val="20"/>
                <w:color w:val="auto"/>
              </w:rPr>
              <w:t>James Westra</w:t>
            </w:r>
          </w:p>
        </w:tc>
      </w:tr>
      <w:tr>
        <w:trPr>
          <w:trHeight w:val="283"/>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6360" w:type="dxa"/>
            <w:vAlign w:val="bottom"/>
            <w:gridSpan w:val="2"/>
          </w:tcPr>
          <w:p>
            <w:pPr>
              <w:ind w:left="20"/>
              <w:spacing w:after="0"/>
              <w:rPr>
                <w:sz w:val="20"/>
                <w:szCs w:val="20"/>
                <w:color w:val="auto"/>
              </w:rPr>
            </w:pPr>
            <w:r>
              <w:rPr>
                <w:rFonts w:ascii="Arial" w:cs="Arial" w:eastAsia="Arial" w:hAnsi="Arial"/>
                <w:sz w:val="20"/>
                <w:szCs w:val="20"/>
                <w:color w:val="auto"/>
              </w:rPr>
              <w:t>Chief Legal Officer, General Counsel, and Managing Partner</w:t>
            </w:r>
          </w:p>
        </w:tc>
      </w:tr>
      <w:tr>
        <w:trPr>
          <w:trHeight w:val="922"/>
        </w:trPr>
        <w:tc>
          <w:tcPr>
            <w:tcW w:w="920" w:type="dxa"/>
            <w:vAlign w:val="bottom"/>
          </w:tcPr>
          <w:p>
            <w:pPr>
              <w:spacing w:after="0"/>
              <w:rPr>
                <w:sz w:val="24"/>
                <w:szCs w:val="24"/>
                <w:color w:val="auto"/>
              </w:rPr>
            </w:pPr>
          </w:p>
        </w:tc>
        <w:tc>
          <w:tcPr>
            <w:tcW w:w="6360" w:type="dxa"/>
            <w:vAlign w:val="bottom"/>
            <w:gridSpan w:val="2"/>
          </w:tcPr>
          <w:p>
            <w:pPr>
              <w:ind w:left="3020"/>
              <w:spacing w:after="0"/>
              <w:rPr>
                <w:sz w:val="20"/>
                <w:szCs w:val="20"/>
                <w:color w:val="auto"/>
              </w:rPr>
            </w:pPr>
            <w:r>
              <w:rPr>
                <w:rFonts w:ascii="Arial" w:cs="Arial" w:eastAsia="Arial" w:hAnsi="Arial"/>
                <w:sz w:val="16"/>
                <w:szCs w:val="16"/>
                <w:color w:val="auto"/>
                <w:w w:val="90"/>
              </w:rPr>
              <w:t>[Signature Page to Expense Reimbursement Letter]</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3" w:right="1440" w:bottom="1440" w:gutter="0" w:footer="0" w:header="0"/>
        </w:sectPr>
      </w:pPr>
    </w:p>
    <w:bookmarkStart w:id="332" w:name="page333"/>
    <w:bookmarkEnd w:id="332"/>
    <w:p>
      <w:pPr>
        <w:spacing w:after="0"/>
        <w:rPr>
          <w:sz w:val="20"/>
          <w:szCs w:val="20"/>
          <w:color w:val="auto"/>
        </w:rPr>
      </w:pPr>
      <w:r>
        <w:rPr>
          <w:rFonts w:ascii="Arial" w:cs="Arial" w:eastAsia="Arial" w:hAnsi="Arial"/>
          <w:sz w:val="20"/>
          <w:szCs w:val="20"/>
          <w:color w:val="auto"/>
        </w:rPr>
        <w:t>ACCEPTED AND AGREED: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SPECTRUM EQUITY MANAGEMENT, L.P.</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20"/>
              <w:spacing w:after="0"/>
              <w:rPr>
                <w:sz w:val="20"/>
                <w:szCs w:val="20"/>
                <w:color w:val="auto"/>
              </w:rPr>
            </w:pPr>
            <w:r>
              <w:rPr>
                <w:rFonts w:ascii="Arial" w:cs="Arial" w:eastAsia="Arial" w:hAnsi="Arial"/>
                <w:sz w:val="20"/>
                <w:szCs w:val="20"/>
                <w:color w:val="auto"/>
              </w:rPr>
              <w:t>/s/ Chris Mitchell</w:t>
            </w:r>
          </w:p>
        </w:tc>
      </w:tr>
      <w:tr>
        <w:trPr>
          <w:trHeight w:val="23"/>
        </w:trPr>
        <w:tc>
          <w:tcPr>
            <w:tcW w:w="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4220" w:type="dxa"/>
            <w:vAlign w:val="bottom"/>
          </w:tcPr>
          <w:p>
            <w:pPr>
              <w:ind w:left="20"/>
              <w:spacing w:after="0"/>
              <w:rPr>
                <w:sz w:val="20"/>
                <w:szCs w:val="20"/>
                <w:color w:val="auto"/>
              </w:rPr>
            </w:pPr>
            <w:r>
              <w:rPr>
                <w:rFonts w:ascii="Arial" w:cs="Arial" w:eastAsia="Arial" w:hAnsi="Arial"/>
                <w:sz w:val="20"/>
                <w:szCs w:val="20"/>
                <w:color w:val="auto"/>
              </w:rPr>
              <w:t>Chris Mitchell</w:t>
            </w:r>
          </w:p>
        </w:tc>
      </w:tr>
      <w:tr>
        <w:trPr>
          <w:trHeight w:val="283"/>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99" w:lineRule="exact"/>
        <w:rPr>
          <w:sz w:val="20"/>
          <w:szCs w:val="20"/>
          <w:color w:val="auto"/>
        </w:rPr>
      </w:pPr>
    </w:p>
    <w:p>
      <w:pPr>
        <w:jc w:val="right"/>
        <w:ind w:right="2839"/>
        <w:spacing w:after="0"/>
        <w:rPr>
          <w:sz w:val="20"/>
          <w:szCs w:val="20"/>
          <w:color w:val="auto"/>
        </w:rPr>
      </w:pPr>
      <w:r>
        <w:rPr>
          <w:rFonts w:ascii="Arial" w:cs="Arial" w:eastAsia="Arial" w:hAnsi="Arial"/>
          <w:sz w:val="16"/>
          <w:szCs w:val="16"/>
          <w:color w:val="auto"/>
        </w:rPr>
        <w:t>[Signature Page to Expense Reimbursement Letter]</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3" w:right="1440" w:bottom="1440" w:gutter="0" w:footer="0" w:header="0"/>
        </w:sectPr>
      </w:pPr>
    </w:p>
    <w:bookmarkStart w:id="333" w:name="page334"/>
    <w:bookmarkEnd w:id="333"/>
    <w:p>
      <w:pPr>
        <w:spacing w:after="0"/>
        <w:rPr>
          <w:sz w:val="20"/>
          <w:szCs w:val="20"/>
          <w:color w:val="auto"/>
        </w:rPr>
      </w:pPr>
      <w:r>
        <w:rPr>
          <w:rFonts w:ascii="Arial" w:cs="Arial" w:eastAsia="Arial" w:hAnsi="Arial"/>
          <w:sz w:val="20"/>
          <w:szCs w:val="20"/>
          <w:color w:val="auto"/>
        </w:rPr>
        <w:t>ACCEPTED AND AGREED: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22C CAPITAL LLC</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20"/>
              <w:spacing w:after="0"/>
              <w:rPr>
                <w:sz w:val="20"/>
                <w:szCs w:val="20"/>
                <w:color w:val="auto"/>
              </w:rPr>
            </w:pPr>
            <w:r>
              <w:rPr>
                <w:rFonts w:ascii="Arial" w:cs="Arial" w:eastAsia="Arial" w:hAnsi="Arial"/>
                <w:sz w:val="20"/>
                <w:szCs w:val="20"/>
                <w:color w:val="auto"/>
              </w:rPr>
              <w:t>/s/ David Randall Winn</w:t>
            </w:r>
          </w:p>
        </w:tc>
      </w:tr>
      <w:tr>
        <w:trPr>
          <w:trHeight w:val="23"/>
        </w:trPr>
        <w:tc>
          <w:tcPr>
            <w:tcW w:w="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4220" w:type="dxa"/>
            <w:vAlign w:val="bottom"/>
          </w:tcPr>
          <w:p>
            <w:pPr>
              <w:ind w:left="20"/>
              <w:spacing w:after="0"/>
              <w:rPr>
                <w:sz w:val="20"/>
                <w:szCs w:val="20"/>
                <w:color w:val="auto"/>
              </w:rPr>
            </w:pPr>
            <w:r>
              <w:rPr>
                <w:rFonts w:ascii="Arial" w:cs="Arial" w:eastAsia="Arial" w:hAnsi="Arial"/>
                <w:sz w:val="20"/>
                <w:szCs w:val="20"/>
                <w:color w:val="auto"/>
              </w:rPr>
              <w:t>David Randall Winn</w:t>
            </w:r>
          </w:p>
        </w:tc>
      </w:tr>
      <w:tr>
        <w:trPr>
          <w:trHeight w:val="283"/>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99" w:lineRule="exact"/>
        <w:rPr>
          <w:sz w:val="20"/>
          <w:szCs w:val="20"/>
          <w:color w:val="auto"/>
        </w:rPr>
      </w:pPr>
    </w:p>
    <w:p>
      <w:pPr>
        <w:jc w:val="right"/>
        <w:ind w:right="2839"/>
        <w:spacing w:after="0"/>
        <w:rPr>
          <w:sz w:val="20"/>
          <w:szCs w:val="20"/>
          <w:color w:val="auto"/>
        </w:rPr>
      </w:pPr>
      <w:r>
        <w:rPr>
          <w:rFonts w:ascii="Arial" w:cs="Arial" w:eastAsia="Arial" w:hAnsi="Arial"/>
          <w:sz w:val="16"/>
          <w:szCs w:val="16"/>
          <w:color w:val="auto"/>
        </w:rPr>
        <w:t>[Signature Page to Expense Reimbursement Letter]</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3" w:right="1440" w:bottom="1440" w:gutter="0" w:footer="0" w:header="0"/>
        </w:sectPr>
      </w:pPr>
    </w:p>
    <w:bookmarkStart w:id="334" w:name="page335"/>
    <w:bookmarkEnd w:id="334"/>
    <w:p>
      <w:pPr>
        <w:spacing w:after="0"/>
        <w:rPr>
          <w:sz w:val="20"/>
          <w:szCs w:val="20"/>
          <w:color w:val="auto"/>
        </w:rPr>
      </w:pPr>
      <w:r>
        <w:rPr>
          <w:rFonts w:ascii="Arial" w:cs="Arial" w:eastAsia="Arial" w:hAnsi="Arial"/>
          <w:sz w:val="20"/>
          <w:szCs w:val="20"/>
          <w:color w:val="auto"/>
        </w:rPr>
        <w:t>ACCEPTED AND AGREED: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MHDH AB</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20"/>
              <w:spacing w:after="0"/>
              <w:rPr>
                <w:sz w:val="20"/>
                <w:szCs w:val="20"/>
                <w:color w:val="auto"/>
              </w:rPr>
            </w:pPr>
            <w:r>
              <w:rPr>
                <w:rFonts w:ascii="Arial" w:cs="Arial" w:eastAsia="Arial" w:hAnsi="Arial"/>
                <w:sz w:val="20"/>
                <w:szCs w:val="20"/>
                <w:color w:val="auto"/>
              </w:rPr>
              <w:t>/s/ Björn Carlsson</w:t>
            </w:r>
          </w:p>
        </w:tc>
      </w:tr>
      <w:tr>
        <w:trPr>
          <w:trHeight w:val="23"/>
        </w:trPr>
        <w:tc>
          <w:tcPr>
            <w:tcW w:w="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4220" w:type="dxa"/>
            <w:vAlign w:val="bottom"/>
          </w:tcPr>
          <w:p>
            <w:pPr>
              <w:ind w:left="20"/>
              <w:spacing w:after="0"/>
              <w:rPr>
                <w:sz w:val="20"/>
                <w:szCs w:val="20"/>
                <w:color w:val="auto"/>
              </w:rPr>
            </w:pPr>
            <w:r>
              <w:rPr>
                <w:rFonts w:ascii="Arial" w:cs="Arial" w:eastAsia="Arial" w:hAnsi="Arial"/>
                <w:sz w:val="20"/>
                <w:szCs w:val="20"/>
                <w:color w:val="auto"/>
              </w:rPr>
              <w:t>Björn Carlsson</w:t>
            </w:r>
          </w:p>
        </w:tc>
      </w:tr>
      <w:tr>
        <w:trPr>
          <w:trHeight w:val="283"/>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99" w:lineRule="exact"/>
        <w:rPr>
          <w:sz w:val="20"/>
          <w:szCs w:val="20"/>
          <w:color w:val="auto"/>
        </w:rPr>
      </w:pPr>
    </w:p>
    <w:p>
      <w:pPr>
        <w:jc w:val="right"/>
        <w:ind w:right="2839"/>
        <w:spacing w:after="0"/>
        <w:rPr>
          <w:sz w:val="20"/>
          <w:szCs w:val="20"/>
          <w:color w:val="auto"/>
        </w:rPr>
      </w:pPr>
      <w:r>
        <w:rPr>
          <w:rFonts w:ascii="Arial" w:cs="Arial" w:eastAsia="Arial" w:hAnsi="Arial"/>
          <w:sz w:val="16"/>
          <w:szCs w:val="16"/>
          <w:color w:val="auto"/>
        </w:rPr>
        <w:t>[Signature Page to Expense Reimbursement Letter]</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3" w:right="1440" w:bottom="1440" w:gutter="0" w:footer="0" w:header="0"/>
        </w:sectPr>
      </w:pPr>
    </w:p>
    <w:bookmarkStart w:id="335" w:name="page336"/>
    <w:bookmarkEnd w:id="335"/>
    <w:p>
      <w:pPr>
        <w:spacing w:after="0"/>
        <w:rPr>
          <w:sz w:val="20"/>
          <w:szCs w:val="20"/>
          <w:color w:val="auto"/>
        </w:rPr>
      </w:pPr>
      <w:r>
        <w:rPr>
          <w:rFonts w:ascii="Arial" w:cs="Arial" w:eastAsia="Arial" w:hAnsi="Arial"/>
          <w:sz w:val="20"/>
          <w:szCs w:val="20"/>
          <w:color w:val="auto"/>
        </w:rPr>
        <w:t>ACCEPTED AND AGREED: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JASON KRANTZ</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27305</wp:posOffset>
            </wp:positionV>
            <wp:extent cx="268287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839"/>
        <w:spacing w:after="0"/>
        <w:rPr>
          <w:sz w:val="20"/>
          <w:szCs w:val="20"/>
          <w:color w:val="auto"/>
        </w:rPr>
      </w:pPr>
      <w:r>
        <w:rPr>
          <w:rFonts w:ascii="Arial" w:cs="Arial" w:eastAsia="Arial" w:hAnsi="Arial"/>
          <w:sz w:val="16"/>
          <w:szCs w:val="16"/>
          <w:color w:val="auto"/>
        </w:rPr>
        <w:t>[Signature Page to Expense Reimbursement Letter]</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WEIL:\98135113\8\40590.0003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3"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22"/>
          <w:szCs w:val="22"/>
          <w:b w:val="1"/>
          <w:bCs w:val="1"/>
          <w:color w:val="auto"/>
        </w:rPr>
        <w:t>Exhibit 10.16</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30,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BY EMAIL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Kevin P. Shone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27 Grey Lane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Lynnfield, MA 01940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kshone@definitivehc.com</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Dear Kevin:</w:t>
      </w:r>
    </w:p>
    <w:p>
      <w:pPr>
        <w:spacing w:after="0" w:line="233"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This letter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confirms our agreement relating to your separation from employment with Definitive Healthcare, LLC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4" w:lineRule="exact"/>
        <w:rPr>
          <w:sz w:val="20"/>
          <w:szCs w:val="20"/>
          <w:color w:val="auto"/>
        </w:rPr>
      </w:pPr>
    </w:p>
    <w:p>
      <w:pPr>
        <w:jc w:val="both"/>
        <w:ind w:firstLine="1678"/>
        <w:spacing w:after="0" w:line="311" w:lineRule="auto"/>
        <w:tabs>
          <w:tab w:leader="none" w:pos="2793"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Your employment with the Company shall end by your separation effective as of the close of business on September 30, 2021 (such date,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Any position you hold as an officer, manager, director, agent or in any other capacity of the Company or any of its affiliates (“</w:t>
      </w:r>
      <w:r>
        <w:rPr>
          <w:rFonts w:ascii="Arial" w:cs="Arial" w:eastAsia="Arial" w:hAnsi="Arial"/>
          <w:sz w:val="19"/>
          <w:szCs w:val="19"/>
          <w:u w:val="single" w:color="auto"/>
          <w:color w:val="auto"/>
        </w:rPr>
        <w:t>Affiliates</w:t>
      </w:r>
      <w:r>
        <w:rPr>
          <w:rFonts w:ascii="Arial" w:cs="Arial" w:eastAsia="Arial" w:hAnsi="Arial"/>
          <w:sz w:val="19"/>
          <w:szCs w:val="19"/>
          <w:color w:val="auto"/>
        </w:rPr>
        <w:t>”), shall also end by your voluntary resignation effective as of the Separation Date. You further agree to effectuate such voluntary resignation from all such positions. You further agree to sign such other documents as the Company may request to effectuate such voluntary resignations</w:t>
      </w:r>
      <w:r>
        <w:rPr>
          <w:rFonts w:ascii="Arial" w:cs="Arial" w:eastAsia="Arial" w:hAnsi="Arial"/>
          <w:sz w:val="19"/>
          <w:szCs w:val="19"/>
          <w:b w:val="1"/>
          <w:bCs w:val="1"/>
          <w:color w:val="auto"/>
        </w:rPr>
        <w:t>.</w:t>
      </w:r>
    </w:p>
    <w:p>
      <w:pPr>
        <w:spacing w:after="0" w:line="150" w:lineRule="exact"/>
        <w:rPr>
          <w:rFonts w:ascii="Arial" w:cs="Arial" w:eastAsia="Arial" w:hAnsi="Arial"/>
          <w:sz w:val="19"/>
          <w:szCs w:val="19"/>
          <w:color w:val="auto"/>
        </w:rPr>
      </w:pPr>
    </w:p>
    <w:p>
      <w:pPr>
        <w:jc w:val="both"/>
        <w:ind w:firstLine="1678"/>
        <w:spacing w:after="0" w:line="260" w:lineRule="auto"/>
        <w:tabs>
          <w:tab w:leader="none" w:pos="2955"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Employee Benefits; COBRA</w:t>
      </w:r>
      <w:r>
        <w:rPr>
          <w:rFonts w:ascii="Arial" w:cs="Arial" w:eastAsia="Arial" w:hAnsi="Arial"/>
          <w:sz w:val="22"/>
          <w:szCs w:val="22"/>
          <w:color w:val="auto"/>
        </w:rPr>
        <w:t>: Your eligibility to participate, and if applicable, your dependent(s)’ eligibility to participate, in all employee benefit programs made available by the Company shall end as of the expiration of the Separation Date, provided, however, that you and your dependent(s) shall receive separate notification from the Company regarding your and your dependent(s)’ right to continue participation in any group health care benefit plan sponsored by the Company at your and/or your dependent(s)’ own expense under the Consolidated Omnibus Budget Reconciliation Act of 1985.</w:t>
      </w:r>
    </w:p>
    <w:p>
      <w:pPr>
        <w:spacing w:after="0" w:line="191" w:lineRule="exact"/>
        <w:rPr>
          <w:rFonts w:ascii="Arial" w:cs="Arial" w:eastAsia="Arial" w:hAnsi="Arial"/>
          <w:sz w:val="22"/>
          <w:szCs w:val="22"/>
          <w:color w:val="auto"/>
        </w:rPr>
      </w:pPr>
    </w:p>
    <w:p>
      <w:pPr>
        <w:ind w:left="2800" w:hanging="1122"/>
        <w:spacing w:after="0"/>
        <w:tabs>
          <w:tab w:leader="none" w:pos="2800"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Separation Payments</w:t>
      </w:r>
      <w:r>
        <w:rPr>
          <w:rFonts w:ascii="Arial" w:cs="Arial" w:eastAsia="Arial" w:hAnsi="Arial"/>
          <w:sz w:val="22"/>
          <w:szCs w:val="22"/>
          <w:color w:val="auto"/>
        </w:rPr>
        <w:t>:</w:t>
      </w:r>
    </w:p>
    <w:p>
      <w:pPr>
        <w:spacing w:after="0" w:line="233" w:lineRule="exact"/>
        <w:rPr>
          <w:sz w:val="20"/>
          <w:szCs w:val="20"/>
          <w:color w:val="auto"/>
        </w:rPr>
      </w:pPr>
    </w:p>
    <w:p>
      <w:pPr>
        <w:jc w:val="both"/>
        <w:ind w:firstLine="2635"/>
        <w:spacing w:after="0" w:line="305"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Salary Continuation &amp; 2021 Bonus</w:t>
      </w:r>
      <w:r>
        <w:rPr>
          <w:rFonts w:ascii="Arial" w:cs="Arial" w:eastAsia="Arial" w:hAnsi="Arial"/>
          <w:sz w:val="19"/>
          <w:szCs w:val="19"/>
          <w:color w:val="auto"/>
        </w:rPr>
        <w:t>. If you sign this Agreement, and this Agreement becomes effective as provided in Section 17 below, and subject to your continued compliance with the terms of this Agreement, you will be entitled to receive (i) base salary continuation at your current rate for a period of four and one-half months beginning on the Company’s first regular payroll date after the Effective Date of this Agreement, less applicable deductions and withholdings, payable in accordance with the Company’s regular payroll practices and (ii) your bonus for 2021, pro-rated based on the number of days beginning on January 1, 2021 and ending on the Separation Date, paid at the same rate as the Company pays out to its executive team for 2021 bonuses (i.e., base, target or stretch), less applicable deductions and withholdings, payable in a lump sum at the same time as 2021 bonuses are paid to the Company’s executive team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7" w:name="page338"/>
    <w:bookmarkEnd w:id="337"/>
    <w:p>
      <w:pPr>
        <w:spacing w:after="0"/>
        <w:rPr>
          <w:sz w:val="20"/>
          <w:szCs w:val="20"/>
          <w:color w:val="auto"/>
        </w:rPr>
      </w:pPr>
      <w:r>
        <w:rPr>
          <w:rFonts w:ascii="Arial" w:cs="Arial" w:eastAsia="Arial" w:hAnsi="Arial"/>
          <w:sz w:val="22"/>
          <w:szCs w:val="22"/>
          <w:color w:val="auto"/>
        </w:rPr>
        <w:t>(collectively with (i) and the Vested Units described below in Section 3(b), the “</w:t>
      </w:r>
      <w:r>
        <w:rPr>
          <w:rFonts w:ascii="Arial" w:cs="Arial" w:eastAsia="Arial" w:hAnsi="Arial"/>
          <w:sz w:val="22"/>
          <w:szCs w:val="22"/>
          <w:u w:val="single" w:color="auto"/>
          <w:color w:val="auto"/>
        </w:rPr>
        <w:t>Separation Payments</w:t>
      </w:r>
      <w:r>
        <w:rPr>
          <w:rFonts w:ascii="Arial" w:cs="Arial" w:eastAsia="Arial" w:hAnsi="Arial"/>
          <w:sz w:val="22"/>
          <w:szCs w:val="22"/>
          <w:color w:val="auto"/>
        </w:rPr>
        <w:t>”).</w:t>
      </w:r>
    </w:p>
    <w:p>
      <w:pPr>
        <w:spacing w:after="0" w:line="233" w:lineRule="exact"/>
        <w:rPr>
          <w:sz w:val="20"/>
          <w:szCs w:val="20"/>
          <w:color w:val="auto"/>
        </w:rPr>
      </w:pPr>
    </w:p>
    <w:p>
      <w:pPr>
        <w:jc w:val="both"/>
        <w:ind w:firstLine="2635"/>
        <w:spacing w:after="0" w:line="306"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Class B Units</w:t>
      </w:r>
      <w:r>
        <w:rPr>
          <w:rFonts w:ascii="Arial" w:cs="Arial" w:eastAsia="Arial" w:hAnsi="Arial"/>
          <w:sz w:val="19"/>
          <w:szCs w:val="19"/>
          <w:color w:val="auto"/>
        </w:rPr>
        <w:t>. You are party with(i) AIDH TopCo, LLC to the AIDH Topco, LLC Class B Unit Grant Agreement dated September 18, 2019 and (ii) AIDH Management Holdings, LLC to the AIDH Management Holdings, LLC Class B Unit Grant Agreement dated September 18, 2019 (the “</w:t>
      </w:r>
      <w:r>
        <w:rPr>
          <w:rFonts w:ascii="Arial" w:cs="Arial" w:eastAsia="Arial" w:hAnsi="Arial"/>
          <w:sz w:val="19"/>
          <w:szCs w:val="19"/>
          <w:u w:val="single" w:color="auto"/>
          <w:color w:val="auto"/>
        </w:rPr>
        <w:t>Award Agreements</w:t>
      </w:r>
      <w:r>
        <w:rPr>
          <w:rFonts w:ascii="Arial" w:cs="Arial" w:eastAsia="Arial" w:hAnsi="Arial"/>
          <w:sz w:val="19"/>
          <w:szCs w:val="19"/>
          <w:color w:val="auto"/>
        </w:rPr>
        <w:t>”), pursuant to which you were granted 303,333 Class B Units of AIDH Management Holdings, LLC (“Units”). 151,666.5 were designated as time-vesting units and 151,666.5 were designated as performance-vesting units. You acknowledge and agree that, 189,583.13 Units are vested (the “</w:t>
      </w:r>
      <w:r>
        <w:rPr>
          <w:rFonts w:ascii="Arial" w:cs="Arial" w:eastAsia="Arial" w:hAnsi="Arial"/>
          <w:sz w:val="19"/>
          <w:szCs w:val="19"/>
          <w:u w:val="single" w:color="auto"/>
          <w:color w:val="auto"/>
        </w:rPr>
        <w:t>Vested Units</w:t>
      </w:r>
      <w:r>
        <w:rPr>
          <w:rFonts w:ascii="Arial" w:cs="Arial" w:eastAsia="Arial" w:hAnsi="Arial"/>
          <w:sz w:val="19"/>
          <w:szCs w:val="19"/>
          <w:color w:val="auto"/>
        </w:rPr>
        <w:t>”) as of the Company’s initial public offering (September 17, 2021) and the remaining 113,749.87 Units shall be forfeited and cancelled pursuant to the terms of the Award Agreements as set forth below.</w:t>
      </w:r>
    </w:p>
    <w:p>
      <w:pPr>
        <w:spacing w:after="0" w:line="156" w:lineRule="exact"/>
        <w:rPr>
          <w:sz w:val="20"/>
          <w:szCs w:val="20"/>
          <w:color w:val="auto"/>
        </w:rPr>
      </w:pPr>
    </w:p>
    <w:p>
      <w:pPr>
        <w:ind w:left="1080" w:right="200"/>
        <w:spacing w:after="0" w:line="276" w:lineRule="auto"/>
        <w:rPr>
          <w:sz w:val="20"/>
          <w:szCs w:val="20"/>
          <w:color w:val="auto"/>
        </w:rPr>
      </w:pPr>
      <w:r>
        <w:rPr>
          <w:rFonts w:ascii="Arial" w:cs="Arial" w:eastAsia="Arial" w:hAnsi="Arial"/>
          <w:sz w:val="22"/>
          <w:szCs w:val="22"/>
          <w:color w:val="auto"/>
        </w:rPr>
        <w:t>The Company acknowledges and agrees that of your 151,666.5 time-vesting units, 75,833.25 time-vesting units are currently Vested Units.</w:t>
      </w:r>
    </w:p>
    <w:p>
      <w:pPr>
        <w:spacing w:after="0" w:line="66" w:lineRule="exact"/>
        <w:rPr>
          <w:sz w:val="20"/>
          <w:szCs w:val="20"/>
          <w:color w:val="auto"/>
        </w:rPr>
      </w:pPr>
    </w:p>
    <w:p>
      <w:pPr>
        <w:ind w:left="2200" w:right="320" w:hanging="320"/>
        <w:spacing w:after="0" w:line="262" w:lineRule="auto"/>
        <w:tabs>
          <w:tab w:leader="none" w:pos="22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Fifty percent of your remaining unvested time-vesting units (37,916.63 of the remaining 75,833.25 unvested time-vesting units ) will accelerate and vest upon the earlier of (i) the consummation of Definitive Healthcare Corp.’s initial public offering (the “</w:t>
      </w:r>
      <w:r>
        <w:rPr>
          <w:rFonts w:ascii="Arial" w:cs="Arial" w:eastAsia="Arial" w:hAnsi="Arial"/>
          <w:sz w:val="22"/>
          <w:szCs w:val="22"/>
          <w:u w:val="single" w:color="auto"/>
          <w:color w:val="auto"/>
        </w:rPr>
        <w:t>IPO</w:t>
      </w:r>
      <w:r>
        <w:rPr>
          <w:rFonts w:ascii="Arial" w:cs="Arial" w:eastAsia="Arial" w:hAnsi="Arial"/>
          <w:sz w:val="22"/>
          <w:szCs w:val="22"/>
          <w:color w:val="auto"/>
        </w:rPr>
        <w:t>”) or (ii) the Effective Date of the Final Release.</w:t>
      </w:r>
    </w:p>
    <w:p>
      <w:pPr>
        <w:spacing w:after="0" w:line="83" w:lineRule="exact"/>
        <w:rPr>
          <w:rFonts w:ascii="Arial" w:cs="Arial" w:eastAsia="Arial" w:hAnsi="Arial"/>
          <w:sz w:val="22"/>
          <w:szCs w:val="22"/>
          <w:color w:val="auto"/>
        </w:rPr>
      </w:pPr>
    </w:p>
    <w:p>
      <w:pPr>
        <w:ind w:left="2200" w:hanging="320"/>
        <w:spacing w:after="0"/>
        <w:tabs>
          <w:tab w:leader="none" w:pos="22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remaining fifty percent of your unvested time-vesting units (37,916.63) will be forfeited.</w:t>
      </w:r>
    </w:p>
    <w:p>
      <w:pPr>
        <w:spacing w:after="0" w:line="125" w:lineRule="exact"/>
        <w:rPr>
          <w:sz w:val="20"/>
          <w:szCs w:val="20"/>
          <w:color w:val="auto"/>
        </w:rPr>
      </w:pPr>
    </w:p>
    <w:p>
      <w:pPr>
        <w:ind w:left="1080" w:right="120"/>
        <w:spacing w:after="0" w:line="276" w:lineRule="auto"/>
        <w:rPr>
          <w:sz w:val="20"/>
          <w:szCs w:val="20"/>
          <w:color w:val="auto"/>
        </w:rPr>
      </w:pPr>
      <w:r>
        <w:rPr>
          <w:rFonts w:ascii="Arial" w:cs="Arial" w:eastAsia="Arial" w:hAnsi="Arial"/>
          <w:sz w:val="22"/>
          <w:szCs w:val="22"/>
          <w:color w:val="auto"/>
        </w:rPr>
        <w:t>The Company acknowledges and agrees that of your 151,666.5 performance-vesting units, zero are currently Vested Units.</w:t>
      </w:r>
    </w:p>
    <w:p>
      <w:pPr>
        <w:spacing w:after="0" w:line="66" w:lineRule="exact"/>
        <w:rPr>
          <w:sz w:val="20"/>
          <w:szCs w:val="20"/>
          <w:color w:val="auto"/>
        </w:rPr>
      </w:pPr>
    </w:p>
    <w:p>
      <w:pPr>
        <w:ind w:left="2200" w:right="140" w:hanging="320"/>
        <w:spacing w:after="0" w:line="266" w:lineRule="auto"/>
        <w:tabs>
          <w:tab w:leader="none" w:pos="220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Fifty percent of such performance-vesting units (75,833.25) will convert into time-vesting units and all such units will accelerate and vest upon the earlier of (i) the consummation of the IPO or (ii) the Effective Date of the Final Release.</w:t>
      </w:r>
    </w:p>
    <w:p>
      <w:pPr>
        <w:spacing w:after="0" w:line="76" w:lineRule="exact"/>
        <w:rPr>
          <w:rFonts w:ascii="Arial" w:cs="Arial" w:eastAsia="Arial" w:hAnsi="Arial"/>
          <w:sz w:val="22"/>
          <w:szCs w:val="22"/>
          <w:color w:val="auto"/>
        </w:rPr>
      </w:pPr>
    </w:p>
    <w:p>
      <w:pPr>
        <w:ind w:left="2200" w:hanging="320"/>
        <w:spacing w:after="0"/>
        <w:tabs>
          <w:tab w:leader="none" w:pos="22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remaining fifty percent of your unvested performance-vesting units (75,833.25) will be forfeited.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38" w:name="page339"/>
    <w:bookmarkEnd w:id="338"/>
    <w:p>
      <w:pPr>
        <w:ind w:right="160"/>
        <w:spacing w:after="0" w:line="276" w:lineRule="auto"/>
        <w:rPr>
          <w:sz w:val="20"/>
          <w:szCs w:val="20"/>
          <w:color w:val="auto"/>
        </w:rPr>
      </w:pPr>
      <w:r>
        <w:rPr>
          <w:rFonts w:ascii="Arial" w:cs="Arial" w:eastAsia="Arial" w:hAnsi="Arial"/>
          <w:sz w:val="22"/>
          <w:szCs w:val="22"/>
          <w:color w:val="auto"/>
        </w:rPr>
        <w:t>Upon the earlier of the IPO or the Effective Date of this Agreement, you will have the following vested units and will forfeit the remainder of your units:</w:t>
      </w:r>
    </w:p>
    <w:p>
      <w:pPr>
        <w:spacing w:after="0" w:line="159" w:lineRule="exact"/>
        <w:rPr>
          <w:sz w:val="20"/>
          <w:szCs w:val="20"/>
          <w:color w:val="auto"/>
        </w:rPr>
      </w:pPr>
    </w:p>
    <w:tbl>
      <w:tblPr>
        <w:tblLayout w:type="fixed"/>
        <w:tblInd w:w="590" w:type="dxa"/>
        <w:tblCellMar>
          <w:top w:w="0" w:type="dxa"/>
          <w:left w:w="0" w:type="dxa"/>
          <w:bottom w:w="0" w:type="dxa"/>
          <w:right w:w="0" w:type="dxa"/>
        </w:tblCellMar>
      </w:tblPr>
      <w:tr>
        <w:trPr>
          <w:trHeight w:val="297"/>
        </w:trPr>
        <w:tc>
          <w:tcPr>
            <w:tcW w:w="4860" w:type="dxa"/>
            <w:vAlign w:val="bottom"/>
            <w:tcBorders>
              <w:top w:val="single" w:sz="8" w:color="auto"/>
              <w:left w:val="single" w:sz="8" w:color="auto"/>
              <w:right w:val="single" w:sz="8" w:color="auto"/>
            </w:tcBorders>
          </w:tcPr>
          <w:p>
            <w:pPr>
              <w:spacing w:after="0"/>
              <w:rPr>
                <w:sz w:val="24"/>
                <w:szCs w:val="24"/>
                <w:color w:val="auto"/>
              </w:rPr>
            </w:pPr>
          </w:p>
        </w:tc>
        <w:tc>
          <w:tcPr>
            <w:tcW w:w="52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Total Vested Units upon IPO or Departure</w:t>
            </w:r>
          </w:p>
        </w:tc>
      </w:tr>
      <w:tr>
        <w:trPr>
          <w:trHeight w:val="216"/>
        </w:trPr>
        <w:tc>
          <w:tcPr>
            <w:tcW w:w="4860" w:type="dxa"/>
            <w:vAlign w:val="bottom"/>
            <w:tcBorders>
              <w:left w:val="single" w:sz="8" w:color="auto"/>
              <w:bottom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18"/>
                <w:szCs w:val="18"/>
                <w:color w:val="auto"/>
              </w:rPr>
            </w:pPr>
          </w:p>
        </w:tc>
      </w:tr>
      <w:tr>
        <w:trPr>
          <w:trHeight w:val="277"/>
        </w:trPr>
        <w:tc>
          <w:tcPr>
            <w:tcW w:w="4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Previously Vested Time-Vesting Units</w:t>
            </w: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75,833.25</w:t>
            </w:r>
          </w:p>
        </w:tc>
      </w:tr>
      <w:tr>
        <w:trPr>
          <w:trHeight w:val="233"/>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r>
      <w:tr>
        <w:trPr>
          <w:trHeight w:val="273"/>
        </w:trPr>
        <w:tc>
          <w:tcPr>
            <w:tcW w:w="4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6"/>
              </w:rPr>
              <w:t>Converted and Vested Performance-Vesting Units</w:t>
            </w: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75,833.25</w:t>
            </w:r>
          </w:p>
        </w:tc>
      </w:tr>
      <w:tr>
        <w:trPr>
          <w:trHeight w:val="233"/>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r>
      <w:tr>
        <w:trPr>
          <w:trHeight w:val="269"/>
        </w:trPr>
        <w:tc>
          <w:tcPr>
            <w:tcW w:w="4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Vested Remaining Time-Vesting</w:t>
            </w: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37,916.63</w:t>
            </w:r>
          </w:p>
        </w:tc>
      </w:tr>
      <w:tr>
        <w:trPr>
          <w:trHeight w:val="274"/>
        </w:trPr>
        <w:tc>
          <w:tcPr>
            <w:tcW w:w="4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Units</w:t>
            </w:r>
          </w:p>
        </w:tc>
        <w:tc>
          <w:tcPr>
            <w:tcW w:w="5240" w:type="dxa"/>
            <w:vAlign w:val="bottom"/>
            <w:tcBorders>
              <w:right w:val="single" w:sz="8" w:color="auto"/>
            </w:tcBorders>
          </w:tcPr>
          <w:p>
            <w:pPr>
              <w:spacing w:after="0"/>
              <w:rPr>
                <w:sz w:val="23"/>
                <w:szCs w:val="23"/>
                <w:color w:val="auto"/>
              </w:rPr>
            </w:pPr>
          </w:p>
        </w:tc>
      </w:tr>
      <w:tr>
        <w:trPr>
          <w:trHeight w:val="233"/>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r>
      <w:tr>
        <w:trPr>
          <w:trHeight w:val="273"/>
        </w:trPr>
        <w:tc>
          <w:tcPr>
            <w:tcW w:w="4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Total Vested Units</w:t>
            </w: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189,583.13</w:t>
            </w:r>
          </w:p>
        </w:tc>
      </w:tr>
      <w:tr>
        <w:trPr>
          <w:trHeight w:val="233"/>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r>
      <w:tr>
        <w:trPr>
          <w:trHeight w:val="273"/>
        </w:trPr>
        <w:tc>
          <w:tcPr>
            <w:tcW w:w="4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Forfeited Units</w:t>
            </w: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113,749.87</w:t>
            </w:r>
          </w:p>
        </w:tc>
      </w:tr>
      <w:tr>
        <w:trPr>
          <w:trHeight w:val="233"/>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You acknowledge and agree that the Vested Units remain subject to terms and conditions of the AIDH Management Holdings, LLC Amended and Restated Limited Liability Company Agreement, dated as of July 16, 2019, as may be amended from time to time, and the AIDH Topco, LLC Agreement, dated as of July 16, 2019, as may be amended from time to time. The Vested Units comprise part of the Separation Payments.</w:t>
      </w:r>
    </w:p>
    <w:p>
      <w:pPr>
        <w:spacing w:after="0" w:line="191" w:lineRule="exact"/>
        <w:rPr>
          <w:sz w:val="20"/>
          <w:szCs w:val="20"/>
          <w:color w:val="auto"/>
        </w:rPr>
      </w:pPr>
    </w:p>
    <w:p>
      <w:pPr>
        <w:jc w:val="both"/>
        <w:ind w:firstLine="2635"/>
        <w:spacing w:after="0" w:line="272" w:lineRule="auto"/>
        <w:rPr>
          <w:sz w:val="20"/>
          <w:szCs w:val="20"/>
          <w:color w:val="auto"/>
        </w:rPr>
      </w:pPr>
      <w:r>
        <w:rPr>
          <w:rFonts w:ascii="Arial" w:cs="Arial" w:eastAsia="Arial" w:hAnsi="Arial"/>
          <w:sz w:val="21"/>
          <w:szCs w:val="21"/>
          <w:color w:val="auto"/>
        </w:rPr>
        <w:t>c. You acknowledge and agree that the Separation Payments shall be in lieu of and are of greater value than any other payments or benefits to which you otherwise might have been entitled absent this Agreement, and that, other than payment of your earned but unpaid base salary, unused earned vacation benefits and earned but unpaid 401(k) matching benefits, through the Effective Date (which shall be paid on the next regularly scheduled payroll date following the Effective Date), no further compensation or benefits (including but not limited to bonuses, severance benefits, or otherwise) are owed to you in connection with, or in relation to, your employment by the Company or any of its Affiliates or any position as an officer of the Company or any of its Affiliates or the termination of your employment with the Company or resignation or termination of any such positions, whether pursuant to the Employment Agreement, dated April 2018, between you and the Company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or otherwise.</w:t>
      </w:r>
    </w:p>
    <w:p>
      <w:pPr>
        <w:spacing w:after="0" w:line="183" w:lineRule="exact"/>
        <w:rPr>
          <w:sz w:val="20"/>
          <w:szCs w:val="20"/>
          <w:color w:val="auto"/>
        </w:rPr>
      </w:pPr>
    </w:p>
    <w:p>
      <w:pPr>
        <w:ind w:left="2800" w:hanging="1122"/>
        <w:spacing w:after="0"/>
        <w:tabs>
          <w:tab w:leader="none" w:pos="280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Release of Claims; Waiver of Future Employment</w:t>
      </w:r>
      <w:r>
        <w:rPr>
          <w:rFonts w:ascii="Arial" w:cs="Arial" w:eastAsia="Arial" w:hAnsi="Arial"/>
          <w:sz w:val="22"/>
          <w:szCs w:val="22"/>
          <w:color w:val="auto"/>
        </w:rPr>
        <w:t>:</w:t>
      </w:r>
    </w:p>
    <w:p>
      <w:pPr>
        <w:spacing w:after="0" w:line="233" w:lineRule="exact"/>
        <w:rPr>
          <w:sz w:val="20"/>
          <w:szCs w:val="20"/>
          <w:color w:val="auto"/>
        </w:rPr>
      </w:pPr>
    </w:p>
    <w:p>
      <w:pPr>
        <w:jc w:val="both"/>
        <w:ind w:firstLine="2635"/>
        <w:spacing w:after="0" w:line="306" w:lineRule="auto"/>
        <w:rPr>
          <w:sz w:val="20"/>
          <w:szCs w:val="20"/>
          <w:color w:val="auto"/>
        </w:rPr>
      </w:pPr>
      <w:r>
        <w:rPr>
          <w:rFonts w:ascii="Arial" w:cs="Arial" w:eastAsia="Arial" w:hAnsi="Arial"/>
          <w:sz w:val="19"/>
          <w:szCs w:val="19"/>
          <w:color w:val="auto"/>
        </w:rPr>
        <w:t>a. In consideration of the terms of this Agreement, you agree to and do release (on behalf of yourself, your heirs and personal representatives) and forever discharge the Company, its Affiliates and the current and former members, employees, officers, directors and stockholders of the Company and its Affiliates, and each of their respective successors, assigns, agents and representatives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claims, rights, demands, debts, obligations, losses, liens, agreements, contracts, covenants, actions, causes of action, suits, services, judgments, orders, counterclaims, controversies, setoffs, affirmative defenses, third party actions, damages, penalties, costs, expenses, attorneys’ fees, liabilities and indemnities of any kind or nature whatsoever, direct or indirect (collectively, the “</w:t>
      </w:r>
      <w:r>
        <w:rPr>
          <w:rFonts w:ascii="Arial" w:cs="Arial" w:eastAsia="Arial" w:hAnsi="Arial"/>
          <w:sz w:val="19"/>
          <w:szCs w:val="19"/>
          <w:u w:val="single" w:color="auto"/>
          <w:color w:val="auto"/>
        </w:rPr>
        <w:t>Claims</w:t>
      </w:r>
      <w:r>
        <w:rPr>
          <w:rFonts w:ascii="Arial" w:cs="Arial" w:eastAsia="Arial" w:hAnsi="Arial"/>
          <w:sz w:val="19"/>
          <w:szCs w:val="19"/>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39" w:name="page340"/>
    <w:bookmarkEnd w:id="339"/>
    <w:p>
      <w:pPr>
        <w:jc w:val="both"/>
        <w:spacing w:after="0" w:line="304" w:lineRule="auto"/>
        <w:rPr>
          <w:sz w:val="20"/>
          <w:szCs w:val="20"/>
          <w:color w:val="auto"/>
        </w:rPr>
      </w:pPr>
      <w:r>
        <w:rPr>
          <w:rFonts w:ascii="Arial" w:cs="Arial" w:eastAsia="Arial" w:hAnsi="Arial"/>
          <w:sz w:val="19"/>
          <w:szCs w:val="19"/>
          <w:color w:val="auto"/>
        </w:rPr>
        <w:t>whether asserted, unasserted, absolute, fixed or contingent, known or unknown, suspected or unsuspected, accrued or unaccrued or otherwise, that you may have, related to your period of employment by the Company or otherwise, through the date on which this Agreement is executed, including any and all claims under your Employment Agreement or arising out of or relating to your employment by the Company, including, but not limited to, wrongful discharge, breach of contract, tort, fraud, defamation and claims under the Civil Rights Acts,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the Americans With Disabilities Act, the Employee Retirement Income Security Act, the Family and Medical Leave Act, the Massachusetts Fair Employment Practices Act, the Massachusetts Wage Act, and any other federal, state, or local or foreign laws, rules, or regulations relating to employment, discrimination in employment, termination of employment, wages, benefits, human rights, or otherwise (“</w:t>
      </w:r>
      <w:r>
        <w:rPr>
          <w:rFonts w:ascii="Arial" w:cs="Arial" w:eastAsia="Arial" w:hAnsi="Arial"/>
          <w:sz w:val="19"/>
          <w:szCs w:val="19"/>
          <w:u w:val="single" w:color="auto"/>
          <w:color w:val="auto"/>
        </w:rPr>
        <w:t>Released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Claims</w:t>
      </w:r>
      <w:r>
        <w:rPr>
          <w:rFonts w:ascii="Arial" w:cs="Arial" w:eastAsia="Arial" w:hAnsi="Arial"/>
          <w:sz w:val="19"/>
          <w:szCs w:val="19"/>
          <w:color w:val="auto"/>
        </w:rPr>
        <w:t>”). You represent that you have not assigned any Released Claims to any third party.</w:t>
      </w:r>
    </w:p>
    <w:p>
      <w:pPr>
        <w:spacing w:after="0" w:line="155" w:lineRule="exact"/>
        <w:rPr>
          <w:sz w:val="20"/>
          <w:szCs w:val="20"/>
          <w:color w:val="auto"/>
        </w:rPr>
      </w:pPr>
    </w:p>
    <w:p>
      <w:pPr>
        <w:jc w:val="both"/>
        <w:ind w:firstLine="2635"/>
        <w:spacing w:after="0" w:line="304" w:lineRule="auto"/>
        <w:rPr>
          <w:sz w:val="20"/>
          <w:szCs w:val="20"/>
          <w:color w:val="auto"/>
        </w:rPr>
      </w:pPr>
      <w:r>
        <w:rPr>
          <w:rFonts w:ascii="Arial" w:cs="Arial" w:eastAsia="Arial" w:hAnsi="Arial"/>
          <w:sz w:val="19"/>
          <w:szCs w:val="19"/>
          <w:color w:val="auto"/>
        </w:rPr>
        <w:t>b. The release of the Released Claims set forth in Section 4(a) above do not include your right to enforce the terms of this Agreement, your right to receive an award from a Government Agency under its whistleblower program for reporting in good faith a possible violation of law to such Government Agency, your right to coverage under the Company’s liability insurance policies, any recovery to which you may be entitled pursuant to applicable workers’ compensation and unemployment insurance laws, your right to challenge the validity of your waiver and release of ADEA claims, or any right where a waiver is expressly prohibited by law. For purposes of this agreement, “</w:t>
      </w:r>
      <w:r>
        <w:rPr>
          <w:rFonts w:ascii="Arial" w:cs="Arial" w:eastAsia="Arial" w:hAnsi="Arial"/>
          <w:sz w:val="19"/>
          <w:szCs w:val="19"/>
          <w:u w:val="single" w:color="auto"/>
          <w:color w:val="auto"/>
        </w:rPr>
        <w:t>Government Agency</w:t>
      </w:r>
      <w:r>
        <w:rPr>
          <w:rFonts w:ascii="Arial" w:cs="Arial" w:eastAsia="Arial" w:hAnsi="Arial"/>
          <w:sz w:val="19"/>
          <w:szCs w:val="19"/>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155" w:lineRule="exact"/>
        <w:rPr>
          <w:sz w:val="20"/>
          <w:szCs w:val="20"/>
          <w:color w:val="auto"/>
        </w:rPr>
      </w:pPr>
    </w:p>
    <w:p>
      <w:pPr>
        <w:jc w:val="both"/>
        <w:ind w:firstLine="2635"/>
        <w:spacing w:after="0" w:line="266" w:lineRule="auto"/>
        <w:rPr>
          <w:sz w:val="20"/>
          <w:szCs w:val="20"/>
          <w:color w:val="auto"/>
        </w:rPr>
      </w:pPr>
      <w:r>
        <w:rPr>
          <w:rFonts w:ascii="Arial" w:cs="Arial" w:eastAsia="Arial" w:hAnsi="Arial"/>
          <w:sz w:val="22"/>
          <w:szCs w:val="22"/>
          <w:color w:val="auto"/>
        </w:rPr>
        <w:t>c. In consideration of the terms of this Agreement, you have agreed to and do waive any claims you may have for employment by the Company and/or its Affiliates. You have further agreed in the future not to seek such employment or reemployment with the Company and/or its Affiliates.</w:t>
      </w:r>
    </w:p>
    <w:p>
      <w:pPr>
        <w:spacing w:after="0" w:line="185" w:lineRule="exact"/>
        <w:rPr>
          <w:sz w:val="20"/>
          <w:szCs w:val="20"/>
          <w:color w:val="auto"/>
        </w:rPr>
      </w:pPr>
    </w:p>
    <w:p>
      <w:pPr>
        <w:jc w:val="both"/>
        <w:ind w:firstLine="1678"/>
        <w:spacing w:after="0" w:line="271" w:lineRule="auto"/>
        <w:tabs>
          <w:tab w:leader="none" w:pos="2793" w:val="left"/>
        </w:tabs>
        <w:numPr>
          <w:ilvl w:val="0"/>
          <w:numId w:val="233"/>
        </w:numPr>
        <w:rPr>
          <w:rFonts w:ascii="Arial" w:cs="Arial" w:eastAsia="Arial" w:hAnsi="Arial"/>
          <w:sz w:val="21"/>
          <w:szCs w:val="21"/>
          <w:color w:val="auto"/>
        </w:rPr>
      </w:pPr>
      <w:r>
        <w:rPr>
          <w:rFonts w:ascii="Arial" w:cs="Arial" w:eastAsia="Arial" w:hAnsi="Arial"/>
          <w:sz w:val="21"/>
          <w:szCs w:val="21"/>
          <w:u w:val="single" w:color="auto"/>
          <w:color w:val="auto"/>
        </w:rPr>
        <w:t>Protected Activities</w:t>
      </w:r>
      <w:r>
        <w:rPr>
          <w:rFonts w:ascii="Arial" w:cs="Arial" w:eastAsia="Arial" w:hAnsi="Arial"/>
          <w:sz w:val="21"/>
          <w:szCs w:val="21"/>
          <w:color w:val="auto"/>
        </w:rPr>
        <w:t>: You acknowledge that neither this Agreement nor any other agreement or policy of the Company or its Affiliates shall be construed or applied in a manner which limits or interferes with your right, without notice to or authorization of the Company and/or its Affiliates,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Additionally, you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law, (b) in a complaint or other document filed in a lawsuit or other proceeding, if such filing is made under seal; or (c) in court proceedings if you file a lawsuit for retaliation by an employer for reporting a suspected violation of law, or to your attorney in such lawsuit, provided that you must file any document containing the trade secret under seal, and you may not disclose the trade secret, except pursuant to court order. The activities or disclosures described in this Section 5 shall be referred to in this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40" w:name="page341"/>
    <w:bookmarkEnd w:id="340"/>
    <w:p>
      <w:pPr>
        <w:jc w:val="both"/>
        <w:spacing w:after="0" w:line="259" w:lineRule="auto"/>
        <w:rPr>
          <w:sz w:val="20"/>
          <w:szCs w:val="20"/>
          <w:color w:val="auto"/>
        </w:rPr>
      </w:pPr>
      <w:r>
        <w:rPr>
          <w:rFonts w:ascii="Arial" w:cs="Arial" w:eastAsia="Arial" w:hAnsi="Arial"/>
          <w:sz w:val="22"/>
          <w:szCs w:val="22"/>
          <w:color w:val="auto"/>
        </w:rPr>
        <w:t>Agreement as “</w:t>
      </w:r>
      <w:r>
        <w:rPr>
          <w:rFonts w:ascii="Arial" w:cs="Arial" w:eastAsia="Arial" w:hAnsi="Arial"/>
          <w:sz w:val="22"/>
          <w:szCs w:val="22"/>
          <w:u w:val="single" w:color="auto"/>
          <w:color w:val="auto"/>
        </w:rPr>
        <w:t>Protected Activities</w:t>
      </w:r>
      <w:r>
        <w:rPr>
          <w:rFonts w:ascii="Arial" w:cs="Arial" w:eastAsia="Arial" w:hAnsi="Arial"/>
          <w:sz w:val="22"/>
          <w:szCs w:val="22"/>
          <w:color w:val="auto"/>
        </w:rPr>
        <w:t>.” Notwithstanding the foregoing, in accordance with the standards set forth in 17 C.F.R. § 240.21F-4(b)(4), you shall not be authorized to make any disclosures as to which the Company and/or its Affiliates may reasonably assert protections from disclosure under the attorney-client privilege or the attorney work product doctrine, without prior written consent of an authorized officer designated by the Company, provided, however, that you may, without authorization from the Company, disclose information to a Government Agency to the extent permitted under 17 C.F.R. § 205.3(d)(2), applicable state attorney conduct rules, or any other law or regulation permitting disclosure of such otherwise privileged communications.</w:t>
      </w:r>
    </w:p>
    <w:p>
      <w:pPr>
        <w:spacing w:after="0" w:line="195" w:lineRule="exact"/>
        <w:rPr>
          <w:sz w:val="20"/>
          <w:szCs w:val="20"/>
          <w:color w:val="auto"/>
        </w:rPr>
      </w:pPr>
    </w:p>
    <w:p>
      <w:pPr>
        <w:jc w:val="both"/>
        <w:ind w:firstLine="1678"/>
        <w:spacing w:after="0" w:line="301" w:lineRule="auto"/>
        <w:tabs>
          <w:tab w:leader="none" w:pos="2793"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Covenant Not To Sue</w:t>
      </w:r>
      <w:r>
        <w:rPr>
          <w:rFonts w:ascii="Arial" w:cs="Arial" w:eastAsia="Arial" w:hAnsi="Arial"/>
          <w:sz w:val="19"/>
          <w:szCs w:val="19"/>
          <w:color w:val="auto"/>
        </w:rPr>
        <w:t>: In consideration of the terms of this Agreement, you represent that you have not filed or permitted to be filed against the Released Parties any charges, complaints or lawsuits and you covenant and agree that you will not file or permit to be filed any lawsuits at any time after you sign this Agreement with respect to the subject matter of this Agreement and the Released Claims released pursuant to Section 4 of this Agreement, including without limitation any claims relating to the termination of your employment, provided, however, that this covenant not to sue shall not be construed or applied in a manner which limits or interferes with your right to engage in any Protected Activities or enforce your rights or the Company’s obligations under this Agreement. While the release of claims set forth in Section 4 of this Agreement does not prevent you from in the future filing a charge or complaint with any Government Agency or from engaging in any other Protected Activities, you acknowledge and agree that if you file a charge or complaint with a Government Agency, or a Government Agency asserts a claim on your behalf, your release of claims and waiver of your right to seek reemployment set forth in Section 4 of this Agreement shall bar you from receiving monetary relief or reinstatement, except you do not waive: (a) your right to receive an award from a Government Agency under its whistleblower program for reporting in good faith a possible violation of law to such Government Agency, (b) any recovery to which you may be entitled pursuant to applicable state workers’ compensation and unemployment insurance laws, and (c) any other right where a waiver is expressly prohibited by law.</w:t>
      </w:r>
    </w:p>
    <w:p>
      <w:pPr>
        <w:spacing w:after="0" w:line="159" w:lineRule="exact"/>
        <w:rPr>
          <w:rFonts w:ascii="Arial" w:cs="Arial" w:eastAsia="Arial" w:hAnsi="Arial"/>
          <w:sz w:val="19"/>
          <w:szCs w:val="19"/>
          <w:color w:val="auto"/>
        </w:rPr>
      </w:pPr>
    </w:p>
    <w:p>
      <w:pPr>
        <w:jc w:val="both"/>
        <w:ind w:firstLine="1678"/>
        <w:spacing w:after="0" w:line="301" w:lineRule="auto"/>
        <w:tabs>
          <w:tab w:leader="none" w:pos="2793"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In accordance with Section 5 of the Employment Agreement, you represent that you have returned to the Company all property and documents of the Company and/or its Affiliates in your possession, custody or control, including, without limitation, all correspondence, drawings, manuals, letters, notes, notebooks, reports, programs, plans, proposals, financial documents, or any other documents containing any Proprietary Information or otherwise concerning the Company's customers, business plans, marketing strategies, products or processes, any company-owned or issued cell phone, computer, tablet, printer, keyboard, mouse, monitor, laminator, customer gifts, marketing materials, stationery, instructional and policy manuals, mailing lists, computer software, financial and accounting records, reports and files, portable media and devices (such as flash drives, external hard drives, CD’s, and DVD’s) and any other physical or personal property which you obtained in the course of your employment by the Company, and you further agree not to retain copies of any such documents of the Company and/or its Affiliates in any form, excluding publicly available documents and documents relating directly to your own compensation and employee benefits. You also represent that, to the extent you have possession or control of any electronic documents which contain any information relating to the business of the Company, you have identified such documents to the Company and delivered an identical copy of any or all such documents to the Company, and will follow the Company’s instructions regarding the permanent deletion of any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41" w:name="page342"/>
    <w:bookmarkEnd w:id="341"/>
    <w:p>
      <w:pPr>
        <w:jc w:val="both"/>
        <w:spacing w:after="0" w:line="266" w:lineRule="auto"/>
        <w:rPr>
          <w:sz w:val="20"/>
          <w:szCs w:val="20"/>
          <w:color w:val="auto"/>
        </w:rPr>
      </w:pPr>
      <w:r>
        <w:rPr>
          <w:rFonts w:ascii="Arial" w:cs="Arial" w:eastAsia="Arial" w:hAnsi="Arial"/>
          <w:sz w:val="22"/>
          <w:szCs w:val="22"/>
          <w:color w:val="auto"/>
        </w:rPr>
        <w:t>all such documents, or the preservation of any or all such documents for any potential use by the Company in the future. Notwithstanding thew foregoing, the Company agrees that you shall be entitled to retain your work issued IBM ThinkPad computer.</w:t>
      </w:r>
    </w:p>
    <w:p>
      <w:pPr>
        <w:spacing w:after="0" w:line="185" w:lineRule="exact"/>
        <w:rPr>
          <w:sz w:val="20"/>
          <w:szCs w:val="20"/>
          <w:color w:val="auto"/>
        </w:rPr>
      </w:pPr>
    </w:p>
    <w:p>
      <w:pPr>
        <w:jc w:val="both"/>
        <w:ind w:firstLine="1678"/>
        <w:spacing w:after="0" w:line="258" w:lineRule="auto"/>
        <w:tabs>
          <w:tab w:leader="none" w:pos="2793"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This Agreement does not amend, modify, waive, or affect in any way the Company’s and/or its Affiliates’ rights or your duties, obligations, or restrictions under Section 6 of the Employment Agreement, and you acknowledge and agree that such restrictions shall survive and continue in full force and effect after the Separation Date for the periods provided in the Employment Agreement. You further agree to maintain the terms of this Agreement confidential unless otherwise required by law; provided, however, that you may disclose the terms of this Agreement to your spouse and immediate family members living in the same house and to your and your spouse’s attorneys, accountants, financial or tax advisors. You may disclose this Agreement or Confidential Information (as defined in the Employment Agreement) to Government Agencies only to the extent such disclosure constitutes a Protected Activity as defined in Section 5 of this Agreement.</w:t>
      </w:r>
    </w:p>
    <w:p>
      <w:pPr>
        <w:spacing w:after="0" w:line="198" w:lineRule="exact"/>
        <w:rPr>
          <w:rFonts w:ascii="Arial" w:cs="Arial" w:eastAsia="Arial" w:hAnsi="Arial"/>
          <w:sz w:val="22"/>
          <w:szCs w:val="22"/>
          <w:color w:val="auto"/>
        </w:rPr>
      </w:pPr>
    </w:p>
    <w:p>
      <w:pPr>
        <w:jc w:val="both"/>
        <w:ind w:firstLine="1678"/>
        <w:spacing w:after="0" w:line="273" w:lineRule="auto"/>
        <w:tabs>
          <w:tab w:leader="none" w:pos="2793"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Both parties agree that they will not, at any time, disparage, portray in a negative light or take any similar action which would be harmful to or lead to unfavorable publicity for the other party, or, as it relates to the Company, any of its Affiliates or any of their respective current or former members, officers, directors, equity holders, stockholders, employees, agents, consultants, contractors, owners, subsidiaries, divisions, parents or any of their respective affiliates, and their respective assets, operations, personnel or services, whether public or private. Your non-disparagement obligation shall not be construed or applied to limit or interfere with your right to engage in any Protected Activities as defined in Section 5 of this Agreement.</w:t>
      </w:r>
    </w:p>
    <w:p>
      <w:pPr>
        <w:spacing w:after="0" w:line="183" w:lineRule="exact"/>
        <w:rPr>
          <w:rFonts w:ascii="Arial" w:cs="Arial" w:eastAsia="Arial" w:hAnsi="Arial"/>
          <w:sz w:val="21"/>
          <w:szCs w:val="21"/>
          <w:color w:val="auto"/>
        </w:rPr>
      </w:pPr>
    </w:p>
    <w:p>
      <w:pPr>
        <w:ind w:firstLine="1678"/>
        <w:spacing w:after="0" w:line="276" w:lineRule="auto"/>
        <w:tabs>
          <w:tab w:leader="none" w:pos="2793"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You agree that the Affiliates of the Company shall be third party beneficiaries of your obligations under this Agreement that are applicable to such Affiliates.</w:t>
      </w:r>
    </w:p>
    <w:p>
      <w:pPr>
        <w:spacing w:after="0" w:line="174" w:lineRule="exact"/>
        <w:rPr>
          <w:rFonts w:ascii="Arial" w:cs="Arial" w:eastAsia="Arial" w:hAnsi="Arial"/>
          <w:sz w:val="22"/>
          <w:szCs w:val="22"/>
          <w:color w:val="auto"/>
        </w:rPr>
      </w:pPr>
    </w:p>
    <w:p>
      <w:pPr>
        <w:ind w:firstLine="1678"/>
        <w:spacing w:after="0" w:line="276" w:lineRule="auto"/>
        <w:tabs>
          <w:tab w:leader="none" w:pos="2793"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No Admission of Wrongdoing</w:t>
      </w:r>
      <w:r>
        <w:rPr>
          <w:rFonts w:ascii="Arial" w:cs="Arial" w:eastAsia="Arial" w:hAnsi="Arial"/>
          <w:sz w:val="22"/>
          <w:szCs w:val="22"/>
          <w:color w:val="auto"/>
        </w:rPr>
        <w:t>: Neither by offering to make nor by making this Agreement does either party admit any failure of performance, wrongdoing, or violation of law.</w:t>
      </w:r>
    </w:p>
    <w:p>
      <w:pPr>
        <w:spacing w:after="0" w:line="174" w:lineRule="exact"/>
        <w:rPr>
          <w:rFonts w:ascii="Arial" w:cs="Arial" w:eastAsia="Arial" w:hAnsi="Arial"/>
          <w:sz w:val="22"/>
          <w:szCs w:val="22"/>
          <w:color w:val="auto"/>
        </w:rPr>
      </w:pPr>
    </w:p>
    <w:p>
      <w:pPr>
        <w:jc w:val="both"/>
        <w:ind w:firstLine="1678"/>
        <w:spacing w:after="0" w:line="273" w:lineRule="auto"/>
        <w:tabs>
          <w:tab w:leader="none" w:pos="2793"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Entire Agreement; Amendments; Successors and Assigns</w:t>
      </w:r>
      <w:r>
        <w:rPr>
          <w:rFonts w:ascii="Arial" w:cs="Arial" w:eastAsia="Arial" w:hAnsi="Arial"/>
          <w:sz w:val="21"/>
          <w:szCs w:val="21"/>
          <w:color w:val="auto"/>
        </w:rPr>
        <w:t>: This Agreement sets forth the entire understanding of the parties and supersedes any and all prior agreements, oral or written, relating to your employment by the Company or the termination of your employment, provided, however, that Sections 5 and 6 of the Employment Agreement shall continue in full force and effect after the Separation Date. This Agreement may not be modified except by a writing, signed by you and by a duly authorized officer of the Company. This Agreement shall be binding upon your heirs and personal representatives, and the successors and assigns of the Company. You acknowledge that in entering into this Agreement, you are not relying upon any representation that is not specified in this Agreement, including without limitation any representations concerning future employment or additional payments.</w:t>
      </w:r>
    </w:p>
    <w:p>
      <w:pPr>
        <w:spacing w:after="0" w:line="178" w:lineRule="exact"/>
        <w:rPr>
          <w:rFonts w:ascii="Arial" w:cs="Arial" w:eastAsia="Arial" w:hAnsi="Arial"/>
          <w:sz w:val="21"/>
          <w:szCs w:val="21"/>
          <w:color w:val="auto"/>
        </w:rPr>
      </w:pPr>
    </w:p>
    <w:p>
      <w:pPr>
        <w:ind w:firstLine="1678"/>
        <w:spacing w:after="0" w:line="276" w:lineRule="auto"/>
        <w:tabs>
          <w:tab w:leader="none" w:pos="2793"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 and Venue</w:t>
      </w:r>
      <w:r>
        <w:rPr>
          <w:rFonts w:ascii="Arial" w:cs="Arial" w:eastAsia="Arial" w:hAnsi="Arial"/>
          <w:sz w:val="22"/>
          <w:szCs w:val="22"/>
          <w:color w:val="auto"/>
        </w:rPr>
        <w:t>: This Agreement shall be governed by and construed in accordance with the laws of the Commonwealth of Massachusetts without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42" w:name="page343"/>
    <w:bookmarkEnd w:id="342"/>
    <w:p>
      <w:pPr>
        <w:jc w:val="both"/>
        <w:spacing w:after="0" w:line="262" w:lineRule="auto"/>
        <w:rPr>
          <w:sz w:val="20"/>
          <w:szCs w:val="20"/>
          <w:color w:val="auto"/>
        </w:rPr>
      </w:pPr>
      <w:r>
        <w:rPr>
          <w:rFonts w:ascii="Arial" w:cs="Arial" w:eastAsia="Arial" w:hAnsi="Arial"/>
          <w:sz w:val="22"/>
          <w:szCs w:val="22"/>
          <w:color w:val="auto"/>
        </w:rPr>
        <w:t>regard to its choice of law rules. Any action or proceeding by either you or the Company to enforce this Agreement shall be brought in any state or federal court in Middlesex County, Massachusetts. You and the Company hereby irrevocably submit to the exclusive jurisdiction of these courts and waive the defense of inconvenient forum to the maintenance of any action or proceeding in such venue.</w:t>
      </w:r>
    </w:p>
    <w:p>
      <w:pPr>
        <w:spacing w:after="0" w:line="191" w:lineRule="exact"/>
        <w:rPr>
          <w:sz w:val="20"/>
          <w:szCs w:val="20"/>
          <w:color w:val="auto"/>
        </w:rPr>
      </w:pPr>
    </w:p>
    <w:p>
      <w:pPr>
        <w:jc w:val="both"/>
        <w:ind w:firstLine="1678"/>
        <w:spacing w:after="0" w:line="279" w:lineRule="auto"/>
        <w:tabs>
          <w:tab w:leader="none" w:pos="2793" w:val="left"/>
        </w:tabs>
        <w:numPr>
          <w:ilvl w:val="1"/>
          <w:numId w:val="236"/>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NOTWITHSTANDING ANY OTHER PROVISION IN THIS AGREEMENT, YOU AND THE COMPANY SHALL, AND HEREBY DO, IRREVOCABLY WAIVE THE RIGHT TO TRIAL BY JURY WITH RESPECT TO ANY DISPUTE. IN ADDITION, YOU SHALL, AND HEREBY DO, IRREVOCABLY WAIVE THE RIGHT TO PARTICIPATE IN ANY CLASS OR COLLECTIVE ACTION WITH RESPECT TO ANY DISPUTE.</w:t>
      </w:r>
    </w:p>
    <w:p>
      <w:pPr>
        <w:spacing w:after="0" w:line="173" w:lineRule="exact"/>
        <w:rPr>
          <w:rFonts w:ascii="Arial" w:cs="Arial" w:eastAsia="Arial" w:hAnsi="Arial"/>
          <w:sz w:val="21"/>
          <w:szCs w:val="21"/>
          <w:color w:val="auto"/>
        </w:rPr>
      </w:pPr>
    </w:p>
    <w:p>
      <w:pPr>
        <w:jc w:val="both"/>
        <w:ind w:firstLine="1678"/>
        <w:spacing w:after="0" w:line="260" w:lineRule="auto"/>
        <w:tabs>
          <w:tab w:leader="none" w:pos="2793" w:val="left"/>
        </w:tabs>
        <w:numPr>
          <w:ilvl w:val="1"/>
          <w:numId w:val="236"/>
        </w:numPr>
        <w:rPr>
          <w:rFonts w:ascii="Arial" w:cs="Arial" w:eastAsia="Arial" w:hAnsi="Arial"/>
          <w:sz w:val="22"/>
          <w:szCs w:val="22"/>
          <w:color w:val="auto"/>
        </w:rPr>
      </w:pPr>
      <w:r>
        <w:rPr>
          <w:rFonts w:ascii="Arial" w:cs="Arial" w:eastAsia="Arial" w:hAnsi="Arial"/>
          <w:sz w:val="22"/>
          <w:szCs w:val="22"/>
          <w:u w:val="single" w:color="auto"/>
          <w:color w:val="auto"/>
        </w:rPr>
        <w:t>Voluntary Agreement</w:t>
      </w:r>
      <w:r>
        <w:rPr>
          <w:rFonts w:ascii="Arial" w:cs="Arial" w:eastAsia="Arial" w:hAnsi="Arial"/>
          <w:sz w:val="22"/>
          <w:szCs w:val="22"/>
          <w:color w:val="auto"/>
        </w:rPr>
        <w:t>: You acknowledge that before entering into this Agreement, you have had the opportunity to consult with any attorney or other advisor of your choice, and you are hereby advised to do so if you choose. You further acknowledge that you have entered into this Agreement of your own free will, and that no promises or representations have been made to you by any person to induce you to enter into this Agreement other than the express terms set forth herein. You further acknowledge that you have read this Agreement and understand all of its terms, including the waiver and release of claims set forth in Section 4 above.</w:t>
      </w:r>
    </w:p>
    <w:p>
      <w:pPr>
        <w:spacing w:after="0" w:line="191" w:lineRule="exact"/>
        <w:rPr>
          <w:rFonts w:ascii="Arial" w:cs="Arial" w:eastAsia="Arial" w:hAnsi="Arial"/>
          <w:sz w:val="22"/>
          <w:szCs w:val="22"/>
          <w:color w:val="auto"/>
        </w:rPr>
      </w:pPr>
    </w:p>
    <w:p>
      <w:pPr>
        <w:jc w:val="both"/>
        <w:ind w:firstLine="1678"/>
        <w:spacing w:after="0" w:line="311" w:lineRule="auto"/>
        <w:tabs>
          <w:tab w:leader="none" w:pos="2793"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one or more counterparts, each of which will be deemed to be an original copy of this Agreement and all of which, when taken together, will be deemed to constitute one and the same Agreement. Counterparts may be delivered via facsimile, electronic mail (including PDF or any electronic signature complying with the U.S. federal ESIGN Act of 2000, </w:t>
      </w:r>
      <w:r>
        <w:rPr>
          <w:rFonts w:ascii="Arial" w:cs="Arial" w:eastAsia="Arial" w:hAnsi="Arial"/>
          <w:sz w:val="19"/>
          <w:szCs w:val="19"/>
          <w:i w:val="1"/>
          <w:iCs w:val="1"/>
          <w:color w:val="auto"/>
        </w:rPr>
        <w:t>e.g.,</w:t>
      </w:r>
      <w:r>
        <w:rPr>
          <w:rFonts w:ascii="Arial" w:cs="Arial" w:eastAsia="Arial" w:hAnsi="Arial"/>
          <w:sz w:val="19"/>
          <w:szCs w:val="19"/>
          <w:color w:val="auto"/>
        </w:rPr>
        <w:t xml:space="preserve"> www.docusign.com) or other transmission method, and any counterpart so delivered shall be deemed to have been duly and validly delivered and be valid and effective for all purposes.</w:t>
      </w:r>
    </w:p>
    <w:p>
      <w:pPr>
        <w:spacing w:after="0" w:line="150" w:lineRule="exact"/>
        <w:rPr>
          <w:rFonts w:ascii="Arial" w:cs="Arial" w:eastAsia="Arial" w:hAnsi="Arial"/>
          <w:sz w:val="19"/>
          <w:szCs w:val="19"/>
          <w:color w:val="auto"/>
        </w:rPr>
      </w:pPr>
    </w:p>
    <w:p>
      <w:pPr>
        <w:jc w:val="both"/>
        <w:ind w:firstLine="1678"/>
        <w:spacing w:after="0" w:line="297" w:lineRule="auto"/>
        <w:tabs>
          <w:tab w:leader="none" w:pos="2793"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Execution; Effective Date</w:t>
      </w:r>
      <w:r>
        <w:rPr>
          <w:rFonts w:ascii="Arial" w:cs="Arial" w:eastAsia="Arial" w:hAnsi="Arial"/>
          <w:sz w:val="19"/>
          <w:szCs w:val="19"/>
          <w:color w:val="auto"/>
        </w:rPr>
        <w:t>: If the foregoing is acceptable to you, please print and sign a copy of this Agreement and return a PDF of the Agreement to me by email or an original hard copy of the Agreement by regular mail or FedEx. You may take up to twenty-one (21) days from today to consider, sign, and return this Agreement. In addition, you may revoke the Agreement after signing it, but only by delivering a signed revocation notice to Definitive Healthcare, LLC, Attention: David Samuels, Chief Legal Officer, 550 Cochituate Road, Framingham MA 01701, dsamuels@definitivehc.com, within seven</w:t>
      </w:r>
    </w:p>
    <w:p>
      <w:pPr>
        <w:spacing w:after="0" w:line="2" w:lineRule="exact"/>
        <w:rPr>
          <w:rFonts w:ascii="Arial" w:cs="Arial" w:eastAsia="Arial" w:hAnsi="Arial"/>
          <w:sz w:val="19"/>
          <w:szCs w:val="19"/>
          <w:color w:val="auto"/>
        </w:rPr>
      </w:pPr>
    </w:p>
    <w:p>
      <w:pPr>
        <w:jc w:val="both"/>
        <w:ind w:firstLine="8"/>
        <w:spacing w:after="0" w:line="324" w:lineRule="auto"/>
        <w:tabs>
          <w:tab w:leader="none" w:pos="306" w:val="left"/>
        </w:tabs>
        <w:numPr>
          <w:ilvl w:val="0"/>
          <w:numId w:val="237"/>
        </w:numPr>
        <w:rPr>
          <w:rFonts w:ascii="Arial" w:cs="Arial" w:eastAsia="Arial" w:hAnsi="Arial"/>
          <w:sz w:val="19"/>
          <w:szCs w:val="19"/>
          <w:color w:val="auto"/>
        </w:rPr>
      </w:pPr>
      <w:r>
        <w:rPr>
          <w:rFonts w:ascii="Arial" w:cs="Arial" w:eastAsia="Arial" w:hAnsi="Arial"/>
          <w:sz w:val="19"/>
          <w:szCs w:val="19"/>
          <w:color w:val="auto"/>
        </w:rPr>
        <w:t>days of your signing this Agreement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This Agreement shall be effective on the eighth day after you sign and return it to Definitive Healthcare, LLC, Attention: David Samuels, Chief Legal Officer, 550 Cochituate Road, Framingham MA 01701, dsamuels@definitivehc.com, provided that you have not revoked the Agreement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43" w:name="page344"/>
    <w:bookmarkEnd w:id="343"/>
    <w:p>
      <w:pPr>
        <w:ind w:left="56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98"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Definitive Healthcare, LLC</w:t>
      </w:r>
    </w:p>
    <w:p>
      <w:pPr>
        <w:spacing w:after="0" w:line="34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24130</wp:posOffset>
            </wp:positionV>
            <wp:extent cx="35661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David Samuels</w:t>
      </w:r>
    </w:p>
    <w:p>
      <w:pPr>
        <w:spacing w:after="0" w:line="3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Chief Legal Officer</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Kevin P. Shone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34290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Kevin P. Shone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34290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Date Signed</w:t>
      </w:r>
    </w:p>
    <w:p>
      <w:pPr>
        <w:spacing w:after="0" w:line="200" w:lineRule="exact"/>
        <w:rPr>
          <w:sz w:val="20"/>
          <w:szCs w:val="20"/>
          <w:color w:val="auto"/>
        </w:rPr>
      </w:pPr>
    </w:p>
    <w:p>
      <w:pPr>
        <w:spacing w:after="0" w:line="34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8</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WEIL:\98095912\6\40590.0001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88" w:right="1440" w:bottom="1440" w:gutter="0" w:footer="0" w:header="0"/>
        </w:sectPr>
      </w:pPr>
    </w:p>
    <w:bookmarkStart w:id="344" w:name="page345"/>
    <w:bookmarkEnd w:id="344"/>
    <w:p>
      <w:pPr>
        <w:jc w:val="right"/>
        <w:spacing w:after="0"/>
        <w:rPr>
          <w:sz w:val="20"/>
          <w:szCs w:val="20"/>
          <w:color w:val="auto"/>
        </w:rPr>
      </w:pPr>
      <w:r>
        <w:rPr>
          <w:rFonts w:ascii="Arial" w:cs="Arial" w:eastAsia="Arial" w:hAnsi="Arial"/>
          <w:sz w:val="20"/>
          <w:szCs w:val="20"/>
          <w:b w:val="1"/>
          <w:bCs w:val="1"/>
          <w:color w:val="auto"/>
        </w:rPr>
        <w:t>Exhibit 10.17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NDEPENDENT</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ONTRACTOR</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ERVICES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310" w:lineRule="exact"/>
        <w:rPr>
          <w:sz w:val="20"/>
          <w:szCs w:val="20"/>
          <w:color w:val="auto"/>
        </w:rPr>
      </w:pPr>
    </w:p>
    <w:p>
      <w:pPr>
        <w:spacing w:after="0" w:line="309"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HIS</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NDEPENDENT</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ONTRACTOR</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ERVICES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is made as of October 1, 2021 (the “</w:t>
      </w:r>
      <w:r>
        <w:rPr>
          <w:rFonts w:ascii="Arial" w:cs="Arial" w:eastAsia="Arial" w:hAnsi="Arial"/>
          <w:sz w:val="20"/>
          <w:szCs w:val="20"/>
          <w:b w:val="1"/>
          <w:bCs w:val="1"/>
          <w:color w:val="auto"/>
        </w:rPr>
        <w:t>Effective Dat</w:t>
      </w:r>
      <w:r>
        <w:rPr>
          <w:rFonts w:ascii="Arial" w:cs="Arial" w:eastAsia="Arial" w:hAnsi="Arial"/>
          <w:sz w:val="20"/>
          <w:szCs w:val="20"/>
          <w:color w:val="auto"/>
        </w:rPr>
        <w:t>e”),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between </w:t>
      </w:r>
      <w:r>
        <w:rPr>
          <w:rFonts w:ascii="Arial" w:cs="Arial" w:eastAsia="Arial" w:hAnsi="Arial"/>
          <w:sz w:val="20"/>
          <w:szCs w:val="20"/>
          <w:b w:val="1"/>
          <w:bCs w:val="1"/>
          <w:color w:val="auto"/>
        </w:rPr>
        <w:t>Definitive Healthcare LLC</w:t>
      </w:r>
      <w:r>
        <w:rPr>
          <w:rFonts w:ascii="Arial" w:cs="Arial" w:eastAsia="Arial" w:hAnsi="Arial"/>
          <w:sz w:val="20"/>
          <w:szCs w:val="20"/>
          <w:color w:val="auto"/>
        </w:rPr>
        <w:t xml:space="preserv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Kevin P. Shone,</w:t>
      </w:r>
      <w:r>
        <w:rPr>
          <w:rFonts w:ascii="Arial" w:cs="Arial" w:eastAsia="Arial" w:hAnsi="Arial"/>
          <w:sz w:val="20"/>
          <w:szCs w:val="20"/>
          <w:color w:val="auto"/>
        </w:rPr>
        <w:t xml:space="preserve"> </w:t>
      </w:r>
      <w:r>
        <w:rPr>
          <w:rFonts w:ascii="Arial" w:cs="Arial" w:eastAsia="Arial" w:hAnsi="Arial"/>
          <w:sz w:val="16"/>
          <w:szCs w:val="16"/>
          <w:b w:val="1"/>
          <w:bCs w:val="1"/>
          <w:color w:val="auto"/>
        </w:rPr>
        <w:t>AN INDIVIDUAL</w:t>
      </w:r>
      <w:r>
        <w:rPr>
          <w:rFonts w:ascii="Arial" w:cs="Arial" w:eastAsia="Arial" w:hAnsi="Arial"/>
          <w:sz w:val="20"/>
          <w:szCs w:val="20"/>
          <w:color w:val="auto"/>
        </w:rPr>
        <w:t xml:space="preserve"> (“</w:t>
      </w:r>
      <w:r>
        <w:rPr>
          <w:rFonts w:ascii="Arial" w:cs="Arial" w:eastAsia="Arial" w:hAnsi="Arial"/>
          <w:sz w:val="20"/>
          <w:szCs w:val="20"/>
          <w:b w:val="1"/>
          <w:bCs w:val="1"/>
          <w:color w:val="auto"/>
        </w:rPr>
        <w:t>Contractor</w:t>
      </w:r>
      <w:r>
        <w:rPr>
          <w:rFonts w:ascii="Arial" w:cs="Arial" w:eastAsia="Arial" w:hAnsi="Arial"/>
          <w:sz w:val="20"/>
          <w:szCs w:val="20"/>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as follows:</w:t>
      </w:r>
    </w:p>
    <w:p>
      <w:pPr>
        <w:spacing w:after="0" w:line="186" w:lineRule="exact"/>
        <w:rPr>
          <w:sz w:val="20"/>
          <w:szCs w:val="20"/>
          <w:color w:val="auto"/>
        </w:rPr>
      </w:pPr>
    </w:p>
    <w:p>
      <w:pPr>
        <w:jc w:val="both"/>
        <w:ind w:left="340" w:hanging="332"/>
        <w:spacing w:after="0" w:line="281" w:lineRule="auto"/>
        <w:tabs>
          <w:tab w:leader="none" w:pos="340" w:val="left"/>
        </w:tabs>
        <w:numPr>
          <w:ilvl w:val="0"/>
          <w:numId w:val="238"/>
        </w:numPr>
        <w:rPr>
          <w:rFonts w:ascii="Arial" w:cs="Arial" w:eastAsia="Arial" w:hAnsi="Arial"/>
          <w:sz w:val="19"/>
          <w:szCs w:val="19"/>
          <w:color w:val="auto"/>
        </w:rPr>
      </w:pPr>
      <w:r>
        <w:rPr>
          <w:rFonts w:ascii="Arial" w:cs="Arial" w:eastAsia="Arial" w:hAnsi="Arial"/>
          <w:sz w:val="20"/>
          <w:szCs w:val="20"/>
          <w:b w:val="1"/>
          <w:bCs w:val="1"/>
          <w:color w:val="auto"/>
        </w:rPr>
        <w:t>Engagement of Contractor</w:t>
      </w:r>
      <w:r>
        <w:rPr>
          <w:rFonts w:ascii="Arial" w:cs="Arial" w:eastAsia="Arial" w:hAnsi="Arial"/>
          <w:sz w:val="20"/>
          <w:szCs w:val="20"/>
          <w:color w:val="auto"/>
        </w:rPr>
        <w:t>. Subject to the terms and conditions of this Agreement, Company hereby engages Contractor as an</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contractor to perform legal and accounting services that the Company may need from time to time which may be further detailed on a Schedule A to this Agreements (collectively, the “</w:t>
      </w:r>
      <w:r>
        <w:rPr>
          <w:rFonts w:ascii="Arial" w:cs="Arial" w:eastAsia="Arial" w:hAnsi="Arial"/>
          <w:sz w:val="20"/>
          <w:szCs w:val="20"/>
          <w:b w:val="1"/>
          <w:bCs w:val="1"/>
          <w:color w:val="auto"/>
        </w:rPr>
        <w:t>Services</w:t>
      </w:r>
      <w:r>
        <w:rPr>
          <w:rFonts w:ascii="Arial" w:cs="Arial" w:eastAsia="Arial" w:hAnsi="Arial"/>
          <w:sz w:val="20"/>
          <w:szCs w:val="20"/>
          <w:color w:val="auto"/>
        </w:rPr>
        <w:t>”).</w:t>
      </w:r>
    </w:p>
    <w:p>
      <w:pPr>
        <w:spacing w:after="0" w:line="231" w:lineRule="exact"/>
        <w:rPr>
          <w:rFonts w:ascii="Arial" w:cs="Arial" w:eastAsia="Arial" w:hAnsi="Arial"/>
          <w:sz w:val="19"/>
          <w:szCs w:val="19"/>
          <w:color w:val="auto"/>
        </w:rPr>
      </w:pPr>
    </w:p>
    <w:p>
      <w:pPr>
        <w:jc w:val="both"/>
        <w:ind w:left="340" w:hanging="332"/>
        <w:spacing w:after="0" w:line="383" w:lineRule="auto"/>
        <w:tabs>
          <w:tab w:leader="none" w:pos="340"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Principal Duties</w:t>
      </w:r>
      <w:r>
        <w:rPr>
          <w:rFonts w:ascii="Arial" w:cs="Arial" w:eastAsia="Arial" w:hAnsi="Arial"/>
          <w:sz w:val="16"/>
          <w:szCs w:val="16"/>
          <w:color w:val="auto"/>
        </w:rPr>
        <w:t>. During the term of this Agreement, Contractor will at all times use best efforts to provide the Services to Company in a</w:t>
      </w:r>
      <w:r>
        <w:rPr>
          <w:rFonts w:ascii="Arial" w:cs="Arial" w:eastAsia="Arial" w:hAnsi="Arial"/>
          <w:sz w:val="16"/>
          <w:szCs w:val="16"/>
          <w:b w:val="1"/>
          <w:bCs w:val="1"/>
          <w:color w:val="auto"/>
        </w:rPr>
        <w:t xml:space="preserve"> </w:t>
      </w:r>
      <w:r>
        <w:rPr>
          <w:rFonts w:ascii="Arial" w:cs="Arial" w:eastAsia="Arial" w:hAnsi="Arial"/>
          <w:sz w:val="16"/>
          <w:szCs w:val="16"/>
          <w:color w:val="auto"/>
        </w:rPr>
        <w:t>timely and professional manner consistent with high industry standards. Such work will be conducted at the facilities of the Contractor using Contractor’s own equipment, tools and other materials at its own expense, or otherwise as the parties agree. The manner and means by which Contractor chooses to complete the Services in accordance with this Agreement are in Contractor’s sole discretion and control.</w:t>
      </w:r>
    </w:p>
    <w:p>
      <w:pPr>
        <w:spacing w:after="0" w:line="67"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238"/>
        </w:numPr>
        <w:rPr>
          <w:rFonts w:ascii="Arial" w:cs="Arial" w:eastAsia="Arial" w:hAnsi="Arial"/>
          <w:sz w:val="19"/>
          <w:szCs w:val="19"/>
          <w:color w:val="auto"/>
        </w:rPr>
      </w:pPr>
      <w:r>
        <w:rPr>
          <w:rFonts w:ascii="Arial" w:cs="Arial" w:eastAsia="Arial" w:hAnsi="Arial"/>
          <w:sz w:val="20"/>
          <w:szCs w:val="20"/>
          <w:b w:val="1"/>
          <w:bCs w:val="1"/>
          <w:color w:val="auto"/>
        </w:rPr>
        <w:t>Compensation and Taxes</w:t>
      </w:r>
      <w:r>
        <w:rPr>
          <w:rFonts w:ascii="Arial" w:cs="Arial" w:eastAsia="Arial" w:hAnsi="Arial"/>
          <w:sz w:val="20"/>
          <w:szCs w:val="20"/>
          <w:color w:val="auto"/>
        </w:rPr>
        <w:t>. Company will pay Contractor $35,000 per month for each month of contracted Services. Because Contractor</w:t>
      </w:r>
      <w:r>
        <w:rPr>
          <w:rFonts w:ascii="Arial" w:cs="Arial" w:eastAsia="Arial" w:hAnsi="Arial"/>
          <w:sz w:val="20"/>
          <w:szCs w:val="20"/>
          <w:b w:val="1"/>
          <w:bCs w:val="1"/>
          <w:color w:val="auto"/>
        </w:rPr>
        <w:t xml:space="preserve"> </w:t>
      </w:r>
      <w:r>
        <w:rPr>
          <w:rFonts w:ascii="Arial" w:cs="Arial" w:eastAsia="Arial" w:hAnsi="Arial"/>
          <w:sz w:val="20"/>
          <w:szCs w:val="20"/>
          <w:color w:val="auto"/>
        </w:rPr>
        <w:t>is an independent contractor, Company will not withhold or make payments for state or federal income tax or social security, make unemployment insurance or disability insurance contributions or obtain workers’ compensation insurance on Contractor’s behalf. Company will issue Contractor a 1099 form with respect to Contractor’s consulting fees. Contractor agrees to accept exclusive liability for complying with all applicable state and federal laws governing self-employed individuals, including obligations such as payment of quarterly taxes, social security, disability and other contributions based on the fees paid to Contractor, his agents or employees under this Agreement.</w:t>
      </w:r>
    </w:p>
    <w:p>
      <w:pPr>
        <w:spacing w:after="0" w:line="120" w:lineRule="exact"/>
        <w:rPr>
          <w:rFonts w:ascii="Arial" w:cs="Arial" w:eastAsia="Arial" w:hAnsi="Arial"/>
          <w:sz w:val="19"/>
          <w:szCs w:val="19"/>
          <w:color w:val="auto"/>
        </w:rPr>
      </w:pPr>
    </w:p>
    <w:p>
      <w:pPr>
        <w:ind w:left="340" w:right="20" w:hanging="332"/>
        <w:spacing w:after="0" w:line="295" w:lineRule="auto"/>
        <w:tabs>
          <w:tab w:leader="none" w:pos="340" w:val="left"/>
        </w:tabs>
        <w:numPr>
          <w:ilvl w:val="0"/>
          <w:numId w:val="238"/>
        </w:numPr>
        <w:rPr>
          <w:rFonts w:ascii="Arial" w:cs="Arial" w:eastAsia="Arial" w:hAnsi="Arial"/>
          <w:sz w:val="19"/>
          <w:szCs w:val="19"/>
          <w:color w:val="auto"/>
        </w:rPr>
      </w:pPr>
      <w:r>
        <w:rPr>
          <w:rFonts w:ascii="Arial" w:cs="Arial" w:eastAsia="Arial" w:hAnsi="Arial"/>
          <w:sz w:val="20"/>
          <w:szCs w:val="20"/>
          <w:b w:val="1"/>
          <w:bCs w:val="1"/>
          <w:color w:val="auto"/>
        </w:rPr>
        <w:t>Expenses</w:t>
      </w:r>
      <w:r>
        <w:rPr>
          <w:rFonts w:ascii="Arial" w:cs="Arial" w:eastAsia="Arial" w:hAnsi="Arial"/>
          <w:sz w:val="20"/>
          <w:szCs w:val="20"/>
          <w:color w:val="auto"/>
        </w:rPr>
        <w:t>. Company will additionally compensate Contractor for such travel and other out of pocket expenses relating to the Services as</w:t>
      </w:r>
      <w:r>
        <w:rPr>
          <w:rFonts w:ascii="Arial" w:cs="Arial" w:eastAsia="Arial" w:hAnsi="Arial"/>
          <w:sz w:val="20"/>
          <w:szCs w:val="20"/>
          <w:b w:val="1"/>
          <w:bCs w:val="1"/>
          <w:color w:val="auto"/>
        </w:rPr>
        <w:t xml:space="preserve"> </w:t>
      </w:r>
      <w:r>
        <w:rPr>
          <w:rFonts w:ascii="Arial" w:cs="Arial" w:eastAsia="Arial" w:hAnsi="Arial"/>
          <w:sz w:val="20"/>
          <w:szCs w:val="20"/>
          <w:color w:val="auto"/>
        </w:rPr>
        <w:t>have been pre-authorized by the Company in writing.</w:t>
      </w:r>
    </w:p>
    <w:p>
      <w:pPr>
        <w:spacing w:after="0" w:line="109" w:lineRule="exact"/>
        <w:rPr>
          <w:rFonts w:ascii="Arial" w:cs="Arial" w:eastAsia="Arial" w:hAnsi="Arial"/>
          <w:sz w:val="19"/>
          <w:szCs w:val="19"/>
          <w:color w:val="auto"/>
        </w:rPr>
      </w:pPr>
    </w:p>
    <w:p>
      <w:pPr>
        <w:ind w:left="340" w:hanging="332"/>
        <w:spacing w:after="0" w:line="354" w:lineRule="auto"/>
        <w:tabs>
          <w:tab w:leader="none" w:pos="340" w:val="left"/>
        </w:tabs>
        <w:numPr>
          <w:ilvl w:val="0"/>
          <w:numId w:val="238"/>
        </w:numPr>
        <w:rPr>
          <w:rFonts w:ascii="Arial" w:cs="Arial" w:eastAsia="Arial" w:hAnsi="Arial"/>
          <w:sz w:val="17"/>
          <w:szCs w:val="17"/>
          <w:color w:val="auto"/>
        </w:rPr>
      </w:pPr>
      <w:r>
        <w:rPr>
          <w:rFonts w:ascii="Arial" w:cs="Arial" w:eastAsia="Arial" w:hAnsi="Arial"/>
          <w:sz w:val="18"/>
          <w:szCs w:val="18"/>
          <w:b w:val="1"/>
          <w:bCs w:val="1"/>
          <w:color w:val="auto"/>
        </w:rPr>
        <w:t>Preexisting Obligations for Non-Solicitation; Non-Compete</w:t>
      </w:r>
      <w:r>
        <w:rPr>
          <w:rFonts w:ascii="Arial" w:cs="Arial" w:eastAsia="Arial" w:hAnsi="Arial"/>
          <w:sz w:val="18"/>
          <w:szCs w:val="18"/>
          <w:color w:val="auto"/>
        </w:rPr>
        <w:t>. Any non-compete, non-disclosure or non-solicitation obligations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has in place with the Company shall continue to remain in full force and effect during the term of this Agreement</w:t>
      </w:r>
    </w:p>
    <w:p>
      <w:pPr>
        <w:spacing w:after="0" w:line="64" w:lineRule="exact"/>
        <w:rPr>
          <w:rFonts w:ascii="Arial" w:cs="Arial" w:eastAsia="Arial" w:hAnsi="Arial"/>
          <w:sz w:val="17"/>
          <w:szCs w:val="17"/>
          <w:color w:val="auto"/>
        </w:rPr>
      </w:pPr>
    </w:p>
    <w:p>
      <w:pPr>
        <w:jc w:val="both"/>
        <w:ind w:left="340" w:hanging="332"/>
        <w:spacing w:after="0" w:line="314" w:lineRule="auto"/>
        <w:tabs>
          <w:tab w:leader="none" w:pos="340" w:val="left"/>
        </w:tabs>
        <w:numPr>
          <w:ilvl w:val="0"/>
          <w:numId w:val="238"/>
        </w:numPr>
        <w:rPr>
          <w:rFonts w:ascii="Arial" w:cs="Arial" w:eastAsia="Arial" w:hAnsi="Arial"/>
          <w:sz w:val="17"/>
          <w:szCs w:val="17"/>
          <w:color w:val="auto"/>
        </w:rPr>
      </w:pPr>
      <w:r>
        <w:rPr>
          <w:rFonts w:ascii="Arial" w:cs="Arial" w:eastAsia="Arial" w:hAnsi="Arial"/>
          <w:sz w:val="18"/>
          <w:szCs w:val="18"/>
          <w:b w:val="1"/>
          <w:bCs w:val="1"/>
          <w:color w:val="auto"/>
        </w:rPr>
        <w:t>Representations, Warranties and Covenants</w:t>
      </w:r>
      <w:r>
        <w:rPr>
          <w:rFonts w:ascii="Arial" w:cs="Arial" w:eastAsia="Arial" w:hAnsi="Arial"/>
          <w:sz w:val="18"/>
          <w:szCs w:val="18"/>
          <w:color w:val="auto"/>
        </w:rPr>
        <w:t>. Contractor hereby represents, warrants and covenants that: (a) Contractor has full right</w:t>
      </w:r>
      <w:r>
        <w:rPr>
          <w:rFonts w:ascii="Arial" w:cs="Arial" w:eastAsia="Arial" w:hAnsi="Arial"/>
          <w:sz w:val="18"/>
          <w:szCs w:val="18"/>
          <w:b w:val="1"/>
          <w:bCs w:val="1"/>
          <w:color w:val="auto"/>
        </w:rPr>
        <w:t xml:space="preserve"> </w:t>
      </w:r>
      <w:r>
        <w:rPr>
          <w:rFonts w:ascii="Arial" w:cs="Arial" w:eastAsia="Arial" w:hAnsi="Arial"/>
          <w:sz w:val="18"/>
          <w:szCs w:val="18"/>
          <w:color w:val="auto"/>
        </w:rPr>
        <w:t>and power to enter into and perform its obligations under this Agreement without the consent of any third party; (b) Contractor is not a party to any agreement or arrangement that prohibits Contractor from performing the Services hereunder and Contractor’s performance of the Services hereunder will not conflict with any obligations that Contractor has or may have had with any other party; (c) Contractor will perform all Services in a professional and workmanlike manner in accordance with industry standards and best practices; (d) Contractor will not disclose to Company any information that may be deemed to be confidential or proprietary to any other party for which Contractor may have rendered any services; (e) Work Product (as defined below) developed by Contractor (if any) will be original;</w:t>
      </w:r>
    </w:p>
    <w:p>
      <w:pPr>
        <w:jc w:val="both"/>
        <w:ind w:left="340"/>
        <w:spacing w:after="0" w:line="308" w:lineRule="auto"/>
        <w:rPr>
          <w:rFonts w:ascii="Arial" w:cs="Arial" w:eastAsia="Arial" w:hAnsi="Arial"/>
          <w:sz w:val="17"/>
          <w:szCs w:val="17"/>
          <w:color w:val="auto"/>
        </w:rPr>
      </w:pPr>
      <w:r>
        <w:rPr>
          <w:rFonts w:ascii="Arial" w:cs="Arial" w:eastAsia="Arial" w:hAnsi="Arial"/>
          <w:sz w:val="19"/>
          <w:szCs w:val="19"/>
          <w:color w:val="auto"/>
        </w:rPr>
        <w:t>(f) Work Product (if any), including all elements thereof, will not infringe the Intellectual Property Rights (as defined below) of any third party; (g) Contractor will not grant, directly or indirectly, any rights or interest whatsoever in any Work Product to third parties; (h) Contractor will take reasonable precautions to prevent injury to any persons (including employees of Company) or damage to property (including Company’s property) during the term of this Agreement; and (j) Contractor will perform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45" w:name="page346"/>
    <w:bookmarkEnd w:id="345"/>
    <w:p>
      <w:pPr>
        <w:ind w:left="332"/>
        <w:spacing w:after="0"/>
        <w:rPr>
          <w:sz w:val="20"/>
          <w:szCs w:val="20"/>
          <w:color w:val="auto"/>
        </w:rPr>
      </w:pPr>
      <w:r>
        <w:rPr>
          <w:rFonts w:ascii="Arial" w:cs="Arial" w:eastAsia="Arial" w:hAnsi="Arial"/>
          <w:sz w:val="20"/>
          <w:szCs w:val="20"/>
          <w:color w:val="auto"/>
        </w:rPr>
        <w:t>work hereunder in compliance with applicable law.</w:t>
      </w:r>
    </w:p>
    <w:p>
      <w:pPr>
        <w:spacing w:after="0" w:line="183" w:lineRule="exact"/>
        <w:rPr>
          <w:sz w:val="20"/>
          <w:szCs w:val="20"/>
          <w:color w:val="auto"/>
        </w:rPr>
      </w:pPr>
    </w:p>
    <w:p>
      <w:pPr>
        <w:jc w:val="both"/>
        <w:ind w:left="332" w:hanging="332"/>
        <w:spacing w:after="0" w:line="317" w:lineRule="auto"/>
        <w:tabs>
          <w:tab w:leader="none" w:pos="332" w:val="left"/>
        </w:tabs>
        <w:numPr>
          <w:ilvl w:val="0"/>
          <w:numId w:val="239"/>
        </w:numPr>
        <w:rPr>
          <w:rFonts w:ascii="Arial" w:cs="Arial" w:eastAsia="Arial" w:hAnsi="Arial"/>
          <w:sz w:val="17"/>
          <w:szCs w:val="17"/>
          <w:color w:val="auto"/>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 Contractor acknowledges that it will be exposed to, have access to and be engaged in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of Company and/or its affiliates (both in tangible and intangible manifestations), including but not limited to information regarding patents and patent applications, trade secrets, ideas, techniques, know-how, processes, copyrights, works of authorship, software programs, software source documents, algorithms, formulae, inventions, apparatuses, equipment, models, sketches and drawings related to the current, future, and proposed products and/or services of Company, and information concerning Company’s research, experimental work, development, design details and specifications, engineering, financial information, procurement requirements, purchasing, manufacturing, customer lists, investors, employees, business and contractual relationships, business forecasts, sales and merchandising, marketing plans and information Company provides regarding third parties, and information regarding any Work Product and/or Inventions (as defined below) under this Agreement (collectively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All Confidential Information, and all the Intellectual Property Rights related thereto or embodied therein, whether presently existing or developed in the future, is the sole property of Company and its assigns. Contractor will hold all Confidential Information in the strictest confidence and will not use or disclose Confidential Information or any copies, notes, summaries, excerpts or the like of or anything related to, such information without the written consent of Company, except as required in performing the Services.</w:t>
      </w:r>
    </w:p>
    <w:p>
      <w:pPr>
        <w:spacing w:after="0" w:line="90" w:lineRule="exact"/>
        <w:rPr>
          <w:rFonts w:ascii="Arial" w:cs="Arial" w:eastAsia="Arial" w:hAnsi="Arial"/>
          <w:sz w:val="17"/>
          <w:szCs w:val="17"/>
          <w:color w:val="auto"/>
        </w:rPr>
      </w:pPr>
    </w:p>
    <w:p>
      <w:pPr>
        <w:ind w:left="332" w:hanging="332"/>
        <w:spacing w:after="0"/>
        <w:tabs>
          <w:tab w:leader="none" w:pos="332" w:val="left"/>
        </w:tabs>
        <w:numPr>
          <w:ilvl w:val="0"/>
          <w:numId w:val="239"/>
        </w:numPr>
        <w:rPr>
          <w:rFonts w:ascii="Arial" w:cs="Arial" w:eastAsia="Arial" w:hAnsi="Arial"/>
          <w:sz w:val="19"/>
          <w:szCs w:val="19"/>
          <w:color w:val="auto"/>
        </w:rPr>
      </w:pPr>
      <w:r>
        <w:rPr>
          <w:rFonts w:ascii="Arial" w:cs="Arial" w:eastAsia="Arial" w:hAnsi="Arial"/>
          <w:sz w:val="20"/>
          <w:szCs w:val="20"/>
          <w:b w:val="1"/>
          <w:bCs w:val="1"/>
          <w:color w:val="auto"/>
        </w:rPr>
        <w:t>Rights in Work Product and Inventions</w:t>
      </w:r>
      <w:r>
        <w:rPr>
          <w:rFonts w:ascii="Arial" w:cs="Arial" w:eastAsia="Arial" w:hAnsi="Arial"/>
          <w:sz w:val="20"/>
          <w:szCs w:val="20"/>
          <w:color w:val="auto"/>
        </w:rPr>
        <w:t>.</w:t>
      </w:r>
    </w:p>
    <w:p>
      <w:pPr>
        <w:spacing w:after="0" w:line="94" w:lineRule="exact"/>
        <w:rPr>
          <w:rFonts w:ascii="Arial" w:cs="Arial" w:eastAsia="Arial" w:hAnsi="Arial"/>
          <w:sz w:val="19"/>
          <w:szCs w:val="19"/>
          <w:color w:val="auto"/>
        </w:rPr>
      </w:pPr>
    </w:p>
    <w:p>
      <w:pPr>
        <w:jc w:val="both"/>
        <w:ind w:left="372" w:firstLine="2"/>
        <w:spacing w:after="0" w:line="286" w:lineRule="auto"/>
        <w:tabs>
          <w:tab w:leader="none" w:pos="613" w:val="left"/>
        </w:tabs>
        <w:numPr>
          <w:ilvl w:val="1"/>
          <w:numId w:val="239"/>
        </w:numPr>
        <w:rPr>
          <w:rFonts w:ascii="Arial" w:cs="Arial" w:eastAsia="Arial" w:hAnsi="Arial"/>
          <w:sz w:val="19"/>
          <w:szCs w:val="19"/>
          <w:b w:val="1"/>
          <w:bCs w:val="1"/>
          <w:color w:val="auto"/>
        </w:rPr>
      </w:pPr>
      <w:r>
        <w:rPr>
          <w:rFonts w:ascii="Arial" w:cs="Arial" w:eastAsia="Arial" w:hAnsi="Arial"/>
          <w:sz w:val="19"/>
          <w:szCs w:val="19"/>
          <w:b w:val="1"/>
          <w:bCs w:val="1"/>
          <w:color w:val="auto"/>
        </w:rPr>
        <w:t>Work Product</w:t>
      </w:r>
      <w:r>
        <w:rPr>
          <w:rFonts w:ascii="Arial" w:cs="Arial" w:eastAsia="Arial" w:hAnsi="Arial"/>
          <w:sz w:val="19"/>
          <w:szCs w:val="19"/>
          <w:color w:val="auto"/>
        </w:rPr>
        <w:t>. Contractor agrees that any and all works of authorship, sketches, drawings, software programs, software source</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data, algorithms, formulae, developments, apparatuses, equipment, models and designs conceived, written, created or reduced to practice in connection with the provision of Services under this Agreement by Contractor or its authorized subcontractors, whether or not patentable or registrable under copyright or similar statutes (“</w:t>
      </w:r>
      <w:r>
        <w:rPr>
          <w:rFonts w:ascii="Arial" w:cs="Arial" w:eastAsia="Arial" w:hAnsi="Arial"/>
          <w:sz w:val="19"/>
          <w:szCs w:val="19"/>
          <w:b w:val="1"/>
          <w:bCs w:val="1"/>
          <w:color w:val="auto"/>
        </w:rPr>
        <w:t>Work Product</w:t>
      </w:r>
      <w:r>
        <w:rPr>
          <w:rFonts w:ascii="Arial" w:cs="Arial" w:eastAsia="Arial" w:hAnsi="Arial"/>
          <w:sz w:val="19"/>
          <w:szCs w:val="19"/>
          <w:color w:val="auto"/>
        </w:rPr>
        <w:t>”), will be the sole and exclusive property of Company, and Contractor hereby assigns to Company all right, title and interest in and to such Work Product including any and all patent, copyright, trade secret, trademark rights and all other intellectual property rights related to the Work Product worldwide (the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Contractor hereby waives and quitclaims to Company any and all claims, of any nature whatsoever, that Contractor now or may hereafter have for infringement of any Intellectual Property Rights in the Work Product or Inventions assigned hereunder to Company.</w:t>
      </w:r>
    </w:p>
    <w:p>
      <w:pPr>
        <w:spacing w:after="0" w:line="73" w:lineRule="exact"/>
        <w:rPr>
          <w:rFonts w:ascii="Arial" w:cs="Arial" w:eastAsia="Arial" w:hAnsi="Arial"/>
          <w:sz w:val="19"/>
          <w:szCs w:val="19"/>
          <w:b w:val="1"/>
          <w:bCs w:val="1"/>
          <w:color w:val="auto"/>
        </w:rPr>
      </w:pPr>
    </w:p>
    <w:p>
      <w:pPr>
        <w:jc w:val="both"/>
        <w:ind w:left="372" w:firstLine="2"/>
        <w:spacing w:after="0" w:line="303" w:lineRule="auto"/>
        <w:tabs>
          <w:tab w:leader="none" w:pos="62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 Contractor will disclose in writing to Company all inventions, discoveries, concepts, ideas, trade secrets, know-how,</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techniques, processes, improvements and other innovations of any kind that Contractor or its authorized subcontractors may make, conceive, develop or reduce to practice, alone or jointly with others, in the course of performing the Services, or as a result of that work, whether or not they are eligible for patent, copyright, trademark, trade secret or other legal protection (collectively,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All Inventions made, conceived, or completed by Contractor or its authorized subcontractors, individually or with others, during the term of this Agreement will be the sole and exclusive property of Company and Contractor hereby assigns to Company all right, title and interest in and to such Inventions, including any Intellectual Property Rights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Inventions (i) relate to any subject matter with which Contractor’s work or Services to be rendered to Company hereunder may be concerned, (ii) relate to or are connected with the business, products or projects of Company of which Contractor had knowledge by reason of Contractor’s association with Company under this Agreement or (iii) involve use of Company’s time, material or facilities.</w:t>
      </w:r>
    </w:p>
    <w:p>
      <w:pPr>
        <w:spacing w:after="0" w:line="59" w:lineRule="exact"/>
        <w:rPr>
          <w:rFonts w:ascii="Arial" w:cs="Arial" w:eastAsia="Arial" w:hAnsi="Arial"/>
          <w:sz w:val="18"/>
          <w:szCs w:val="18"/>
          <w:b w:val="1"/>
          <w:bCs w:val="1"/>
          <w:color w:val="auto"/>
        </w:rPr>
      </w:pPr>
    </w:p>
    <w:p>
      <w:pPr>
        <w:jc w:val="both"/>
        <w:ind w:left="372" w:firstLine="2"/>
        <w:spacing w:after="0" w:line="273" w:lineRule="auto"/>
        <w:tabs>
          <w:tab w:leader="none" w:pos="575" w:val="left"/>
        </w:tabs>
        <w:numPr>
          <w:ilvl w:val="1"/>
          <w:numId w:val="239"/>
        </w:numPr>
        <w:rPr>
          <w:rFonts w:ascii="Arial" w:cs="Arial" w:eastAsia="Arial" w:hAnsi="Arial"/>
          <w:sz w:val="20"/>
          <w:szCs w:val="20"/>
          <w:b w:val="1"/>
          <w:bCs w:val="1"/>
          <w:color w:val="auto"/>
        </w:rPr>
      </w:pPr>
      <w:r>
        <w:rPr>
          <w:rFonts w:ascii="Arial" w:cs="Arial" w:eastAsia="Arial" w:hAnsi="Arial"/>
          <w:sz w:val="20"/>
          <w:szCs w:val="20"/>
          <w:b w:val="1"/>
          <w:bCs w:val="1"/>
          <w:color w:val="auto"/>
        </w:rPr>
        <w:t>Assistance</w:t>
      </w:r>
      <w:r>
        <w:rPr>
          <w:rFonts w:ascii="Arial" w:cs="Arial" w:eastAsia="Arial" w:hAnsi="Arial"/>
          <w:sz w:val="20"/>
          <w:szCs w:val="20"/>
          <w:color w:val="auto"/>
        </w:rPr>
        <w:t>. Contractor agrees to cooperate with Company or its designee(s), both during and after the term of this Agreement,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procurement, maintenance and enforcement of all Intellectual Property Rights in the Work Product and the Inventions in any and all countries. To that end Contractor (and all subcontractors) will execute, verify and deliver such documents and perform such other acts (including appearances as a witness) as Company may reasonably request for use in applying for, obtaining, perfecting, evidencing, sustaining and enforcing such Intellectual Property Rights and the assignment thereof, including without limitation any assignments of such Intellectual Property Rights to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187960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1" w:right="339" w:bottom="1440" w:gutter="0" w:footer="0" w:header="0"/>
        </w:sectPr>
      </w:pPr>
    </w:p>
    <w:bookmarkStart w:id="346" w:name="page347"/>
    <w:bookmarkEnd w:id="346"/>
    <w:p>
      <w:pPr>
        <w:jc w:val="both"/>
        <w:ind w:left="372"/>
        <w:spacing w:after="0" w:line="307" w:lineRule="auto"/>
        <w:rPr>
          <w:sz w:val="20"/>
          <w:szCs w:val="20"/>
          <w:color w:val="auto"/>
        </w:rPr>
      </w:pPr>
      <w:r>
        <w:rPr>
          <w:rFonts w:ascii="Arial" w:cs="Arial" w:eastAsia="Arial" w:hAnsi="Arial"/>
          <w:sz w:val="18"/>
          <w:szCs w:val="18"/>
          <w:color w:val="auto"/>
        </w:rPr>
        <w:t>its designee. Contractor will be entitled to a fair and reasonable fee for rendering such services in addition to reimbursement of authorized expenses incurred at the prior written request of Company. In the event Company is unable for any reason, after reasonable effort, to secure Contractor’s signature on any document needed in connection with the actions specified in Section 9, Contractor hereby irrevocably designates and appoints Company and its duly authorized officers and agents as its agent and attorney in fact, which appointment is coupled with an interest, to act for and in its behalf to execute, verify and file any such documents and to do all other lawfully permitted acts to further the purposes of Section 9 with the same legal force and effect as if executed by Contractor.</w:t>
      </w:r>
    </w:p>
    <w:p>
      <w:pPr>
        <w:spacing w:after="0" w:line="106" w:lineRule="exact"/>
        <w:rPr>
          <w:sz w:val="20"/>
          <w:szCs w:val="20"/>
          <w:color w:val="auto"/>
        </w:rPr>
      </w:pPr>
    </w:p>
    <w:p>
      <w:pPr>
        <w:ind w:left="332" w:hanging="332"/>
        <w:spacing w:after="0"/>
        <w:tabs>
          <w:tab w:leader="none" w:pos="332" w:val="left"/>
        </w:tabs>
        <w:numPr>
          <w:ilvl w:val="0"/>
          <w:numId w:val="240"/>
        </w:numPr>
        <w:rPr>
          <w:rFonts w:ascii="Arial" w:cs="Arial" w:eastAsia="Arial" w:hAnsi="Arial"/>
          <w:sz w:val="19"/>
          <w:szCs w:val="19"/>
          <w:color w:val="auto"/>
        </w:rPr>
      </w:pPr>
      <w:r>
        <w:rPr>
          <w:rFonts w:ascii="Arial" w:cs="Arial" w:eastAsia="Arial" w:hAnsi="Arial"/>
          <w:sz w:val="20"/>
          <w:szCs w:val="20"/>
          <w:b w:val="1"/>
          <w:bCs w:val="1"/>
          <w:color w:val="auto"/>
        </w:rPr>
        <w:t>Term and Termination</w:t>
      </w:r>
      <w:r>
        <w:rPr>
          <w:rFonts w:ascii="Arial" w:cs="Arial" w:eastAsia="Arial" w:hAnsi="Arial"/>
          <w:sz w:val="20"/>
          <w:szCs w:val="20"/>
          <w:color w:val="auto"/>
        </w:rPr>
        <w:t>.</w:t>
      </w:r>
    </w:p>
    <w:p>
      <w:pPr>
        <w:spacing w:after="0" w:line="86" w:lineRule="exact"/>
        <w:rPr>
          <w:rFonts w:ascii="Arial" w:cs="Arial" w:eastAsia="Arial" w:hAnsi="Arial"/>
          <w:sz w:val="19"/>
          <w:szCs w:val="19"/>
          <w:color w:val="auto"/>
        </w:rPr>
      </w:pPr>
    </w:p>
    <w:p>
      <w:pPr>
        <w:jc w:val="both"/>
        <w:ind w:left="372" w:firstLine="2"/>
        <w:spacing w:after="0" w:line="271" w:lineRule="auto"/>
        <w:tabs>
          <w:tab w:leader="none" w:pos="578" w:val="left"/>
        </w:tabs>
        <w:numPr>
          <w:ilvl w:val="1"/>
          <w:numId w:val="240"/>
        </w:numPr>
        <w:rPr>
          <w:rFonts w:ascii="Arial" w:cs="Arial" w:eastAsia="Arial" w:hAnsi="Arial"/>
          <w:sz w:val="20"/>
          <w:szCs w:val="20"/>
          <w:color w:val="auto"/>
        </w:rPr>
      </w:pPr>
      <w:r>
        <w:rPr>
          <w:rFonts w:ascii="Arial" w:cs="Arial" w:eastAsia="Arial" w:hAnsi="Arial"/>
          <w:sz w:val="20"/>
          <w:szCs w:val="20"/>
          <w:color w:val="auto"/>
        </w:rPr>
        <w:t>This Agreement will be effective as of the Effective Date and continue until terminated as set forth herein. Either party may terminate this Agreement with any or no reason upon fifteen (15) days prior written notice. Company may immediately terminate Contractor’s engagement for Cause upon written notice specifying the particular Cause. “</w:t>
      </w:r>
      <w:r>
        <w:rPr>
          <w:rFonts w:ascii="Arial" w:cs="Arial" w:eastAsia="Arial" w:hAnsi="Arial"/>
          <w:sz w:val="20"/>
          <w:szCs w:val="20"/>
          <w:b w:val="1"/>
          <w:bCs w:val="1"/>
          <w:color w:val="auto"/>
        </w:rPr>
        <w:t>Cause</w:t>
      </w:r>
      <w:r>
        <w:rPr>
          <w:rFonts w:ascii="Arial" w:cs="Arial" w:eastAsia="Arial" w:hAnsi="Arial"/>
          <w:sz w:val="20"/>
          <w:szCs w:val="20"/>
          <w:color w:val="auto"/>
        </w:rPr>
        <w:t>” means (i) Contractor’s failure or omission that has an adverse effect on Company; (ii) Contractor’s act(s) amounting to gross negligence to the detriment of Company; (iii) Contractor’s fraud or embezzlement of funds or property; or (iv) Contractor’s failure to observe or perform any covenant, condition or provision of this Agreement.</w:t>
      </w:r>
    </w:p>
    <w:p>
      <w:pPr>
        <w:spacing w:after="0" w:line="102" w:lineRule="exact"/>
        <w:rPr>
          <w:rFonts w:ascii="Arial" w:cs="Arial" w:eastAsia="Arial" w:hAnsi="Arial"/>
          <w:sz w:val="20"/>
          <w:szCs w:val="20"/>
          <w:color w:val="auto"/>
        </w:rPr>
      </w:pPr>
    </w:p>
    <w:p>
      <w:pPr>
        <w:jc w:val="both"/>
        <w:ind w:left="372" w:firstLine="2"/>
        <w:spacing w:after="0" w:line="290" w:lineRule="auto"/>
        <w:tabs>
          <w:tab w:leader="none" w:pos="610" w:val="left"/>
        </w:tabs>
        <w:numPr>
          <w:ilvl w:val="1"/>
          <w:numId w:val="240"/>
        </w:numPr>
        <w:rPr>
          <w:rFonts w:ascii="Arial" w:cs="Arial" w:eastAsia="Arial" w:hAnsi="Arial"/>
          <w:sz w:val="19"/>
          <w:szCs w:val="19"/>
          <w:color w:val="auto"/>
        </w:rPr>
      </w:pPr>
      <w:r>
        <w:rPr>
          <w:rFonts w:ascii="Arial" w:cs="Arial" w:eastAsia="Arial" w:hAnsi="Arial"/>
          <w:sz w:val="19"/>
          <w:szCs w:val="19"/>
          <w:color w:val="auto"/>
        </w:rPr>
        <w:t>Upon any termination of this Agreement, Contractor will promptly deliver to Company all documents and other materials of any nature pertaining to the Services (including the Work Product and Inventions as defined in Section 9), together with all copies, notes, summaries, excerpts and the like of all documents and other items containing or pertaining to any Confidential Information. The following will survive termination of this Agreement: the non-solicitation provision of Section 6 and Sections 8 (Confidential Information), 9 (Rights in Work Product and Inventions), 10 (Indemnification by Contractor) and 13 (General Terms).</w:t>
      </w:r>
    </w:p>
    <w:p>
      <w:pPr>
        <w:spacing w:after="0" w:line="131" w:lineRule="exact"/>
        <w:rPr>
          <w:rFonts w:ascii="Arial" w:cs="Arial" w:eastAsia="Arial" w:hAnsi="Arial"/>
          <w:sz w:val="19"/>
          <w:szCs w:val="19"/>
          <w:color w:val="auto"/>
        </w:rPr>
      </w:pPr>
    </w:p>
    <w:p>
      <w:pPr>
        <w:jc w:val="both"/>
        <w:ind w:left="332" w:hanging="332"/>
        <w:spacing w:after="0" w:line="324" w:lineRule="auto"/>
        <w:tabs>
          <w:tab w:leader="none" w:pos="332" w:val="left"/>
        </w:tabs>
        <w:numPr>
          <w:ilvl w:val="0"/>
          <w:numId w:val="240"/>
        </w:numPr>
        <w:rPr>
          <w:rFonts w:ascii="Arial" w:cs="Arial" w:eastAsia="Arial" w:hAnsi="Arial"/>
          <w:sz w:val="17"/>
          <w:szCs w:val="17"/>
          <w:color w:val="auto"/>
        </w:rPr>
      </w:pPr>
      <w:r>
        <w:rPr>
          <w:rFonts w:ascii="Arial" w:cs="Arial" w:eastAsia="Arial" w:hAnsi="Arial"/>
          <w:sz w:val="18"/>
          <w:szCs w:val="18"/>
          <w:b w:val="1"/>
          <w:bCs w:val="1"/>
          <w:color w:val="auto"/>
        </w:rPr>
        <w:t>Independent Contractor</w:t>
      </w:r>
      <w:r>
        <w:rPr>
          <w:rFonts w:ascii="Arial" w:cs="Arial" w:eastAsia="Arial" w:hAnsi="Arial"/>
          <w:sz w:val="18"/>
          <w:szCs w:val="18"/>
          <w:color w:val="auto"/>
        </w:rPr>
        <w:t>. Contractor will be and act as an independent contractor and not as an employee of Company.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Services under this Agreement solely under its own supervision and will be subject to Company’s direction only as to the specific areas of Company’s interests for which Services are to be provided. Nothing herein will be construed as creating an employer/employee relationship between Company and the Contractor. Contractor will not be entitled to any benefits that Company may make available to its employees. Contractor will be solely responsible for all tax returns and payments required to be filed with or made to any federal, state or local tax authority. Contractor has no authority to, and will not, obligate Company by contract or otherwise.</w:t>
      </w:r>
    </w:p>
    <w:p>
      <w:pPr>
        <w:spacing w:after="0" w:line="91" w:lineRule="exact"/>
        <w:rPr>
          <w:rFonts w:ascii="Arial" w:cs="Arial" w:eastAsia="Arial" w:hAnsi="Arial"/>
          <w:sz w:val="17"/>
          <w:szCs w:val="17"/>
          <w:color w:val="auto"/>
        </w:rPr>
      </w:pPr>
    </w:p>
    <w:p>
      <w:pPr>
        <w:jc w:val="both"/>
        <w:ind w:left="332" w:hanging="332"/>
        <w:spacing w:after="0" w:line="318" w:lineRule="auto"/>
        <w:tabs>
          <w:tab w:leader="none" w:pos="332" w:val="left"/>
        </w:tabs>
        <w:numPr>
          <w:ilvl w:val="0"/>
          <w:numId w:val="240"/>
        </w:numPr>
        <w:rPr>
          <w:rFonts w:ascii="Arial" w:cs="Arial" w:eastAsia="Arial" w:hAnsi="Arial"/>
          <w:sz w:val="17"/>
          <w:szCs w:val="17"/>
          <w:color w:val="auto"/>
        </w:rPr>
      </w:pPr>
      <w:r>
        <w:rPr>
          <w:rFonts w:ascii="Arial" w:cs="Arial" w:eastAsia="Arial" w:hAnsi="Arial"/>
          <w:sz w:val="18"/>
          <w:szCs w:val="18"/>
          <w:b w:val="1"/>
          <w:bCs w:val="1"/>
          <w:color w:val="auto"/>
        </w:rPr>
        <w:t>General Terms</w:t>
      </w:r>
      <w:r>
        <w:rPr>
          <w:rFonts w:ascii="Arial" w:cs="Arial" w:eastAsia="Arial" w:hAnsi="Arial"/>
          <w:sz w:val="18"/>
          <w:szCs w:val="18"/>
          <w:color w:val="auto"/>
        </w:rPr>
        <w:t>. Contractor may not assign this Agreement or delegate or subcontract any of the Services to be provided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without Company’s prior written consent; any such assignment or delegation will be void and of no effect. This Agreement is governed by the laws of the Commonwealth of Massachusetts, excluding conflicts of law principles. Contractor hereby expressly consents to the personal jurisdiction of the state and federal courts located in Massachusetts for any lawsuit filed there against Contractor by Company arising from or related to this Agreement. All notices, requests and other communications under this Agreement must be in writing, and must be personally delivered or sent by U.S. mail, registered or certified, return receipt requested. The mailing address for notice to either party will be the address shown on the signature page of this Agreement. This Agreement constitutes the parties’ final, exclusive and complete understanding and agreement, and supersedes all prior and contemporaneous understandings and agreements relating to its subject matter. Any waiver, modification or amendment of any provision of this Agreement will be effective only if in writing and signed by the parties to this Agreement. The provisions of this Agreement are severable and if any one or more provisions are be determined to be illegal or otherwise unenforceable, in whole or in part, the remaining provisions, and any partially enforceable provision to the extent enforceable, will nevertheless be binding and enforceable.</w:t>
      </w:r>
    </w:p>
    <w:p>
      <w:pPr>
        <w:spacing w:after="0" w:line="206" w:lineRule="exact"/>
        <w:rPr>
          <w:sz w:val="20"/>
          <w:szCs w:val="20"/>
          <w:color w:val="auto"/>
        </w:rPr>
      </w:pPr>
    </w:p>
    <w:p>
      <w:pPr>
        <w:jc w:val="center"/>
        <w:ind w:left="380"/>
        <w:spacing w:after="0"/>
        <w:rPr>
          <w:sz w:val="20"/>
          <w:szCs w:val="20"/>
          <w:color w:val="auto"/>
        </w:rPr>
      </w:pPr>
      <w:r>
        <w:rPr>
          <w:rFonts w:ascii="Arial" w:cs="Arial" w:eastAsia="Arial" w:hAnsi="Arial"/>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360045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74" w:right="339" w:bottom="1440" w:gutter="0" w:footer="0" w:header="0"/>
        </w:sectPr>
      </w:pPr>
    </w:p>
    <w:bookmarkStart w:id="347" w:name="page348"/>
    <w:bookmarkEnd w:id="347"/>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6"/>
          <w:szCs w:val="16"/>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6"/>
          <w:szCs w:val="16"/>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6"/>
          <w:szCs w:val="16"/>
          <w:b w:val="1"/>
          <w:bCs w:val="1"/>
          <w:color w:val="auto"/>
        </w:rPr>
        <w:t>HEREOF</w:t>
      </w:r>
      <w:r>
        <w:rPr>
          <w:rFonts w:ascii="Arial" w:cs="Arial" w:eastAsia="Arial" w:hAnsi="Arial"/>
          <w:sz w:val="19"/>
          <w:szCs w:val="19"/>
          <w:color w:val="auto"/>
        </w:rPr>
        <w:t>, the parties have executed this Agreement as of the date first above written.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Contractor</w:t>
            </w: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Definitive Healthcare, LLC</w:t>
            </w:r>
          </w:p>
        </w:tc>
      </w:tr>
      <w:tr>
        <w:trPr>
          <w:trHeight w:val="256"/>
        </w:trPr>
        <w:tc>
          <w:tcPr>
            <w:tcW w:w="20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5380" w:type="dxa"/>
            <w:vAlign w:val="bottom"/>
            <w:tcBorders>
              <w:bottom w:val="single" w:sz="8" w:color="auto"/>
            </w:tcBorders>
          </w:tcPr>
          <w:p>
            <w:pPr>
              <w:spacing w:after="0"/>
              <w:rPr>
                <w:sz w:val="22"/>
                <w:szCs w:val="22"/>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Signature</w:t>
            </w: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Signature</w:t>
            </w:r>
          </w:p>
        </w:tc>
      </w:tr>
      <w:tr>
        <w:trPr>
          <w:trHeight w:val="256"/>
        </w:trPr>
        <w:tc>
          <w:tcPr>
            <w:tcW w:w="20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5380" w:type="dxa"/>
            <w:vAlign w:val="bottom"/>
            <w:tcBorders>
              <w:bottom w:val="single" w:sz="8" w:color="auto"/>
            </w:tcBorders>
          </w:tcPr>
          <w:p>
            <w:pPr>
              <w:spacing w:after="0"/>
              <w:rPr>
                <w:sz w:val="22"/>
                <w:szCs w:val="22"/>
                <w:color w:val="auto"/>
              </w:rPr>
            </w:pP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rPr>
              <w:t>Print Name</w:t>
            </w: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Print Name</w:t>
            </w:r>
          </w:p>
        </w:tc>
      </w:tr>
      <w:tr>
        <w:trPr>
          <w:trHeight w:val="256"/>
        </w:trPr>
        <w:tc>
          <w:tcPr>
            <w:tcW w:w="20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380" w:type="dxa"/>
            <w:vAlign w:val="bottom"/>
            <w:tcBorders>
              <w:bottom w:val="single" w:sz="8" w:color="auto"/>
            </w:tcBorders>
          </w:tcPr>
          <w:p>
            <w:pPr>
              <w:spacing w:after="0"/>
              <w:rPr>
                <w:sz w:val="22"/>
                <w:szCs w:val="22"/>
                <w:color w:val="auto"/>
              </w:rPr>
            </w:pPr>
          </w:p>
        </w:tc>
      </w:tr>
      <w:tr>
        <w:trPr>
          <w:trHeight w:val="224"/>
        </w:trPr>
        <w:tc>
          <w:tcPr>
            <w:tcW w:w="2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Title</w:t>
            </w:r>
          </w:p>
        </w:tc>
      </w:tr>
      <w:tr>
        <w:trPr>
          <w:trHeight w:val="553"/>
        </w:trPr>
        <w:tc>
          <w:tcPr>
            <w:tcW w:w="2080" w:type="dxa"/>
            <w:vAlign w:val="bottom"/>
          </w:tcPr>
          <w:p>
            <w:pPr>
              <w:spacing w:after="0"/>
              <w:rPr>
                <w:sz w:val="24"/>
                <w:szCs w:val="24"/>
                <w:color w:val="auto"/>
              </w:rPr>
            </w:pPr>
          </w:p>
        </w:tc>
        <w:tc>
          <w:tcPr>
            <w:tcW w:w="9160" w:type="dxa"/>
            <w:vAlign w:val="bottom"/>
            <w:gridSpan w:val="3"/>
          </w:tcPr>
          <w:p>
            <w:pPr>
              <w:ind w:left="1220"/>
              <w:spacing w:after="0"/>
              <w:rPr>
                <w:sz w:val="20"/>
                <w:szCs w:val="20"/>
                <w:color w:val="auto"/>
              </w:rPr>
            </w:pPr>
            <w:r>
              <w:rPr>
                <w:rFonts w:ascii="Arial" w:cs="Arial" w:eastAsia="Arial" w:hAnsi="Arial"/>
                <w:sz w:val="18"/>
                <w:szCs w:val="18"/>
                <w:color w:val="auto"/>
              </w:rPr>
              <w:t>[Signature Page to Independent Contractor Services Agreement]</w:t>
            </w:r>
          </w:p>
        </w:tc>
      </w:tr>
      <w:tr>
        <w:trPr>
          <w:trHeight w:val="344"/>
        </w:trPr>
        <w:tc>
          <w:tcPr>
            <w:tcW w:w="20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Krantz, certify that:</w:t>
      </w:r>
    </w:p>
    <w:p>
      <w:pPr>
        <w:spacing w:after="0" w:line="239" w:lineRule="exact"/>
        <w:rPr>
          <w:sz w:val="20"/>
          <w:szCs w:val="20"/>
          <w:color w:val="auto"/>
        </w:rPr>
      </w:pPr>
    </w:p>
    <w:p>
      <w:pPr>
        <w:ind w:left="440" w:hanging="432"/>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520" w:hanging="432"/>
        <w:spacing w:after="0" w:line="293" w:lineRule="auto"/>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3"/>
        <w:spacing w:after="0"/>
        <w:tabs>
          <w:tab w:leader="none" w:pos="9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38"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640" w:val="left"/>
          <w:tab w:leader="none" w:pos="6640" w:val="left"/>
        </w:tabs>
        <w:rPr>
          <w:sz w:val="20"/>
          <w:szCs w:val="20"/>
          <w:color w:val="auto"/>
        </w:rPr>
      </w:pPr>
      <w:r>
        <w:rPr>
          <w:rFonts w:ascii="Arial" w:cs="Arial" w:eastAsia="Arial" w:hAnsi="Arial"/>
          <w:sz w:val="18"/>
          <w:szCs w:val="18"/>
          <w:color w:val="auto"/>
        </w:rPr>
        <w:t>Date:</w:t>
        <w:tab/>
        <w:t>November 8, 2021</w:t>
      </w:r>
      <w:r>
        <w:rPr>
          <w:sz w:val="20"/>
          <w:szCs w:val="20"/>
          <w:color w:val="auto"/>
        </w:rPr>
        <w:tab/>
      </w:r>
      <w:r>
        <w:rPr>
          <w:rFonts w:ascii="Arial" w:cs="Arial" w:eastAsia="Arial" w:hAnsi="Arial"/>
          <w:sz w:val="15"/>
          <w:szCs w:val="15"/>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23495</wp:posOffset>
            </wp:positionV>
            <wp:extent cx="30429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57785</wp:posOffset>
            </wp:positionV>
            <wp:extent cx="292290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9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Jason Krantz</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Rick Booth, certify that:</w:t>
      </w:r>
    </w:p>
    <w:p>
      <w:pPr>
        <w:spacing w:after="0" w:line="239" w:lineRule="exact"/>
        <w:rPr>
          <w:sz w:val="20"/>
          <w:szCs w:val="20"/>
          <w:color w:val="auto"/>
        </w:rPr>
      </w:pPr>
    </w:p>
    <w:p>
      <w:pPr>
        <w:ind w:left="440" w:hanging="432"/>
        <w:spacing w:after="0"/>
        <w:tabs>
          <w:tab w:leader="none" w:pos="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520" w:hanging="432"/>
        <w:spacing w:after="0" w:line="293" w:lineRule="auto"/>
        <w:tabs>
          <w:tab w:leader="none" w:pos="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3"/>
        <w:spacing w:after="0"/>
        <w:tabs>
          <w:tab w:leader="none" w:pos="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38"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6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2021</w:t>
      </w:r>
      <w:r>
        <w:rPr>
          <w:sz w:val="20"/>
          <w:szCs w:val="20"/>
          <w:color w:val="auto"/>
        </w:rPr>
        <w:tab/>
      </w:r>
      <w:r>
        <w:rPr>
          <w:rFonts w:ascii="Arial" w:cs="Arial" w:eastAsia="Arial" w:hAnsi="Arial"/>
          <w:sz w:val="16"/>
          <w:szCs w:val="16"/>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31203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31203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57785</wp:posOffset>
            </wp:positionV>
            <wp:extent cx="292290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9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Booth</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32</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In connection with the Quarterly Report on Form 10-Q of Definitive Healthcare Corp. (the “Company”) for the quarterly period ended September 30, 2021 as filed with the Securities and Exchange Commission on the date hereof (the “Report”), Jason Krantz, as Chief Executive Officer of the Company, and Rick Booth, as Chief Financial Officer of the Company, each hereby certifies, pursuant to 18 U.S.C. § 1350, as adopted pursuant to § 906 of the Sarbanes-Oxley Act of 2002, that, to the best of his knowledge:</w:t>
      </w:r>
    </w:p>
    <w:p>
      <w:pPr>
        <w:spacing w:after="0" w:line="185" w:lineRule="exact"/>
        <w:rPr>
          <w:sz w:val="20"/>
          <w:szCs w:val="20"/>
          <w:color w:val="auto"/>
        </w:rPr>
      </w:pPr>
    </w:p>
    <w:p>
      <w:pPr>
        <w:ind w:left="960" w:hanging="443"/>
        <w:spacing w:after="0"/>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33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Jason Krantz</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Richard Booth</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51" w:name="page352"/>
    <w:bookmarkEnd w:id="3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lvl w:ilvl="1">
      <w:lvlJc w:val="left"/>
      <w:lvlText w:val="•"/>
      <w:numFmt w:val="bullet"/>
      <w:start w:val="1"/>
    </w:lvl>
  </w:abstractNum>
  <w:abstractNum w:abstractNumId="3">
    <w:nsid w:val="4F97E3E4"/>
    <w:multiLevelType w:val="hybridMultilevel"/>
    <w:lvl w:ilvl="0">
      <w:lvlJc w:val="left"/>
      <w:lvlText w:val="(%1)"/>
      <w:numFmt w:val="decimal"/>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abstractNum>
  <w:abstractNum w:abstractNumId="6">
    <w:nsid w:val="5915FF32"/>
    <w:multiLevelType w:val="hybridMultilevel"/>
    <w:lvl w:ilvl="0">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1)"/>
      <w:numFmt w:val="lowerLetter"/>
      <w:start w:val="1"/>
    </w:lvl>
  </w:abstractNum>
  <w:abstractNum w:abstractNumId="9">
    <w:nsid w:val="2C6E4AFD"/>
    <w:multiLevelType w:val="hybridMultilevel"/>
    <w:lvl w:ilvl="0">
      <w:lvlJc w:val="left"/>
      <w:lvlText w:val="(%1)"/>
      <w:numFmt w:val="lowerLetter"/>
      <w:start w:val="1"/>
    </w:lvl>
  </w:abstractNum>
  <w:abstractNum w:abstractNumId="10">
    <w:nsid w:val="17A1B582"/>
    <w:multiLevelType w:val="hybridMultilevel"/>
    <w:lvl w:ilvl="0">
      <w:lvlJc w:val="left"/>
      <w:lvlText w:val="*"/>
      <w:numFmt w:val="bullet"/>
      <w:start w:val="1"/>
    </w:lvl>
    <w:lvl w:ilvl="1">
      <w:lvlJc w:val="left"/>
      <w:lvlText w:val="%2"/>
      <w:numFmt w:val="decimal"/>
      <w:start w:val="104"/>
    </w:lvl>
  </w:abstractNum>
  <w:abstractNum w:abstractNumId="11">
    <w:nsid w:val="4DF72E4E"/>
    <w:multiLevelType w:val="hybridMultilevel"/>
    <w:lvl w:ilvl="0">
      <w:lvlJc w:val="left"/>
      <w:lvlText w:val="%1."/>
      <w:numFmt w:val="decimal"/>
      <w:start w:val="1"/>
    </w:lvl>
  </w:abstractNum>
  <w:abstractNum w:abstractNumId="12">
    <w:nsid w:val="5046B5A9"/>
    <w:multiLevelType w:val="hybridMultilevel"/>
    <w:lvl w:ilvl="0">
      <w:lvlJc w:val="left"/>
      <w:lvlText w:val="%1"/>
      <w:numFmt w:val="decimal"/>
      <w:start w:val="1"/>
    </w:lvl>
    <w:lvl w:ilvl="1">
      <w:lvlJc w:val="left"/>
      <w:lvlText w:val="(%2)"/>
      <w:numFmt w:val="lowerRoman"/>
      <w:start w:val="1"/>
    </w:lvl>
  </w:abstractNum>
  <w:abstractNum w:abstractNumId="13">
    <w:nsid w:val="5D888A08"/>
    <w:multiLevelType w:val="hybridMultilevel"/>
    <w:lvl w:ilvl="0">
      <w:lvlJc w:val="left"/>
      <w:lvlText w:val="%1."/>
      <w:numFmt w:val="decimal"/>
      <w:start w:val="5"/>
    </w:lvl>
    <w:lvl w:ilvl="1">
      <w:lvlJc w:val="left"/>
      <w:lvlText w:val="%2"/>
      <w:numFmt w:val="lowerRoman"/>
      <w:start w:val="1"/>
    </w:lvl>
  </w:abstractNum>
  <w:abstractNum w:abstractNumId="14">
    <w:nsid w:val="2A082C70"/>
    <w:multiLevelType w:val="hybridMultilevel"/>
    <w:lvl w:ilvl="0">
      <w:lvlJc w:val="left"/>
      <w:lvlText w:val="(%1)"/>
      <w:numFmt w:val="lowerRoman"/>
      <w:start w:val="1"/>
    </w:lvl>
    <w:lvl w:ilvl="1">
      <w:lvlJc w:val="left"/>
      <w:lvlText w:val="(%2)"/>
      <w:numFmt w:val="decimal"/>
      <w:start w:val="1"/>
    </w:lvl>
  </w:abstractNum>
  <w:abstractNum w:abstractNumId="15">
    <w:nsid w:val="5EC6AFD4"/>
    <w:multiLevelType w:val="hybridMultilevel"/>
    <w:lvl w:ilvl="0">
      <w:lvlJc w:val="left"/>
      <w:lvlText w:val="%1"/>
      <w:numFmt w:val="lowerRoman"/>
      <w:start w:val="1"/>
    </w:lvl>
    <w:lvl w:ilvl="1">
      <w:lvlJc w:val="left"/>
      <w:lvlText w:val="(%2)"/>
      <w:numFmt w:val="decimal"/>
      <w:start w:val="2"/>
    </w:lvl>
  </w:abstractNum>
  <w:abstractNum w:abstractNumId="16">
    <w:nsid w:val="19E21BB2"/>
    <w:multiLevelType w:val="hybridMultilevel"/>
    <w:lvl w:ilvl="0">
      <w:lvlJc w:val="left"/>
      <w:lvlText w:val="(%1)"/>
      <w:numFmt w:val="lowerRoman"/>
      <w:start w:val="2"/>
    </w:lvl>
    <w:lvl w:ilvl="1">
      <w:lvlJc w:val="left"/>
      <w:lvlText w:val="(%2)"/>
      <w:numFmt w:val="decimal"/>
      <w:start w:val="1"/>
    </w:lvl>
  </w:abstractNum>
  <w:abstractNum w:abstractNumId="17">
    <w:nsid w:val="75E0858A"/>
    <w:multiLevelType w:val="hybridMultilevel"/>
    <w:lvl w:ilvl="0">
      <w:lvlJc w:val="left"/>
      <w:lvlText w:val="%1"/>
      <w:numFmt w:val="lowerRoman"/>
      <w:start w:val="1"/>
    </w:lvl>
    <w:lvl w:ilvl="1">
      <w:lvlJc w:val="left"/>
      <w:lvlText w:val="(%2)"/>
      <w:numFmt w:val="decimal"/>
      <w:start w:val="2"/>
    </w:lvl>
  </w:abstractNum>
  <w:abstractNum w:abstractNumId="18">
    <w:nsid w:val="57A61A29"/>
    <w:multiLevelType w:val="hybridMultilevel"/>
    <w:lvl w:ilvl="0">
      <w:lvlJc w:val="left"/>
      <w:lvlText w:val="(%1)"/>
      <w:numFmt w:val="lowerRoman"/>
      <w:start w:val="3"/>
    </w:lvl>
    <w:lvl w:ilvl="1">
      <w:lvlJc w:val="left"/>
      <w:lvlText w:val="%2"/>
      <w:numFmt w:val="decimal"/>
      <w:start w:val="1"/>
    </w:lvl>
  </w:abstractNum>
  <w:abstractNum w:abstractNumId="19">
    <w:nsid w:val="5399C654"/>
    <w:multiLevelType w:val="hybridMultilevel"/>
    <w:lvl w:ilvl="0">
      <w:lvlJc w:val="left"/>
      <w:lvlText w:val="%1."/>
      <w:numFmt w:val="decimal"/>
      <w:start w:val="6"/>
    </w:lvl>
  </w:abstractNum>
  <w:abstractNum w:abstractNumId="20">
    <w:nsid w:val="20EE1348"/>
    <w:multiLevelType w:val="hybridMultilevel"/>
    <w:lvl w:ilvl="0">
      <w:lvlJc w:val="left"/>
      <w:lvlText w:val="%1."/>
      <w:numFmt w:val="decimal"/>
      <w:start w:val="7"/>
    </w:lvl>
  </w:abstractNum>
  <w:abstractNum w:abstractNumId="21">
    <w:nsid w:val="4427069A"/>
    <w:multiLevelType w:val="hybridMultilevel"/>
    <w:lvl w:ilvl="0">
      <w:lvlJc w:val="left"/>
      <w:lvlText w:val="(%1)"/>
      <w:numFmt w:val="lowerRoman"/>
      <w:start w:val="1"/>
    </w:lvl>
  </w:abstractNum>
  <w:abstractNum w:abstractNumId="22">
    <w:nsid w:val="B37E80A"/>
    <w:multiLevelType w:val="hybridMultilevel"/>
    <w:lvl w:ilvl="0">
      <w:lvlJc w:val="left"/>
      <w:lvlText w:val="%1."/>
      <w:numFmt w:val="decimal"/>
      <w:start w:val="8"/>
    </w:lvl>
  </w:abstractNum>
  <w:abstractNum w:abstractNumId="23">
    <w:nsid w:val="2157F6BC"/>
    <w:multiLevelType w:val="hybridMultilevel"/>
    <w:lvl w:ilvl="0">
      <w:lvlJc w:val="left"/>
      <w:lvlText w:val="%1."/>
      <w:numFmt w:val="decimal"/>
      <w:start w:val="10"/>
    </w:lvl>
  </w:abstractNum>
  <w:abstractNum w:abstractNumId="24">
    <w:nsid w:val="704E1DD5"/>
    <w:multiLevelType w:val="hybridMultilevel"/>
    <w:lvl w:ilvl="0">
      <w:lvlJc w:val="left"/>
      <w:lvlText w:val="(%1)"/>
      <w:numFmt w:val="lowerRoman"/>
      <w:start w:val="1"/>
    </w:lvl>
  </w:abstractNum>
  <w:abstractNum w:abstractNumId="25">
    <w:nsid w:val="57D2F10E"/>
    <w:multiLevelType w:val="hybridMultilevel"/>
    <w:lvl w:ilvl="0">
      <w:lvlJc w:val="left"/>
      <w:lvlText w:val="(%1)"/>
      <w:numFmt w:val="lowerRoman"/>
      <w:start w:val="1"/>
    </w:lvl>
  </w:abstractNum>
  <w:abstractNum w:abstractNumId="26">
    <w:nsid w:val="BFFAE18"/>
    <w:multiLevelType w:val="hybridMultilevel"/>
    <w:lvl w:ilvl="0">
      <w:lvlJc w:val="left"/>
      <w:lvlText w:val="(%1)"/>
      <w:numFmt w:val="lowerLetter"/>
      <w:start w:val="25"/>
    </w:lvl>
  </w:abstractNum>
  <w:abstractNum w:abstractNumId="27">
    <w:nsid w:val="E3E47A8"/>
    <w:multiLevelType w:val="hybridMultilevel"/>
    <w:lvl w:ilvl="0">
      <w:lvlJc w:val="left"/>
      <w:lvlText w:val="(%1)"/>
      <w:numFmt w:val="lowerRoman"/>
      <w:start w:val="1"/>
    </w:lvl>
    <w:lvl w:ilvl="1">
      <w:lvlJc w:val="left"/>
      <w:lvlText w:val="(%2)"/>
      <w:numFmt w:val="decimal"/>
      <w:start w:val="1"/>
    </w:lvl>
  </w:abstractNum>
  <w:abstractNum w:abstractNumId="28">
    <w:nsid w:val="2E48F044"/>
    <w:multiLevelType w:val="hybridMultilevel"/>
    <w:lvl w:ilvl="0">
      <w:lvlJc w:val="left"/>
      <w:lvlText w:val="%1"/>
      <w:numFmt w:val="lowerRoman"/>
      <w:start w:val="1"/>
    </w:lvl>
    <w:lvl w:ilvl="1">
      <w:lvlJc w:val="left"/>
      <w:lvlText w:val="(%2)"/>
      <w:numFmt w:val="decimal"/>
      <w:start w:val="3"/>
    </w:lvl>
  </w:abstractNum>
  <w:abstractNum w:abstractNumId="29">
    <w:nsid w:val="49D0FEAC"/>
    <w:multiLevelType w:val="hybridMultilevel"/>
    <w:lvl w:ilvl="0">
      <w:lvlJc w:val="left"/>
      <w:lvlText w:val="(%1)"/>
      <w:numFmt w:val="lowerRoman"/>
      <w:start w:val="3"/>
    </w:lvl>
    <w:lvl w:ilvl="1">
      <w:lvlJc w:val="left"/>
      <w:lvlText w:val="%2"/>
      <w:numFmt w:val="decimal"/>
      <w:start w:val="1"/>
    </w:lvl>
  </w:abstractNum>
  <w:abstractNum w:abstractNumId="30">
    <w:nsid w:val="4BEE5A5B"/>
    <w:multiLevelType w:val="hybridMultilevel"/>
    <w:lvl w:ilvl="0">
      <w:lvlJc w:val="left"/>
      <w:lvlText w:val="(%1)"/>
      <w:numFmt w:val="lowerRoman"/>
      <w:start w:val="5"/>
    </w:lvl>
    <w:lvl w:ilvl="1">
      <w:lvlJc w:val="left"/>
      <w:lvlText w:val="(%2)"/>
      <w:numFmt w:val="decimal"/>
      <w:start w:val="1"/>
    </w:lvl>
  </w:abstractNum>
  <w:abstractNum w:abstractNumId="31">
    <w:nsid w:val="5551B9F3"/>
    <w:multiLevelType w:val="hybridMultilevel"/>
    <w:lvl w:ilvl="0">
      <w:lvlJc w:val="left"/>
      <w:lvlText w:val="%1"/>
      <w:numFmt w:val="decimal"/>
      <w:start w:val="1"/>
    </w:lvl>
    <w:lvl w:ilvl="1">
      <w:lvlJc w:val="left"/>
      <w:lvlText w:val="(%2)"/>
      <w:numFmt w:val="lowerRoman"/>
      <w:start w:val="8"/>
    </w:lvl>
  </w:abstractNum>
  <w:abstractNum w:abstractNumId="32">
    <w:nsid w:val="24F6AB8E"/>
    <w:multiLevelType w:val="hybridMultilevel"/>
    <w:lvl w:ilvl="0">
      <w:lvlJc w:val="left"/>
      <w:lvlText w:val="%1."/>
      <w:numFmt w:val="decimal"/>
      <w:start w:val="11"/>
    </w:lvl>
    <w:lvl w:ilvl="1">
      <w:lvlJc w:val="left"/>
      <w:lvlText w:val="%2"/>
      <w:numFmt w:val="lowerRoman"/>
      <w:start w:val="1"/>
    </w:lvl>
  </w:abstractNum>
  <w:abstractNum w:abstractNumId="33">
    <w:nsid w:val="634C574C"/>
    <w:multiLevelType w:val="hybridMultilevel"/>
    <w:lvl w:ilvl="0">
      <w:lvlJc w:val="left"/>
      <w:lvlText w:val="%1."/>
      <w:numFmt w:val="decimal"/>
      <w:start w:val="12"/>
    </w:lvl>
    <w:lvl w:ilvl="1">
      <w:lvlJc w:val="left"/>
      <w:lvlText w:val="%2"/>
      <w:numFmt w:val="lowerRoman"/>
      <w:start w:val="1"/>
    </w:lvl>
  </w:abstractNum>
  <w:abstractNum w:abstractNumId="34">
    <w:nsid w:val="24E99DD7"/>
    <w:multiLevelType w:val="hybridMultilevel"/>
    <w:lvl w:ilvl="0">
      <w:lvlJc w:val="left"/>
      <w:lvlText w:val="%1."/>
      <w:numFmt w:val="decimal"/>
      <w:start w:val="13"/>
    </w:lvl>
  </w:abstractNum>
  <w:abstractNum w:abstractNumId="35">
    <w:nsid w:val="2A31B62D"/>
    <w:multiLevelType w:val="hybridMultilevel"/>
    <w:lvl w:ilvl="0">
      <w:lvlJc w:val="left"/>
      <w:lvlText w:val="%1."/>
      <w:numFmt w:val="decimal"/>
      <w:start w:val="16"/>
    </w:lvl>
  </w:abstractNum>
  <w:abstractNum w:abstractNumId="36">
    <w:nsid w:val="1849C29B"/>
    <w:multiLevelType w:val="hybridMultilevel"/>
    <w:lvl w:ilvl="0">
      <w:lvlJc w:val="left"/>
      <w:lvlText w:val="%1."/>
      <w:numFmt w:val="decimal"/>
      <w:start w:val="17"/>
    </w:lvl>
    <w:lvl w:ilvl="1">
      <w:lvlJc w:val="left"/>
      <w:lvlText w:val="(%2)"/>
      <w:numFmt w:val="lowerLetter"/>
      <w:start w:val="1"/>
    </w:lvl>
  </w:abstractNum>
  <w:abstractNum w:abstractNumId="37">
    <w:nsid w:val="7DFF9D09"/>
    <w:multiLevelType w:val="hybridMultilevel"/>
    <w:lvl w:ilvl="0">
      <w:lvlJc w:val="left"/>
      <w:lvlText w:val="(%1)"/>
      <w:numFmt w:val="lowerLetter"/>
      <w:start w:val="4"/>
    </w:lvl>
  </w:abstractNum>
  <w:abstractNum w:abstractNumId="38">
    <w:nsid w:val="754342"/>
    <w:multiLevelType w:val="hybridMultilevel"/>
    <w:lvl w:ilvl="0">
      <w:lvlJc w:val="left"/>
      <w:lvlText w:val="(%1)"/>
      <w:numFmt w:val="lowerLetter"/>
      <w:start w:val="13"/>
    </w:lvl>
  </w:abstractNum>
  <w:abstractNum w:abstractNumId="39">
    <w:nsid w:val="69E7F3E5"/>
    <w:multiLevelType w:val="hybridMultilevel"/>
    <w:lvl w:ilvl="0">
      <w:lvlJc w:val="left"/>
      <w:lvlText w:val="(%1)"/>
      <w:numFmt w:val="lowerLetter"/>
      <w:start w:val="1"/>
    </w:lvl>
  </w:abstractNum>
  <w:abstractNum w:abstractNumId="40">
    <w:nsid w:val="2A6DE806"/>
    <w:multiLevelType w:val="hybridMultilevel"/>
    <w:lvl w:ilvl="0">
      <w:lvlJc w:val="left"/>
      <w:lvlText w:val="(%1)"/>
      <w:numFmt w:val="lowerLetter"/>
      <w:start w:val="2"/>
    </w:lvl>
  </w:abstractNum>
  <w:abstractNum w:abstractNumId="41">
    <w:nsid w:val="1816F8C4"/>
    <w:multiLevelType w:val="hybridMultilevel"/>
    <w:lvl w:ilvl="0">
      <w:lvlJc w:val="left"/>
      <w:lvlText w:val="(%1)"/>
      <w:numFmt w:val="lowerLetter"/>
      <w:start w:val="5"/>
    </w:lvl>
  </w:abstractNum>
  <w:abstractNum w:abstractNumId="42">
    <w:nsid w:val="37DF2233"/>
    <w:multiLevelType w:val="hybridMultilevel"/>
    <w:lvl w:ilvl="0">
      <w:lvlJc w:val="left"/>
      <w:lvlText w:val="(%1)"/>
      <w:numFmt w:val="lowerLetter"/>
      <w:start w:val="1"/>
    </w:lvl>
  </w:abstractNum>
  <w:abstractNum w:abstractNumId="43">
    <w:nsid w:val="7AB49DAF"/>
    <w:multiLevelType w:val="hybridMultilevel"/>
    <w:lvl w:ilvl="0">
      <w:lvlJc w:val="left"/>
      <w:lvlText w:val="(%1)"/>
      <w:numFmt w:val="lowerLetter"/>
      <w:start w:val="1"/>
    </w:lvl>
  </w:abstractNum>
  <w:abstractNum w:abstractNumId="44">
    <w:nsid w:val="759F82CD"/>
    <w:multiLevelType w:val="hybridMultilevel"/>
    <w:lvl w:ilvl="0">
      <w:lvlJc w:val="left"/>
      <w:lvlText w:val="(%1)"/>
      <w:numFmt w:val="lowerLetter"/>
      <w:start w:val="1"/>
    </w:lvl>
    <w:lvl w:ilvl="1">
      <w:lvlJc w:val="left"/>
      <w:lvlText w:val="(%2)"/>
      <w:numFmt w:val="lowerLetter"/>
      <w:start w:val="9"/>
    </w:lvl>
  </w:abstractNum>
  <w:abstractNum w:abstractNumId="45">
    <w:nsid w:val="61E74EA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6">
    <w:nsid w:val="597B4D8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
    <w:nsid w:val="F819E7F"/>
    <w:multiLevelType w:val="hybridMultilevel"/>
    <w:lvl w:ilvl="0">
      <w:lvlJc w:val="left"/>
      <w:lvlText w:val="(%1)"/>
      <w:numFmt w:val="upperLetter"/>
      <w:start w:val="5"/>
    </w:lvl>
  </w:abstractNum>
  <w:abstractNum w:abstractNumId="48">
    <w:nsid w:val="57C7D42D"/>
    <w:multiLevelType w:val="hybridMultilevel"/>
    <w:lvl w:ilvl="0">
      <w:lvlJc w:val="left"/>
      <w:lvlText w:val="(%1)"/>
      <w:numFmt w:val="upperLetter"/>
      <w:start w:val="12"/>
    </w:lvl>
  </w:abstractNum>
  <w:abstractNum w:abstractNumId="49">
    <w:nsid w:val="312167AD"/>
    <w:multiLevelType w:val="hybridMultilevel"/>
    <w:lvl w:ilvl="0">
      <w:lvlJc w:val="left"/>
      <w:lvlText w:val="(%1)"/>
      <w:numFmt w:val="lowerRoman"/>
      <w:start w:val="2"/>
    </w:lvl>
    <w:lvl w:ilvl="1">
      <w:lvlJc w:val="left"/>
      <w:lvlText w:val="(%2)"/>
      <w:numFmt w:val="upperLetter"/>
      <w:start w:val="1"/>
    </w:lvl>
  </w:abstractNum>
  <w:abstractNum w:abstractNumId="50">
    <w:nsid w:val="631B64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51">
    <w:nsid w:val="78B5E77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2">
    <w:nsid w:val="75486E4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3">
    <w:nsid w:val="6E534CDE"/>
    <w:multiLevelType w:val="hybridMultilevel"/>
    <w:lvl w:ilvl="0">
      <w:lvlJc w:val="left"/>
      <w:lvlText w:val="(%1)"/>
      <w:numFmt w:val="lowerLetter"/>
      <w:start w:val="4"/>
    </w:lvl>
  </w:abstractNum>
  <w:abstractNum w:abstractNumId="54">
    <w:nsid w:val="1A0DDE32"/>
    <w:multiLevelType w:val="hybridMultilevel"/>
    <w:lvl w:ilvl="0">
      <w:lvlJc w:val="left"/>
      <w:lvlText w:val="(%1)"/>
      <w:numFmt w:val="lowerLetter"/>
      <w:start w:val="1"/>
    </w:lvl>
    <w:lvl w:ilvl="1">
      <w:lvlJc w:val="left"/>
      <w:lvlText w:val="(%2)"/>
      <w:numFmt w:val="lowerRoman"/>
      <w:start w:val="1"/>
    </w:lvl>
  </w:abstractNum>
  <w:abstractNum w:abstractNumId="55">
    <w:nsid w:val="65968C1C"/>
    <w:multiLevelType w:val="hybridMultilevel"/>
    <w:lvl w:ilvl="0">
      <w:lvlJc w:val="left"/>
      <w:lvlText w:val="(%1)"/>
      <w:numFmt w:val="lowerLetter"/>
      <w:start w:val="1"/>
    </w:lvl>
  </w:abstractNum>
  <w:abstractNum w:abstractNumId="56">
    <w:nsid w:val="46263DEC"/>
    <w:multiLevelType w:val="hybridMultilevel"/>
    <w:lvl w:ilvl="0">
      <w:lvlJc w:val="left"/>
      <w:lvlText w:val="(%1)"/>
      <w:numFmt w:val="lowerLetter"/>
      <w:start w:val="6"/>
    </w:lvl>
  </w:abstractNum>
  <w:abstractNum w:abstractNumId="57">
    <w:nsid w:val="260D8C4A"/>
    <w:multiLevelType w:val="hybridMultilevel"/>
    <w:lvl w:ilvl="0">
      <w:lvlJc w:val="left"/>
      <w:lvlText w:val="(%1)"/>
      <w:numFmt w:val="decimal"/>
      <w:start w:val="24"/>
    </w:lvl>
  </w:abstractNum>
  <w:abstractNum w:abstractNumId="58">
    <w:nsid w:val="73D4D3C4"/>
    <w:multiLevelType w:val="hybridMultilevel"/>
    <w:lvl w:ilvl="0">
      <w:lvlJc w:val="left"/>
      <w:lvlText w:val="(%1)"/>
      <w:numFmt w:val="decimal"/>
      <w:start w:val="1"/>
    </w:lvl>
  </w:abstractNum>
  <w:abstractNum w:abstractNumId="59">
    <w:nsid w:val="746F2E30"/>
    <w:multiLevelType w:val="hybridMultilevel"/>
    <w:lvl w:ilvl="0">
      <w:lvlJc w:val="left"/>
      <w:lvlText w:val="(%1)"/>
      <w:numFmt w:val="lowerLetter"/>
      <w:start w:val="1"/>
    </w:lvl>
  </w:abstractNum>
  <w:abstractNum w:abstractNumId="60">
    <w:nsid w:val="6FDE8AF6"/>
    <w:multiLevelType w:val="hybridMultilevel"/>
    <w:lvl w:ilvl="0">
      <w:lvlJc w:val="left"/>
      <w:lvlText w:val="(%1)"/>
      <w:numFmt w:val="lowerLetter"/>
      <w:start w:val="2"/>
    </w:lvl>
  </w:abstractNum>
  <w:abstractNum w:abstractNumId="61">
    <w:nsid w:val="3FC32E20"/>
    <w:multiLevelType w:val="hybridMultilevel"/>
    <w:lvl w:ilvl="0">
      <w:lvlJc w:val="left"/>
      <w:lvlText w:val="(%1)"/>
      <w:numFmt w:val="lowerLetter"/>
      <w:start w:val="1"/>
    </w:lvl>
  </w:abstractNum>
  <w:abstractNum w:abstractNumId="62">
    <w:nsid w:val="49C0E823"/>
    <w:multiLevelType w:val="hybridMultilevel"/>
    <w:lvl w:ilvl="0">
      <w:lvlJc w:val="left"/>
      <w:lvlText w:val="(%1)"/>
      <w:numFmt w:val="lowerLetter"/>
      <w:start w:val="1"/>
    </w:lvl>
  </w:abstractNum>
  <w:abstractNum w:abstractNumId="63">
    <w:nsid w:val="14D53685"/>
    <w:multiLevelType w:val="hybridMultilevel"/>
    <w:lvl w:ilvl="0">
      <w:lvlJc w:val="left"/>
      <w:lvlText w:val="(%1)"/>
      <w:numFmt w:val="lowerLetter"/>
      <w:start w:val="3"/>
    </w:lvl>
  </w:abstractNum>
  <w:abstractNum w:abstractNumId="64">
    <w:nsid w:val="230F856C"/>
    <w:multiLevelType w:val="hybridMultilevel"/>
    <w:lvl w:ilvl="0">
      <w:lvlJc w:val="left"/>
      <w:lvlText w:val="(%1)"/>
      <w:numFmt w:val="lowerLetter"/>
      <w:start w:val="1"/>
    </w:lvl>
  </w:abstractNum>
  <w:abstractNum w:abstractNumId="65">
    <w:nsid w:val="6EAA85FB"/>
    <w:multiLevelType w:val="hybridMultilevel"/>
    <w:lvl w:ilvl="0">
      <w:lvlJc w:val="left"/>
      <w:lvlText w:val="(%1)"/>
      <w:numFmt w:val="lowerLetter"/>
      <w:start w:val="4"/>
    </w:lvl>
  </w:abstractNum>
  <w:abstractNum w:abstractNumId="66">
    <w:nsid w:val="3F06ECB2"/>
    <w:multiLevelType w:val="hybridMultilevel"/>
    <w:lvl w:ilvl="0">
      <w:lvlJc w:val="left"/>
      <w:lvlText w:val="(%1)"/>
      <w:numFmt w:val="lowerLetter"/>
      <w:start w:val="1"/>
    </w:lvl>
  </w:abstractNum>
  <w:abstractNum w:abstractNumId="67">
    <w:nsid w:val="3B594807"/>
    <w:multiLevelType w:val="hybridMultilevel"/>
    <w:lvl w:ilvl="0">
      <w:lvlJc w:val="left"/>
      <w:lvlText w:val="(%1)"/>
      <w:numFmt w:val="lowerRoman"/>
      <w:start w:val="1"/>
    </w:lvl>
  </w:abstractNum>
  <w:abstractNum w:abstractNumId="68">
    <w:nsid w:val="6CAA2304"/>
    <w:multiLevelType w:val="hybridMultilevel"/>
    <w:lvl w:ilvl="0">
      <w:lvlJc w:val="left"/>
      <w:lvlText w:val="(%1)"/>
      <w:numFmt w:val="lowerRoman"/>
      <w:start w:val="1"/>
    </w:lvl>
  </w:abstractNum>
  <w:abstractNum w:abstractNumId="69">
    <w:nsid w:val="3F7C2FF4"/>
    <w:multiLevelType w:val="hybridMultilevel"/>
    <w:lvl w:ilvl="0">
      <w:lvlJc w:val="left"/>
      <w:lvlText w:val="(%1)"/>
      <w:numFmt w:val="lowerLetter"/>
      <w:start w:val="2"/>
    </w:lvl>
  </w:abstractNum>
  <w:abstractNum w:abstractNumId="70">
    <w:nsid w:val="25413BEC"/>
    <w:multiLevelType w:val="hybridMultilevel"/>
    <w:lvl w:ilvl="0">
      <w:lvlJc w:val="left"/>
      <w:lvlText w:val="(%1)"/>
      <w:numFmt w:val="lowerRoman"/>
      <w:start w:val="1"/>
    </w:lvl>
  </w:abstractNum>
  <w:abstractNum w:abstractNumId="71">
    <w:nsid w:val="17180B0B"/>
    <w:multiLevelType w:val="hybridMultilevel"/>
    <w:lvl w:ilvl="0">
      <w:lvlJc w:val="left"/>
      <w:lvlText w:val="%1"/>
      <w:numFmt w:val="lowerRoman"/>
      <w:start w:val="1"/>
    </w:lvl>
    <w:lvl w:ilvl="1">
      <w:lvlJc w:val="left"/>
      <w:lvlText w:val="(%2)"/>
      <w:numFmt w:val="lowerRoman"/>
      <w:start w:val="1"/>
    </w:lvl>
  </w:abstractNum>
  <w:abstractNum w:abstractNumId="72">
    <w:nsid w:val="579328B9"/>
    <w:multiLevelType w:val="hybridMultilevel"/>
    <w:lvl w:ilvl="0">
      <w:lvlJc w:val="left"/>
      <w:lvlText w:val="(%1)"/>
      <w:numFmt w:val="lowerRoman"/>
      <w:start w:val="3"/>
    </w:lvl>
    <w:lvl w:ilvl="1">
      <w:lvlJc w:val="left"/>
      <w:lvlText w:val="(%2)"/>
      <w:numFmt w:val="lowerRoman"/>
      <w:start w:val="4"/>
    </w:lvl>
  </w:abstractNum>
  <w:abstractNum w:abstractNumId="73">
    <w:nsid w:val="5D205E20"/>
    <w:multiLevelType w:val="hybridMultilevel"/>
    <w:lvl w:ilvl="0">
      <w:lvlJc w:val="left"/>
      <w:lvlText w:val="(%1)"/>
      <w:numFmt w:val="lowerRoman"/>
      <w:start w:val="7"/>
    </w:lvl>
  </w:abstractNum>
  <w:abstractNum w:abstractNumId="74">
    <w:nsid w:val="11CCA8BA"/>
    <w:multiLevelType w:val="hybridMultilevel"/>
    <w:lvl w:ilvl="0">
      <w:lvlJc w:val="left"/>
      <w:lvlText w:val="(%1)"/>
      <w:numFmt w:val="lowerRoman"/>
      <w:start w:val="1"/>
    </w:lvl>
  </w:abstractNum>
  <w:abstractNum w:abstractNumId="75">
    <w:nsid w:val="4D32AB86"/>
    <w:multiLevelType w:val="hybridMultilevel"/>
    <w:lvl w:ilvl="0">
      <w:lvlJc w:val="left"/>
      <w:lvlText w:val="(%1)"/>
      <w:numFmt w:val="lowerRoman"/>
      <w:start w:val="4"/>
    </w:lvl>
  </w:abstractNum>
  <w:abstractNum w:abstractNumId="76">
    <w:nsid w:val="3F07ACC3"/>
    <w:multiLevelType w:val="hybridMultilevel"/>
    <w:lvl w:ilvl="0">
      <w:lvlJc w:val="left"/>
      <w:lvlText w:val="(%1)"/>
      <w:numFmt w:val="lowerLetter"/>
      <w:start w:val="1"/>
    </w:lvl>
  </w:abstractNum>
  <w:abstractNum w:abstractNumId="77">
    <w:nsid w:val="6B47F63E"/>
    <w:multiLevelType w:val="hybridMultilevel"/>
    <w:lvl w:ilvl="0">
      <w:lvlJc w:val="left"/>
      <w:lvlText w:val="(%1)"/>
      <w:numFmt w:val="lowerLetter"/>
      <w:start w:val="5"/>
    </w:lvl>
  </w:abstractNum>
  <w:abstractNum w:abstractNumId="78">
    <w:nsid w:val="5CB44A05"/>
    <w:multiLevelType w:val="hybridMultilevel"/>
    <w:lvl w:ilvl="0">
      <w:lvlJc w:val="left"/>
      <w:lvlText w:val="(%1)"/>
      <w:numFmt w:val="lowerLetter"/>
      <w:start w:val="1"/>
    </w:lvl>
  </w:abstractNum>
  <w:abstractNum w:abstractNumId="79">
    <w:nsid w:val="16CF80F1"/>
    <w:multiLevelType w:val="hybridMultilevel"/>
    <w:lvl w:ilvl="0">
      <w:lvlJc w:val="left"/>
      <w:lvlText w:val="(%1)"/>
      <w:numFmt w:val="lowerLetter"/>
      <w:start w:val="1"/>
    </w:lvl>
  </w:abstractNum>
  <w:abstractNum w:abstractNumId="80">
    <w:nsid w:val="1C695DEC"/>
    <w:multiLevelType w:val="hybridMultilevel"/>
    <w:lvl w:ilvl="0">
      <w:lvlJc w:val="left"/>
      <w:lvlText w:val="(%1)"/>
      <w:numFmt w:val="lowerLetter"/>
      <w:start w:val="2"/>
    </w:lvl>
  </w:abstractNum>
  <w:abstractNum w:abstractNumId="81">
    <w:nsid w:val="3FCFAED9"/>
    <w:multiLevelType w:val="hybridMultilevel"/>
    <w:lvl w:ilvl="0">
      <w:lvlJc w:val="left"/>
      <w:lvlText w:val="(%1)"/>
      <w:numFmt w:val="lowerLetter"/>
      <w:start w:val="1"/>
    </w:lvl>
  </w:abstractNum>
  <w:abstractNum w:abstractNumId="82">
    <w:nsid w:val="F8568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3">
    <w:nsid w:val="11B1CC33"/>
    <w:multiLevelType w:val="hybridMultilevel"/>
    <w:lvl w:ilvl="0">
      <w:lvlJc w:val="left"/>
      <w:lvlText w:val="(%1)"/>
      <w:numFmt w:val="lowerLetter"/>
      <w:start w:val="5"/>
    </w:lvl>
  </w:abstractNum>
  <w:abstractNum w:abstractNumId="84">
    <w:nsid w:val="2E22FBB7"/>
    <w:multiLevelType w:val="hybridMultilevel"/>
    <w:lvl w:ilvl="0">
      <w:lvlJc w:val="left"/>
      <w:lvlText w:val="(%1)"/>
      <w:numFmt w:val="lowerLetter"/>
      <w:start w:val="1"/>
    </w:lvl>
  </w:abstractNum>
  <w:abstractNum w:abstractNumId="85">
    <w:nsid w:val="29934699"/>
    <w:multiLevelType w:val="hybridMultilevel"/>
    <w:lvl w:ilvl="0">
      <w:lvlJc w:val="left"/>
      <w:lvlText w:val="(%1)"/>
      <w:numFmt w:val="lowerLetter"/>
      <w:start w:val="3"/>
    </w:lvl>
  </w:abstractNum>
  <w:abstractNum w:abstractNumId="86">
    <w:nsid w:val="77485850"/>
    <w:multiLevelType w:val="hybridMultilevel"/>
    <w:lvl w:ilvl="0">
      <w:lvlJc w:val="left"/>
      <w:lvlText w:val="(%1)"/>
      <w:numFmt w:val="lowerLetter"/>
      <w:start w:val="1"/>
    </w:lvl>
  </w:abstractNum>
  <w:abstractNum w:abstractNumId="87">
    <w:nsid w:val="744939A3"/>
    <w:multiLevelType w:val="hybridMultilevel"/>
    <w:lvl w:ilvl="0">
      <w:lvlJc w:val="left"/>
      <w:lvlText w:val="(%1)"/>
      <w:numFmt w:val="lowerLetter"/>
      <w:start w:val="35"/>
    </w:lvl>
    <w:lvl w:ilvl="1">
      <w:lvlJc w:val="left"/>
      <w:lvlText w:val="(%2)"/>
      <w:numFmt w:val="lowerLetter"/>
      <w:start w:val="3"/>
    </w:lvl>
  </w:abstractNum>
  <w:abstractNum w:abstractNumId="88">
    <w:nsid w:val="4FA0D2E3"/>
    <w:multiLevelType w:val="hybridMultilevel"/>
    <w:lvl w:ilvl="0">
      <w:lvlJc w:val="left"/>
      <w:lvlText w:val="(%1)"/>
      <w:numFmt w:val="lowerLetter"/>
      <w:start w:val="4"/>
    </w:lvl>
    <w:lvl w:ilvl="1">
      <w:lvlJc w:val="left"/>
      <w:lvlText w:val="(%2)"/>
      <w:numFmt w:val="lowerRoman"/>
      <w:start w:val="1"/>
    </w:lvl>
  </w:abstractNum>
  <w:abstractNum w:abstractNumId="89">
    <w:nsid w:val="6B1D2C14"/>
    <w:multiLevelType w:val="hybridMultilevel"/>
    <w:lvl w:ilvl="0">
      <w:lvlJc w:val="left"/>
      <w:lvlText w:val="(%1)"/>
      <w:numFmt w:val="lowerLetter"/>
      <w:start w:val="1"/>
    </w:lvl>
  </w:abstractNum>
  <w:abstractNum w:abstractNumId="90">
    <w:nsid w:val="68B867D3"/>
    <w:multiLevelType w:val="hybridMultilevel"/>
    <w:lvl w:ilvl="0">
      <w:lvlJc w:val="left"/>
      <w:lvlText w:val="(%1)"/>
      <w:numFmt w:val="lowerLetter"/>
      <w:start w:val="1"/>
    </w:lvl>
    <w:lvl w:ilvl="1">
      <w:lvlJc w:val="left"/>
      <w:lvlText w:val="(%2)"/>
      <w:numFmt w:val="lowerRoman"/>
      <w:start w:val="1"/>
    </w:lvl>
  </w:abstractNum>
  <w:abstractNum w:abstractNumId="91">
    <w:nsid w:val="3F7F5DD9"/>
    <w:multiLevelType w:val="hybridMultilevel"/>
    <w:lvl w:ilvl="0">
      <w:lvlJc w:val="left"/>
      <w:lvlText w:val="(%1)"/>
      <w:numFmt w:val="lowerLetter"/>
      <w:start w:val="2"/>
    </w:lvl>
  </w:abstractNum>
  <w:abstractNum w:abstractNumId="92">
    <w:nsid w:val="2AE05A34"/>
    <w:multiLevelType w:val="hybridMultilevel"/>
    <w:lvl w:ilvl="0">
      <w:lvlJc w:val="left"/>
      <w:lvlText w:val="(%1)"/>
      <w:numFmt w:val="lowerLetter"/>
      <w:start w:val="1"/>
    </w:lvl>
  </w:abstractNum>
  <w:abstractNum w:abstractNumId="93">
    <w:nsid w:val="32794FF7"/>
    <w:multiLevelType w:val="hybridMultilevel"/>
    <w:lvl w:ilvl="0">
      <w:lvlJc w:val="left"/>
      <w:lvlText w:val="(%1)"/>
      <w:numFmt w:val="lowerLetter"/>
      <w:start w:val="4"/>
    </w:lvl>
  </w:abstractNum>
  <w:abstractNum w:abstractNumId="94">
    <w:nsid w:val="5454945E"/>
    <w:multiLevelType w:val="hybridMultilevel"/>
    <w:lvl w:ilvl="0">
      <w:lvlJc w:val="left"/>
      <w:lvlText w:val="(%1)"/>
      <w:numFmt w:val="lowerLetter"/>
      <w:start w:val="6"/>
    </w:lvl>
  </w:abstractNum>
  <w:abstractNum w:abstractNumId="95">
    <w:nsid w:val="4DEFDFA0"/>
    <w:multiLevelType w:val="hybridMultilevel"/>
    <w:lvl w:ilvl="0">
      <w:lvlJc w:val="left"/>
      <w:lvlText w:val="(%1)"/>
      <w:numFmt w:val="lowerLetter"/>
      <w:start w:val="1"/>
    </w:lvl>
  </w:abstractNum>
  <w:abstractNum w:abstractNumId="96">
    <w:nsid w:val="2123D5F2"/>
    <w:multiLevelType w:val="hybridMultilevel"/>
    <w:lvl w:ilvl="0">
      <w:lvlJc w:val="left"/>
      <w:lvlText w:val="(%1)"/>
      <w:numFmt w:val="lowerRoman"/>
      <w:start w:val="1"/>
    </w:lvl>
  </w:abstractNum>
  <w:abstractNum w:abstractNumId="97">
    <w:nsid w:val="135B8110"/>
    <w:multiLevelType w:val="hybridMultilevel"/>
    <w:lvl w:ilvl="0">
      <w:lvlJc w:val="left"/>
      <w:lvlText w:val="(%1)"/>
      <w:numFmt w:val="lowerRoman"/>
      <w:start w:val="2"/>
    </w:lvl>
  </w:abstractNum>
  <w:abstractNum w:abstractNumId="98">
    <w:nsid w:val="94927A8"/>
    <w:multiLevelType w:val="hybridMultilevel"/>
    <w:lvl w:ilvl="0">
      <w:lvlJc w:val="left"/>
      <w:lvlText w:val="(%1)"/>
      <w:numFmt w:val="lowerLetter"/>
      <w:start w:val="3"/>
    </w:lvl>
  </w:abstractNum>
  <w:abstractNum w:abstractNumId="99">
    <w:nsid w:val="DCDF8F6"/>
    <w:multiLevelType w:val="hybridMultilevel"/>
    <w:lvl w:ilvl="0">
      <w:lvlJc w:val="left"/>
      <w:lvlText w:val="(%1)"/>
      <w:numFmt w:val="lowerLetter"/>
      <w:start w:val="1"/>
    </w:lvl>
  </w:abstractNum>
  <w:abstractNum w:abstractNumId="100">
    <w:nsid w:val="52D7B105"/>
    <w:multiLevelType w:val="hybridMultilevel"/>
    <w:lvl w:ilvl="0">
      <w:lvlJc w:val="left"/>
      <w:lvlText w:val="(%1)"/>
      <w:numFmt w:val="lowerLetter"/>
      <w:start w:val="1"/>
    </w:lvl>
  </w:abstractNum>
  <w:abstractNum w:abstractNumId="101">
    <w:nsid w:val="2E8A6394"/>
    <w:multiLevelType w:val="hybridMultilevel"/>
    <w:lvl w:ilvl="0">
      <w:lvlJc w:val="left"/>
      <w:lvlText w:val="(%1)"/>
      <w:numFmt w:val="lowerLetter"/>
      <w:start w:val="1"/>
    </w:lvl>
  </w:abstractNum>
  <w:abstractNum w:abstractNumId="102">
    <w:nsid w:val="24E60401"/>
    <w:multiLevelType w:val="hybridMultilevel"/>
    <w:lvl w:ilvl="0">
      <w:lvlJc w:val="left"/>
      <w:lvlText w:val="(%1)"/>
      <w:numFmt w:val="lowerLetter"/>
      <w:start w:val="2"/>
    </w:lvl>
  </w:abstractNum>
  <w:abstractNum w:abstractNumId="103">
    <w:nsid w:val="2A6AD9BE"/>
    <w:multiLevelType w:val="hybridMultilevel"/>
    <w:lvl w:ilvl="0">
      <w:lvlJc w:val="left"/>
      <w:lvlText w:val="%1"/>
      <w:numFmt w:val="lowerLetter"/>
      <w:start w:val="1"/>
    </w:lvl>
    <w:lvl w:ilvl="1">
      <w:lvlJc w:val="left"/>
      <w:lvlText w:val="(%2)"/>
      <w:numFmt w:val="lowerLetter"/>
      <w:start w:val="1"/>
    </w:lvl>
  </w:abstractNum>
  <w:abstractNum w:abstractNumId="104">
    <w:nsid w:val="BAAC1B4"/>
    <w:multiLevelType w:val="hybridMultilevel"/>
    <w:lvl w:ilvl="0">
      <w:lvlJc w:val="left"/>
      <w:lvlText w:val="(%1)"/>
      <w:numFmt w:val="lowerLetter"/>
      <w:start w:val="35"/>
    </w:lvl>
    <w:lvl w:ilvl="1">
      <w:lvlJc w:val="left"/>
      <w:lvlText w:val="%2"/>
      <w:numFmt w:val="lowerLetter"/>
      <w:start w:val="1"/>
    </w:lvl>
  </w:abstractNum>
  <w:abstractNum w:abstractNumId="105">
    <w:nsid w:val="36B2ACBC"/>
    <w:multiLevelType w:val="hybridMultilevel"/>
    <w:lvl w:ilvl="0">
      <w:lvlJc w:val="left"/>
      <w:lvlText w:val="(%1)"/>
      <w:numFmt w:val="lowerLetter"/>
      <w:start w:val="1"/>
    </w:lvl>
  </w:abstractNum>
  <w:abstractNum w:abstractNumId="106">
    <w:nsid w:val="779D8544"/>
    <w:multiLevelType w:val="hybridMultilevel"/>
    <w:lvl w:ilvl="0">
      <w:lvlJc w:val="left"/>
      <w:lvlText w:val="(%1)"/>
      <w:numFmt w:val="lowerLetter"/>
      <w:start w:val="2"/>
    </w:lvl>
  </w:abstractNum>
  <w:abstractNum w:abstractNumId="107">
    <w:nsid w:val="4AB26E78"/>
    <w:multiLevelType w:val="hybridMultilevel"/>
    <w:lvl w:ilvl="0">
      <w:lvlJc w:val="left"/>
      <w:lvlText w:val="(%1)"/>
      <w:numFmt w:val="lowerLetter"/>
      <w:start w:val="1"/>
    </w:lvl>
    <w:lvl w:ilvl="1">
      <w:lvlJc w:val="left"/>
      <w:lvlText w:val="(%2)"/>
      <w:numFmt w:val="lowerRoman"/>
      <w:start w:val="1"/>
    </w:lvl>
  </w:abstractNum>
  <w:abstractNum w:abstractNumId="108">
    <w:nsid w:val="21FAA2FA"/>
    <w:multiLevelType w:val="hybridMultilevel"/>
    <w:lvl w:ilvl="0">
      <w:lvlJc w:val="left"/>
      <w:lvlText w:val="(%1)"/>
      <w:numFmt w:val="lowerLetter"/>
      <w:start w:val="3"/>
    </w:lvl>
  </w:abstractNum>
  <w:abstractNum w:abstractNumId="109">
    <w:nsid w:val="5451CF49"/>
    <w:multiLevelType w:val="hybridMultilevel"/>
    <w:lvl w:ilvl="0">
      <w:lvlJc w:val="left"/>
      <w:lvlText w:val="(%1)"/>
      <w:numFmt w:val="lowerLetter"/>
      <w:start w:val="1"/>
    </w:lvl>
  </w:abstractNum>
  <w:abstractNum w:abstractNumId="110">
    <w:nsid w:val="6181EF69"/>
    <w:multiLevelType w:val="hybridMultilevel"/>
    <w:lvl w:ilvl="0">
      <w:lvlJc w:val="left"/>
      <w:lvlText w:val="(%1)"/>
      <w:numFmt w:val="lowerLetter"/>
      <w:start w:val="1"/>
    </w:lvl>
  </w:abstractNum>
  <w:abstractNum w:abstractNumId="111">
    <w:nsid w:val="3E6400E6"/>
    <w:multiLevelType w:val="hybridMultilevel"/>
    <w:lvl w:ilvl="0">
      <w:lvlJc w:val="left"/>
      <w:lvlText w:val="(%1)"/>
      <w:numFmt w:val="lowerLetter"/>
      <w:start w:val="1"/>
    </w:lvl>
  </w:abstractNum>
  <w:abstractNum w:abstractNumId="112">
    <w:nsid w:val="14217E23"/>
    <w:multiLevelType w:val="hybridMultilevel"/>
    <w:lvl w:ilvl="0">
      <w:lvlJc w:val="left"/>
      <w:lvlText w:val="(%1)"/>
      <w:numFmt w:val="lowerLetter"/>
      <w:start w:val="4"/>
    </w:lvl>
  </w:abstractNum>
  <w:abstractNum w:abstractNumId="113">
    <w:nsid w:val="710757D0"/>
    <w:multiLevelType w:val="hybridMultilevel"/>
    <w:lvl w:ilvl="0">
      <w:lvlJc w:val="left"/>
      <w:lvlText w:val="(%1)"/>
      <w:numFmt w:val="lowerLetter"/>
      <w:start w:val="5"/>
    </w:lvl>
  </w:abstractNum>
  <w:abstractNum w:abstractNumId="114">
    <w:nsid w:val="5015CD1A"/>
    <w:multiLevelType w:val="hybridMultilevel"/>
    <w:lvl w:ilvl="0">
      <w:lvlJc w:val="left"/>
      <w:lvlText w:val="(%1)"/>
      <w:numFmt w:val="lowerLetter"/>
      <w:start w:val="1"/>
    </w:lvl>
  </w:abstractNum>
  <w:abstractNum w:abstractNumId="115">
    <w:nsid w:val="424479DA"/>
    <w:multiLevelType w:val="hybridMultilevel"/>
    <w:lvl w:ilvl="0">
      <w:lvlJc w:val="left"/>
      <w:lvlText w:val="(%1)"/>
      <w:numFmt w:val="lowerLetter"/>
      <w:start w:val="1"/>
    </w:lvl>
  </w:abstractNum>
  <w:abstractNum w:abstractNumId="116">
    <w:nsid w:val="1A9A9E69"/>
    <w:multiLevelType w:val="hybridMultilevel"/>
    <w:lvl w:ilvl="0">
      <w:lvlJc w:val="left"/>
      <w:lvlText w:val="(%1)"/>
      <w:numFmt w:val="lowerLetter"/>
      <w:start w:val="2"/>
    </w:lvl>
  </w:abstractNum>
  <w:abstractNum w:abstractNumId="117">
    <w:nsid w:val="475E256A"/>
    <w:multiLevelType w:val="hybridMultilevel"/>
    <w:lvl w:ilvl="0">
      <w:lvlJc w:val="left"/>
      <w:lvlText w:val="(%1)"/>
      <w:numFmt w:val="lowerLetter"/>
      <w:start w:val="1"/>
    </w:lvl>
  </w:abstractNum>
  <w:abstractNum w:abstractNumId="118">
    <w:nsid w:val="368DB37E"/>
    <w:multiLevelType w:val="hybridMultilevel"/>
    <w:lvl w:ilvl="0">
      <w:lvlJc w:val="left"/>
      <w:lvlText w:val="(%1)"/>
      <w:numFmt w:val="lowerLetter"/>
      <w:start w:val="1"/>
    </w:lvl>
  </w:abstractNum>
  <w:abstractNum w:abstractNumId="119">
    <w:nsid w:val="6A3B714C"/>
    <w:multiLevelType w:val="hybridMultilevel"/>
    <w:lvl w:ilvl="0">
      <w:lvlJc w:val="left"/>
      <w:lvlText w:val="(%1)"/>
      <w:numFmt w:val="lowerRoman"/>
      <w:start w:val="1"/>
    </w:lvl>
  </w:abstractNum>
  <w:abstractNum w:abstractNumId="120">
    <w:nsid w:val="327B517E"/>
    <w:multiLevelType w:val="hybridMultilevel"/>
    <w:lvl w:ilvl="0">
      <w:lvlJc w:val="left"/>
      <w:lvlText w:val="(%1)"/>
      <w:numFmt w:val="lowerLetter"/>
      <w:start w:val="3"/>
    </w:lvl>
  </w:abstractNum>
  <w:abstractNum w:abstractNumId="121">
    <w:nsid w:val="1F461B51"/>
    <w:multiLevelType w:val="hybridMultilevel"/>
    <w:lvl w:ilvl="0">
      <w:lvlJc w:val="left"/>
      <w:lvlText w:val="(%1)"/>
      <w:numFmt w:val="lowerLetter"/>
      <w:start w:val="4"/>
    </w:lvl>
  </w:abstractNum>
  <w:abstractNum w:abstractNumId="122">
    <w:nsid w:val="29BACF25"/>
    <w:multiLevelType w:val="hybridMultilevel"/>
    <w:lvl w:ilvl="0">
      <w:lvlJc w:val="left"/>
      <w:lvlText w:val="(%1)"/>
      <w:numFmt w:val="lowerLetter"/>
      <w:start w:val="1"/>
    </w:lvl>
  </w:abstractNum>
  <w:abstractNum w:abstractNumId="123">
    <w:nsid w:val="5D5BABB3"/>
    <w:multiLevelType w:val="hybridMultilevel"/>
    <w:lvl w:ilvl="0">
      <w:lvlJc w:val="left"/>
      <w:lvlText w:val="(%1)"/>
      <w:numFmt w:val="lowerLetter"/>
      <w:start w:val="4"/>
    </w:lvl>
  </w:abstractNum>
  <w:abstractNum w:abstractNumId="124">
    <w:nsid w:val="51BF6B48"/>
    <w:multiLevelType w:val="hybridMultilevel"/>
    <w:lvl w:ilvl="0">
      <w:lvlJc w:val="left"/>
      <w:lvlText w:val="%1"/>
      <w:numFmt w:val="lowerLetter"/>
      <w:start w:val="1"/>
    </w:lvl>
    <w:lvl w:ilvl="1">
      <w:lvlJc w:val="left"/>
      <w:lvlText w:val="(%2)"/>
      <w:numFmt w:val="lowerRoman"/>
      <w:start w:val="1"/>
    </w:lvl>
  </w:abstractNum>
  <w:abstractNum w:abstractNumId="125">
    <w:nsid w:val="7E0F6384"/>
    <w:multiLevelType w:val="hybridMultilevel"/>
    <w:lvl w:ilvl="0">
      <w:lvlJc w:val="left"/>
      <w:lvlText w:val="(%1)"/>
      <w:numFmt w:val="lowerLetter"/>
      <w:start w:val="6"/>
    </w:lvl>
    <w:lvl w:ilvl="1">
      <w:lvlJc w:val="left"/>
      <w:lvlText w:val="%2"/>
      <w:numFmt w:val="lowerRoman"/>
      <w:start w:val="1"/>
    </w:lvl>
  </w:abstractNum>
  <w:abstractNum w:abstractNumId="126">
    <w:nsid w:val="2B4B8B53"/>
    <w:multiLevelType w:val="hybridMultilevel"/>
    <w:lvl w:ilvl="0">
      <w:lvlJc w:val="left"/>
      <w:lvlText w:val="(%1)"/>
      <w:numFmt w:val="lowerLetter"/>
      <w:start w:val="1"/>
    </w:lvl>
    <w:lvl w:ilvl="1">
      <w:lvlJc w:val="left"/>
      <w:lvlText w:val="(%2)"/>
      <w:numFmt w:val="lowerRoman"/>
      <w:start w:val="1"/>
    </w:lvl>
  </w:abstractNum>
  <w:abstractNum w:abstractNumId="127">
    <w:nsid w:val="72E3413A"/>
    <w:multiLevelType w:val="hybridMultilevel"/>
    <w:lvl w:ilvl="0">
      <w:lvlJc w:val="left"/>
      <w:lvlText w:val="(%1)"/>
      <w:numFmt w:val="lowerLetter"/>
      <w:start w:val="1"/>
    </w:lvl>
  </w:abstractNum>
  <w:abstractNum w:abstractNumId="128">
    <w:nsid w:val="116AE494"/>
    <w:multiLevelType w:val="hybridMultilevel"/>
    <w:lvl w:ilvl="0">
      <w:lvlJc w:val="left"/>
      <w:lvlText w:val="(%1)"/>
      <w:numFmt w:val="lowerLetter"/>
      <w:start w:val="2"/>
    </w:lvl>
    <w:lvl w:ilvl="1">
      <w:lvlJc w:val="left"/>
      <w:lvlText w:val="(%2)"/>
      <w:numFmt w:val="lowerRoman"/>
      <w:start w:val="1"/>
    </w:lvl>
  </w:abstractNum>
  <w:abstractNum w:abstractNumId="129">
    <w:nsid w:val="3494B2FB"/>
    <w:multiLevelType w:val="hybridMultilevel"/>
    <w:lvl w:ilvl="0">
      <w:lvlJc w:val="left"/>
      <w:lvlText w:val="(%1)"/>
      <w:numFmt w:val="lowerLetter"/>
      <w:start w:val="1"/>
    </w:lvl>
  </w:abstractNum>
  <w:abstractNum w:abstractNumId="130">
    <w:nsid w:val="B13A31"/>
    <w:multiLevelType w:val="hybridMultilevel"/>
    <w:lvl w:ilvl="0">
      <w:lvlJc w:val="left"/>
      <w:lvlText w:val="(%1)"/>
      <w:numFmt w:val="lowerLetter"/>
      <w:start w:val="1"/>
    </w:lvl>
  </w:abstractNum>
  <w:abstractNum w:abstractNumId="131">
    <w:nsid w:val="64429599"/>
    <w:multiLevelType w:val="hybridMultilevel"/>
    <w:lvl w:ilvl="0">
      <w:lvlJc w:val="left"/>
      <w:lvlText w:val="(%1)"/>
      <w:numFmt w:val="lowerLetter"/>
      <w:start w:val="1"/>
    </w:lvl>
  </w:abstractNum>
  <w:abstractNum w:abstractNumId="132">
    <w:nsid w:val="631F1690"/>
    <w:multiLevelType w:val="hybridMultilevel"/>
    <w:lvl w:ilvl="0">
      <w:lvlJc w:val="left"/>
      <w:lvlText w:val="(%1)"/>
      <w:numFmt w:val="lowerLetter"/>
      <w:start w:val="1"/>
    </w:lvl>
    <w:lvl w:ilvl="1">
      <w:lvlJc w:val="left"/>
      <w:lvlText w:val="(%2)"/>
      <w:numFmt w:val="lowerRoman"/>
      <w:start w:val="1"/>
    </w:lvl>
  </w:abstractNum>
  <w:abstractNum w:abstractNumId="133">
    <w:nsid w:val="25973E32"/>
    <w:multiLevelType w:val="hybridMultilevel"/>
    <w:lvl w:ilvl="0">
      <w:lvlJc w:val="left"/>
      <w:lvlText w:val="%1"/>
      <w:numFmt w:val="lowerLetter"/>
      <w:start w:val="1"/>
    </w:lvl>
    <w:lvl w:ilvl="1">
      <w:lvlJc w:val="left"/>
      <w:lvlText w:val="(%2)"/>
      <w:numFmt w:val="lowerRoman"/>
      <w:start w:val="4"/>
    </w:lvl>
  </w:abstractNum>
  <w:abstractNum w:abstractNumId="134">
    <w:nsid w:val="EAD6F57"/>
    <w:multiLevelType w:val="hybridMultilevel"/>
    <w:lvl w:ilvl="0">
      <w:lvlJc w:val="left"/>
      <w:lvlText w:val="(%1)"/>
      <w:numFmt w:val="lowerLetter"/>
      <w:start w:val="2"/>
    </w:lvl>
    <w:lvl w:ilvl="1">
      <w:lvlJc w:val="left"/>
      <w:lvlText w:val="%2"/>
      <w:numFmt w:val="lowerRoman"/>
      <w:start w:val="1"/>
    </w:lvl>
  </w:abstractNum>
  <w:abstractNum w:abstractNumId="135">
    <w:nsid w:val="6EC9D844"/>
    <w:multiLevelType w:val="hybridMultilevel"/>
    <w:lvl w:ilvl="0">
      <w:lvlJc w:val="left"/>
      <w:lvlText w:val="(%1)"/>
      <w:numFmt w:val="lowerLetter"/>
      <w:start w:val="1"/>
    </w:lvl>
  </w:abstractNum>
  <w:abstractNum w:abstractNumId="136">
    <w:nsid w:val="5C49EAEE"/>
    <w:multiLevelType w:val="hybridMultilevel"/>
    <w:lvl w:ilvl="0">
      <w:lvlJc w:val="left"/>
      <w:lvlText w:val="(%1)"/>
      <w:numFmt w:val="lowerLetter"/>
      <w:start w:val="1"/>
    </w:lvl>
  </w:abstractNum>
  <w:abstractNum w:abstractNumId="137">
    <w:nsid w:val="64AF49B"/>
    <w:multiLevelType w:val="hybridMultilevel"/>
    <w:lvl w:ilvl="0">
      <w:lvlJc w:val="left"/>
      <w:lvlText w:val="(%1)"/>
      <w:numFmt w:val="lowerLetter"/>
      <w:start w:val="2"/>
    </w:lvl>
  </w:abstractNum>
  <w:abstractNum w:abstractNumId="138">
    <w:nsid w:val="397C46BC"/>
    <w:multiLevelType w:val="hybridMultilevel"/>
    <w:lvl w:ilvl="0">
      <w:lvlJc w:val="left"/>
      <w:lvlText w:val="(%1)"/>
      <w:numFmt w:val="lowerRoman"/>
      <w:start w:val="1"/>
    </w:lvl>
  </w:abstractNum>
  <w:abstractNum w:abstractNumId="139">
    <w:nsid w:val="7E448DE9"/>
    <w:multiLevelType w:val="hybridMultilevel"/>
    <w:lvl w:ilvl="0">
      <w:lvlJc w:val="left"/>
      <w:lvlText w:val="%1"/>
      <w:numFmt w:val="lowerLetter"/>
      <w:start w:val="1"/>
    </w:lvl>
    <w:lvl w:ilvl="1">
      <w:lvlJc w:val="left"/>
      <w:lvlText w:val="(%2)"/>
      <w:numFmt w:val="lowerLetter"/>
      <w:start w:val="35"/>
    </w:lvl>
  </w:abstractNum>
  <w:abstractNum w:abstractNumId="140">
    <w:nsid w:val="5A9CC3E5"/>
    <w:multiLevelType w:val="hybridMultilevel"/>
    <w:lvl w:ilvl="0">
      <w:lvlJc w:val="left"/>
      <w:lvlText w:val="(%1)"/>
      <w:numFmt w:val="lowerLetter"/>
      <w:start w:val="2"/>
    </w:lvl>
    <w:lvl w:ilvl="1">
      <w:lvlJc w:val="left"/>
      <w:lvlText w:val="(%2)"/>
      <w:numFmt w:val="lowerLetter"/>
      <w:start w:val="9"/>
    </w:lvl>
  </w:abstractNum>
  <w:abstractNum w:abstractNumId="141">
    <w:nsid w:val="1AFE3625"/>
    <w:multiLevelType w:val="hybridMultilevel"/>
    <w:lvl w:ilvl="0">
      <w:lvlJc w:val="left"/>
      <w:lvlText w:val="(%1)"/>
      <w:numFmt w:val="lowerRoman"/>
      <w:start w:val="2"/>
    </w:lvl>
  </w:abstractNum>
  <w:abstractNum w:abstractNumId="142">
    <w:nsid w:val="3CA88ECF"/>
    <w:multiLevelType w:val="hybridMultilevel"/>
    <w:lvl w:ilvl="0">
      <w:lvlJc w:val="left"/>
      <w:lvlText w:val="%1"/>
      <w:numFmt w:val="lowerLetter"/>
      <w:start w:val="1"/>
    </w:lvl>
    <w:lvl w:ilvl="1">
      <w:lvlJc w:val="left"/>
      <w:lvlText w:val="(%2)"/>
      <w:numFmt w:val="lowerRoman"/>
      <w:start w:val="6"/>
    </w:lvl>
  </w:abstractNum>
  <w:abstractNum w:abstractNumId="143">
    <w:nsid w:val="6EBE4208"/>
    <w:multiLevelType w:val="hybridMultilevel"/>
    <w:lvl w:ilvl="0">
      <w:lvlJc w:val="left"/>
      <w:lvlText w:val="(%1)"/>
      <w:numFmt w:val="lowerLetter"/>
      <w:start w:val="3"/>
    </w:lvl>
    <w:lvl w:ilvl="1">
      <w:lvlJc w:val="left"/>
      <w:lvlText w:val="(%2)"/>
      <w:numFmt w:val="lowerRoman"/>
      <w:start w:val="1"/>
    </w:lvl>
  </w:abstractNum>
  <w:abstractNum w:abstractNumId="144">
    <w:nsid w:val="C058DF5"/>
    <w:multiLevelType w:val="hybridMultilevel"/>
    <w:lvl w:ilvl="0">
      <w:lvlJc w:val="left"/>
      <w:lvlText w:val="(%1)"/>
      <w:numFmt w:val="lowerLetter"/>
      <w:start w:val="1"/>
    </w:lvl>
  </w:abstractNum>
  <w:abstractNum w:abstractNumId="145">
    <w:nsid w:val="CBE5BE9"/>
    <w:multiLevelType w:val="hybridMultilevel"/>
    <w:lvl w:ilvl="0">
      <w:lvlJc w:val="left"/>
      <w:lvlText w:val="(%1)"/>
      <w:numFmt w:val="lowerLetter"/>
      <w:start w:val="1"/>
    </w:lvl>
  </w:abstractNum>
  <w:abstractNum w:abstractNumId="146">
    <w:nsid w:val="3102BBE2"/>
    <w:multiLevelType w:val="hybridMultilevel"/>
    <w:lvl w:ilvl="0">
      <w:lvlJc w:val="left"/>
      <w:lvlText w:val="(%1)"/>
      <w:numFmt w:val="lowerLetter"/>
      <w:start w:val="4"/>
    </w:lvl>
  </w:abstractNum>
  <w:abstractNum w:abstractNumId="147">
    <w:nsid w:val="26A02C5E"/>
    <w:multiLevelType w:val="hybridMultilevel"/>
    <w:lvl w:ilvl="0">
      <w:lvlJc w:val="left"/>
      <w:lvlText w:val="(%1)"/>
      <w:numFmt w:val="lowerRoman"/>
      <w:start w:val="1"/>
    </w:lvl>
  </w:abstractNum>
  <w:abstractNum w:abstractNumId="148">
    <w:nsid w:val="541C8153"/>
    <w:multiLevelType w:val="hybridMultilevel"/>
    <w:lvl w:ilvl="0">
      <w:lvlJc w:val="left"/>
      <w:lvlText w:val="(%1)"/>
      <w:numFmt w:val="lowerLetter"/>
      <w:start w:val="1"/>
    </w:lvl>
  </w:abstractNum>
  <w:abstractNum w:abstractNumId="149">
    <w:nsid w:val="67906F60"/>
    <w:multiLevelType w:val="hybridMultilevel"/>
    <w:lvl w:ilvl="0">
      <w:lvlJc w:val="left"/>
      <w:lvlText w:val="(%1)"/>
      <w:numFmt w:val="lowerLetter"/>
      <w:start w:val="2"/>
    </w:lvl>
    <w:lvl w:ilvl="1">
      <w:lvlJc w:val="left"/>
      <w:lvlText w:val="(%2)"/>
      <w:numFmt w:val="lowerRoman"/>
      <w:start w:val="1"/>
    </w:lvl>
  </w:abstractNum>
  <w:abstractNum w:abstractNumId="150">
    <w:nsid w:val="10DB9DAA"/>
    <w:multiLevelType w:val="hybridMultilevel"/>
    <w:lvl w:ilvl="0">
      <w:lvlJc w:val="left"/>
      <w:lvlText w:val="(%1)"/>
      <w:numFmt w:val="lowerLetter"/>
      <w:start w:val="4"/>
    </w:lvl>
  </w:abstractNum>
  <w:abstractNum w:abstractNumId="151">
    <w:nsid w:val="697D2D2"/>
    <w:multiLevelType w:val="hybridMultilevel"/>
    <w:lvl w:ilvl="0">
      <w:lvlJc w:val="left"/>
      <w:lvlText w:val="(%1)"/>
      <w:numFmt w:val="lowerLetter"/>
      <w:start w:val="6"/>
    </w:lvl>
  </w:abstractNum>
  <w:abstractNum w:abstractNumId="152">
    <w:nsid w:val="6D68AB2"/>
    <w:multiLevelType w:val="hybridMultilevel"/>
    <w:lvl w:ilvl="0">
      <w:lvlJc w:val="left"/>
      <w:lvlText w:val="(%1)"/>
      <w:numFmt w:val="lowerLetter"/>
      <w:start w:val="1"/>
    </w:lvl>
  </w:abstractNum>
  <w:abstractNum w:abstractNumId="153">
    <w:nsid w:val="3A966CD0"/>
    <w:multiLevelType w:val="hybridMultilevel"/>
    <w:lvl w:ilvl="0">
      <w:lvlJc w:val="left"/>
      <w:lvlText w:val="(%1)"/>
      <w:numFmt w:val="lowerLetter"/>
      <w:start w:val="3"/>
    </w:lvl>
  </w:abstractNum>
  <w:abstractNum w:abstractNumId="154">
    <w:nsid w:val="63F37E85"/>
    <w:multiLevelType w:val="hybridMultilevel"/>
    <w:lvl w:ilvl="0">
      <w:lvlJc w:val="left"/>
      <w:lvlText w:val="(%1)"/>
      <w:numFmt w:val="lowerLetter"/>
      <w:start w:val="1"/>
    </w:lvl>
  </w:abstractNum>
  <w:abstractNum w:abstractNumId="155">
    <w:nsid w:val="5895F5FA"/>
    <w:multiLevelType w:val="hybridMultilevel"/>
    <w:lvl w:ilvl="0">
      <w:lvlJc w:val="left"/>
      <w:lvlText w:val="(%1)"/>
      <w:numFmt w:val="lowerLetter"/>
      <w:start w:val="1"/>
    </w:lvl>
  </w:abstractNum>
  <w:abstractNum w:abstractNumId="156">
    <w:nsid w:val="38A5D054"/>
    <w:multiLevelType w:val="hybridMultilevel"/>
    <w:lvl w:ilvl="0">
      <w:lvlJc w:val="left"/>
      <w:lvlText w:val="(%1)"/>
      <w:numFmt w:val="lowerLetter"/>
      <w:start w:val="2"/>
    </w:lvl>
  </w:abstractNum>
  <w:abstractNum w:abstractNumId="157">
    <w:nsid w:val="F3F09D8"/>
    <w:multiLevelType w:val="hybridMultilevel"/>
    <w:lvl w:ilvl="0">
      <w:lvlJc w:val="left"/>
      <w:lvlText w:val="(%1)"/>
      <w:numFmt w:val="lowerLetter"/>
      <w:start w:val="6"/>
    </w:lvl>
    <w:lvl w:ilvl="1">
      <w:lvlJc w:val="left"/>
      <w:lvlText w:val="(%2)"/>
      <w:numFmt w:val="lowerLetter"/>
      <w:start w:val="9"/>
    </w:lvl>
  </w:abstractNum>
  <w:abstractNum w:abstractNumId="158">
    <w:nsid w:val="4B793735"/>
    <w:multiLevelType w:val="hybridMultilevel"/>
    <w:lvl w:ilvl="0">
      <w:lvlJc w:val="left"/>
      <w:lvlText w:val="(%1)"/>
      <w:numFmt w:val="lowerLetter"/>
      <w:start w:val="9"/>
    </w:lvl>
  </w:abstractNum>
  <w:abstractNum w:abstractNumId="159">
    <w:nsid w:val="4A10B4E8"/>
    <w:multiLevelType w:val="hybridMultilevel"/>
    <w:lvl w:ilvl="0">
      <w:lvlJc w:val="left"/>
      <w:lvlText w:val="(%1)"/>
      <w:numFmt w:val="lowerLetter"/>
      <w:start w:val="15"/>
    </w:lvl>
  </w:abstractNum>
  <w:abstractNum w:abstractNumId="160">
    <w:nsid w:val="43D3BCD4"/>
    <w:multiLevelType w:val="hybridMultilevel"/>
    <w:lvl w:ilvl="0">
      <w:lvlJc w:val="left"/>
      <w:lvlText w:val="(%1)"/>
      <w:numFmt w:val="lowerLetter"/>
      <w:start w:val="24"/>
    </w:lvl>
  </w:abstractNum>
  <w:abstractNum w:abstractNumId="161">
    <w:nsid w:val="4C2A7166"/>
    <w:multiLevelType w:val="hybridMultilevel"/>
    <w:lvl w:ilvl="0">
      <w:lvlJc w:val="left"/>
      <w:lvlText w:val="(%1)"/>
      <w:numFmt w:val="lowerLetter"/>
      <w:start w:val="27"/>
    </w:lvl>
  </w:abstractNum>
  <w:abstractNum w:abstractNumId="162">
    <w:nsid w:val="2E534A82"/>
    <w:multiLevelType w:val="hybridMultilevel"/>
    <w:lvl w:ilvl="0">
      <w:lvlJc w:val="left"/>
      <w:lvlText w:val="(%1)"/>
      <w:numFmt w:val="lowerLetter"/>
      <w:start w:val="1"/>
    </w:lvl>
  </w:abstractNum>
  <w:abstractNum w:abstractNumId="163">
    <w:nsid w:val="26F2D364"/>
    <w:multiLevelType w:val="hybridMultilevel"/>
    <w:lvl w:ilvl="0">
      <w:lvlJc w:val="left"/>
      <w:lvlText w:val="(%1)"/>
      <w:numFmt w:val="lowerLetter"/>
      <w:start w:val="2"/>
    </w:lvl>
  </w:abstractNum>
  <w:abstractNum w:abstractNumId="164">
    <w:nsid w:val="71C1AF98"/>
    <w:multiLevelType w:val="hybridMultilevel"/>
    <w:lvl w:ilvl="0">
      <w:lvlJc w:val="left"/>
      <w:lvlText w:val="(%1)"/>
      <w:numFmt w:val="lowerLetter"/>
      <w:start w:val="4"/>
    </w:lvl>
  </w:abstractNum>
  <w:abstractNum w:abstractNumId="165">
    <w:nsid w:val="3D00B9D9"/>
    <w:multiLevelType w:val="hybridMultilevel"/>
    <w:lvl w:ilvl="0">
      <w:lvlJc w:val="left"/>
      <w:lvlText w:val="(%1)"/>
      <w:numFmt w:val="lowerLetter"/>
      <w:start w:val="5"/>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1"/>
    </w:lvl>
    <w:lvl w:ilvl="1">
      <w:lvlJc w:val="left"/>
      <w:lvlText w:val="(%2)"/>
      <w:numFmt w:val="lowerLetter"/>
      <w:start w:val="35"/>
    </w:lvl>
  </w:abstractNum>
  <w:abstractNum w:abstractNumId="168">
    <w:nsid w:val="434BAE75"/>
    <w:multiLevelType w:val="hybridMultilevel"/>
    <w:lvl w:ilvl="0">
      <w:lvlJc w:val="left"/>
      <w:lvlText w:val="(%1)"/>
      <w:numFmt w:val="lowerLetter"/>
      <w:start w:val="2"/>
    </w:lvl>
    <w:lvl w:ilvl="1">
      <w:lvlJc w:val="left"/>
      <w:lvlText w:val="%2"/>
      <w:numFmt w:val="lowerLetter"/>
      <w:start w:val="1"/>
    </w:lvl>
  </w:abstractNum>
  <w:abstractNum w:abstractNumId="169">
    <w:nsid w:val="4F38F265"/>
    <w:multiLevelType w:val="hybridMultilevel"/>
    <w:lvl w:ilvl="0">
      <w:lvlJc w:val="left"/>
      <w:lvlText w:val="(%1)"/>
      <w:numFmt w:val="lowerLetter"/>
      <w:start w:val="1"/>
    </w:lvl>
  </w:abstractNum>
  <w:abstractNum w:abstractNumId="170">
    <w:nsid w:val="4C502870"/>
    <w:multiLevelType w:val="hybridMultilevel"/>
    <w:lvl w:ilvl="0">
      <w:lvlJc w:val="left"/>
      <w:lvlText w:val="(%1)"/>
      <w:numFmt w:val="lowerLetter"/>
      <w:start w:val="2"/>
    </w:lvl>
  </w:abstractNum>
  <w:abstractNum w:abstractNumId="171">
    <w:nsid w:val="1DE8725A"/>
    <w:multiLevelType w:val="hybridMultilevel"/>
    <w:lvl w:ilvl="0">
      <w:lvlJc w:val="left"/>
      <w:lvlText w:val="(%1)"/>
      <w:numFmt w:val="lowerLetter"/>
      <w:start w:val="1"/>
    </w:lvl>
  </w:abstractNum>
  <w:abstractNum w:abstractNumId="172">
    <w:nsid w:val="6A37288A"/>
    <w:multiLevelType w:val="hybridMultilevel"/>
    <w:lvl w:ilvl="0">
      <w:lvlJc w:val="left"/>
      <w:lvlText w:val="(%1)"/>
      <w:numFmt w:val="lowerLetter"/>
      <w:start w:val="1"/>
    </w:lvl>
  </w:abstractNum>
  <w:abstractNum w:abstractNumId="173">
    <w:nsid w:val="8F8B73F"/>
    <w:multiLevelType w:val="hybridMultilevel"/>
    <w:lvl w:ilvl="0">
      <w:lvlJc w:val="left"/>
      <w:lvlText w:val="(%1)"/>
      <w:numFmt w:val="lowerLetter"/>
      <w:start w:val="3"/>
    </w:lvl>
  </w:abstractNum>
  <w:abstractNum w:abstractNumId="174">
    <w:nsid w:val="CA6B462"/>
    <w:multiLevelType w:val="hybridMultilevel"/>
    <w:lvl w:ilvl="0">
      <w:lvlJc w:val="left"/>
      <w:lvlText w:val="%1."/>
      <w:numFmt w:val="decimal"/>
      <w:start w:val="1"/>
    </w:lvl>
  </w:abstractNum>
  <w:abstractNum w:abstractNumId="175">
    <w:nsid w:val="763CB680"/>
    <w:multiLevelType w:val="hybridMultilevel"/>
    <w:lvl w:ilvl="0">
      <w:lvlJc w:val="left"/>
      <w:lvlText w:val="%1."/>
      <w:numFmt w:val="decimal"/>
      <w:start w:val="1"/>
    </w:lvl>
  </w:abstractNum>
  <w:abstractNum w:abstractNumId="176">
    <w:nsid w:val="15B71329"/>
    <w:multiLevelType w:val="hybridMultilevel"/>
    <w:lvl w:ilvl="0">
      <w:lvlJc w:val="left"/>
      <w:lvlText w:val="%1."/>
      <w:numFmt w:val="decimal"/>
      <w:start w:val="1"/>
    </w:lvl>
  </w:abstractNum>
  <w:abstractNum w:abstractNumId="177">
    <w:nsid w:val="3DA97044"/>
    <w:multiLevelType w:val="hybridMultilevel"/>
    <w:lvl w:ilvl="0">
      <w:lvlJc w:val="left"/>
      <w:lvlText w:val="(%1)"/>
      <w:numFmt w:val="lowerRoman"/>
      <w:start w:val="1"/>
    </w:lvl>
  </w:abstractNum>
  <w:abstractNum w:abstractNumId="178">
    <w:nsid w:val="1CDCE2DE"/>
    <w:multiLevelType w:val="hybridMultilevel"/>
    <w:lvl w:ilvl="0">
      <w:lvlJc w:val="left"/>
      <w:lvlText w:val="(%1)"/>
      <w:numFmt w:val="lowerRoman"/>
      <w:start w:val="4"/>
    </w:lvl>
  </w:abstractNum>
  <w:abstractNum w:abstractNumId="179">
    <w:nsid w:val="69D3947C"/>
    <w:multiLevelType w:val="hybridMultilevel"/>
    <w:lvl w:ilvl="0">
      <w:lvlJc w:val="left"/>
      <w:lvlText w:val="(%1)"/>
      <w:numFmt w:val="decimal"/>
      <w:start w:val="1"/>
    </w:lvl>
  </w:abstractNum>
  <w:abstractNum w:abstractNumId="180">
    <w:nsid w:val="2539DFA5"/>
    <w:multiLevelType w:val="hybridMultilevel"/>
    <w:lvl w:ilvl="0">
      <w:lvlJc w:val="left"/>
      <w:lvlText w:val="(%1)"/>
      <w:numFmt w:val="lowerRoman"/>
      <w:start w:val="1"/>
    </w:lvl>
  </w:abstractNum>
  <w:abstractNum w:abstractNumId="181">
    <w:nsid w:val="2DB88089"/>
    <w:multiLevelType w:val="hybridMultilevel"/>
    <w:lvl w:ilvl="0">
      <w:lvlJc w:val="left"/>
      <w:lvlText w:val="(%1)"/>
      <w:numFmt w:val="lowerLetter"/>
      <w:start w:val="1"/>
    </w:lvl>
  </w:abstractNum>
  <w:abstractNum w:abstractNumId="182">
    <w:nsid w:val="706B674E"/>
    <w:multiLevelType w:val="hybridMultilevel"/>
    <w:lvl w:ilvl="0">
      <w:lvlJc w:val="left"/>
      <w:lvlText w:val="(%1)"/>
      <w:numFmt w:val="decimal"/>
      <w:start w:val="1"/>
    </w:lvl>
  </w:abstractNum>
  <w:abstractNum w:abstractNumId="183">
    <w:nsid w:val="2C106A57"/>
    <w:multiLevelType w:val="hybridMultilevel"/>
    <w:lvl w:ilvl="0">
      <w:lvlJc w:val="left"/>
      <w:lvlText w:val="(%1)"/>
      <w:numFmt w:val="decimal"/>
      <w:start w:val="6"/>
    </w:lvl>
  </w:abstractNum>
  <w:abstractNum w:abstractNumId="184">
    <w:nsid w:val="684EED59"/>
    <w:multiLevelType w:val="hybridMultilevel"/>
    <w:lvl w:ilvl="0">
      <w:lvlJc w:val="left"/>
      <w:lvlText w:val="(%1)"/>
      <w:numFmt w:val="lowerLetter"/>
      <w:start w:val="1"/>
    </w:lvl>
  </w:abstractNum>
  <w:abstractNum w:abstractNumId="185">
    <w:nsid w:val="545EE5D3"/>
    <w:multiLevelType w:val="hybridMultilevel"/>
    <w:lvl w:ilvl="0">
      <w:lvlJc w:val="left"/>
      <w:lvlText w:val="(%1)"/>
      <w:numFmt w:val="lowerRoman"/>
      <w:start w:val="1"/>
    </w:lvl>
  </w:abstractNum>
  <w:abstractNum w:abstractNumId="186">
    <w:nsid w:val="4A66051"/>
    <w:multiLevelType w:val="hybridMultilevel"/>
    <w:lvl w:ilvl="0">
      <w:lvlJc w:val="left"/>
      <w:lvlText w:val="(%1)"/>
      <w:numFmt w:val="lowerLetter"/>
      <w:start w:val="3"/>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lowerLetter"/>
      <w:start w:val="1"/>
    </w:lvl>
  </w:abstractNum>
  <w:abstractNum w:abstractNumId="189">
    <w:nsid w:val="501F9786"/>
    <w:multiLevelType w:val="hybridMultilevel"/>
    <w:lvl w:ilvl="0">
      <w:lvlJc w:val="left"/>
      <w:lvlText w:val="(%1)"/>
      <w:numFmt w:val="lowerLetter"/>
      <w:start w:val="2"/>
    </w:lvl>
  </w:abstractNum>
  <w:abstractNum w:abstractNumId="190">
    <w:nsid w:val="6B057295"/>
    <w:multiLevelType w:val="hybridMultilevel"/>
    <w:lvl w:ilvl="0">
      <w:lvlJc w:val="left"/>
      <w:lvlText w:val="(%1)"/>
      <w:numFmt w:val="lowerRoman"/>
      <w:start w:val="1"/>
    </w:lvl>
  </w:abstractNum>
  <w:abstractNum w:abstractNumId="191">
    <w:nsid w:val="2771AC80"/>
    <w:multiLevelType w:val="hybridMultilevel"/>
    <w:lvl w:ilvl="0">
      <w:lvlJc w:val="left"/>
      <w:lvlText w:val="(%1)"/>
      <w:numFmt w:val="lowerLetter"/>
      <w:start w:val="1"/>
    </w:lvl>
  </w:abstractNum>
  <w:abstractNum w:abstractNumId="192">
    <w:nsid w:val="1C4A08EC"/>
    <w:multiLevelType w:val="hybridMultilevel"/>
    <w:lvl w:ilvl="0">
      <w:lvlJc w:val="left"/>
      <w:lvlText w:val="(%1)"/>
      <w:numFmt w:val="lowerRoman"/>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lowerLetter"/>
      <w:start w:val="1"/>
    </w:lvl>
  </w:abstractNum>
  <w:abstractNum w:abstractNumId="195">
    <w:nsid w:val="E0BB885"/>
    <w:multiLevelType w:val="hybridMultilevel"/>
    <w:lvl w:ilvl="0">
      <w:lvlJc w:val="left"/>
      <w:lvlText w:val="(%1)"/>
      <w:numFmt w:val="lowerLetter"/>
      <w:start w:val="2"/>
    </w:lvl>
  </w:abstractNum>
  <w:abstractNum w:abstractNumId="196">
    <w:nsid w:val="565976F1"/>
    <w:multiLevelType w:val="hybridMultilevel"/>
    <w:lvl w:ilvl="0">
      <w:lvlJc w:val="left"/>
      <w:lvlText w:val="(%1)"/>
      <w:numFmt w:val="lowerRoman"/>
      <w:start w:val="1"/>
    </w:lvl>
  </w:abstractNum>
  <w:abstractNum w:abstractNumId="197">
    <w:nsid w:val="64212B8C"/>
    <w:multiLevelType w:val="hybridMultilevel"/>
    <w:lvl w:ilvl="0">
      <w:lvlJc w:val="left"/>
      <w:lvlText w:val="(%1)"/>
      <w:numFmt w:val="lowerRoman"/>
      <w:start w:val="6"/>
    </w:lvl>
  </w:abstractNum>
  <w:abstractNum w:abstractNumId="198">
    <w:nsid w:val="5C17530C"/>
    <w:multiLevelType w:val="hybridMultilevel"/>
    <w:lvl w:ilvl="0">
      <w:lvlJc w:val="left"/>
      <w:lvlText w:val="(%1)"/>
      <w:numFmt w:val="lowerLetter"/>
      <w:start w:val="1"/>
    </w:lvl>
  </w:abstractNum>
  <w:abstractNum w:abstractNumId="199">
    <w:nsid w:val="19A52566"/>
    <w:multiLevelType w:val="hybridMultilevel"/>
    <w:lvl w:ilvl="0">
      <w:lvlJc w:val="left"/>
      <w:lvlText w:val="(%1)"/>
      <w:numFmt w:val="lowerLetter"/>
      <w:start w:val="1"/>
    </w:lvl>
  </w:abstractNum>
  <w:abstractNum w:abstractNumId="200">
    <w:nsid w:val="335A1DF1"/>
    <w:multiLevelType w:val="hybridMultilevel"/>
    <w:lvl w:ilvl="0">
      <w:lvlJc w:val="left"/>
      <w:lvlText w:val="(%1)"/>
      <w:numFmt w:val="lowerLetter"/>
      <w:start w:val="3"/>
    </w:lvl>
  </w:abstractNum>
  <w:abstractNum w:abstractNumId="201">
    <w:nsid w:val="28677B7C"/>
    <w:multiLevelType w:val="hybridMultilevel"/>
    <w:lvl w:ilvl="0">
      <w:lvlJc w:val="left"/>
      <w:lvlText w:val="(%1)"/>
      <w:numFmt w:val="lowerRoman"/>
      <w:start w:val="1"/>
    </w:lvl>
  </w:abstractNum>
  <w:abstractNum w:abstractNumId="202">
    <w:nsid w:val="378D97C0"/>
    <w:multiLevelType w:val="hybridMultilevel"/>
    <w:lvl w:ilvl="0">
      <w:lvlJc w:val="left"/>
      <w:lvlText w:val="(%1)"/>
      <w:numFmt w:val="lowerLetter"/>
      <w:start w:val="1"/>
    </w:lvl>
  </w:abstractNum>
  <w:abstractNum w:abstractNumId="203">
    <w:nsid w:val="1D91467C"/>
    <w:multiLevelType w:val="hybridMultilevel"/>
    <w:lvl w:ilvl="0">
      <w:lvlJc w:val="left"/>
      <w:lvlText w:val="(%1)"/>
      <w:numFmt w:val="lowerLetter"/>
      <w:start w:val="1"/>
    </w:lvl>
  </w:abstractNum>
  <w:abstractNum w:abstractNumId="204">
    <w:nsid w:val="316032BB"/>
    <w:multiLevelType w:val="hybridMultilevel"/>
    <w:lvl w:ilvl="0">
      <w:lvlJc w:val="left"/>
      <w:lvlText w:val="(%1)"/>
      <w:numFmt w:val="lowerLetter"/>
      <w:start w:val="3"/>
    </w:lvl>
  </w:abstractNum>
  <w:abstractNum w:abstractNumId="205">
    <w:nsid w:val="44344C22"/>
    <w:multiLevelType w:val="hybridMultilevel"/>
    <w:lvl w:ilvl="0">
      <w:lvlJc w:val="left"/>
      <w:lvlText w:val="(%1)"/>
      <w:numFmt w:val="lowerLetter"/>
      <w:start w:val="1"/>
    </w:lvl>
  </w:abstractNum>
  <w:abstractNum w:abstractNumId="206">
    <w:nsid w:val="13CDFCFC"/>
    <w:multiLevelType w:val="hybridMultilevel"/>
    <w:lvl w:ilvl="0">
      <w:lvlJc w:val="left"/>
      <w:lvlText w:val="(%1)"/>
      <w:numFmt w:val="lowerLetter"/>
      <w:start w:val="1"/>
    </w:lvl>
  </w:abstractNum>
  <w:abstractNum w:abstractNumId="207">
    <w:nsid w:val="471745E4"/>
    <w:multiLevelType w:val="hybridMultilevel"/>
    <w:lvl w:ilvl="0">
      <w:lvlJc w:val="left"/>
      <w:lvlText w:val="%1."/>
      <w:numFmt w:val="decimal"/>
      <w:start w:val="1"/>
    </w:lvl>
  </w:abstractNum>
  <w:abstractNum w:abstractNumId="208">
    <w:nsid w:val="1DDBC66"/>
    <w:multiLevelType w:val="hybridMultilevel"/>
    <w:lvl w:ilvl="0">
      <w:lvlJc w:val="left"/>
      <w:lvlText w:val="(%1)"/>
      <w:numFmt w:val="lowerLetter"/>
      <w:start w:val="2"/>
    </w:lvl>
  </w:abstractNum>
  <w:abstractNum w:abstractNumId="209">
    <w:nsid w:val="30AADFDA"/>
    <w:multiLevelType w:val="hybridMultilevel"/>
    <w:lvl w:ilvl="0">
      <w:lvlJc w:val="left"/>
      <w:lvlText w:val="(%1)"/>
      <w:numFmt w:val="lowerLetter"/>
      <w:start w:val="1"/>
    </w:lvl>
  </w:abstractNum>
  <w:abstractNum w:abstractNumId="210">
    <w:nsid w:val="30EADA61"/>
    <w:multiLevelType w:val="hybridMultilevel"/>
    <w:lvl w:ilvl="0">
      <w:lvlJc w:val="left"/>
      <w:lvlText w:val="(%1)"/>
      <w:numFmt w:val="lowerLetter"/>
      <w:start w:val="3"/>
    </w:lvl>
  </w:abstractNum>
  <w:abstractNum w:abstractNumId="211">
    <w:nsid w:val="27179C0B"/>
    <w:multiLevelType w:val="hybridMultilevel"/>
    <w:lvl w:ilvl="0">
      <w:lvlJc w:val="left"/>
      <w:lvlText w:val="(%1)"/>
      <w:numFmt w:val="lowerLetter"/>
      <w:start w:val="1"/>
    </w:lvl>
  </w:abstractNum>
  <w:abstractNum w:abstractNumId="212">
    <w:nsid w:val="5E636063"/>
    <w:multiLevelType w:val="hybridMultilevel"/>
    <w:lvl w:ilvl="0">
      <w:lvlJc w:val="left"/>
      <w:lvlText w:val="(%1)"/>
      <w:numFmt w:val="lowerLetter"/>
      <w:start w:val="7"/>
    </w:lvl>
  </w:abstractNum>
  <w:abstractNum w:abstractNumId="213">
    <w:nsid w:val="215641AF"/>
    <w:multiLevelType w:val="hybridMultilevel"/>
    <w:lvl w:ilvl="0">
      <w:lvlJc w:val="left"/>
      <w:lvlText w:val="(%1)"/>
      <w:numFmt w:val="lowerLetter"/>
      <w:start w:val="11"/>
    </w:lvl>
  </w:abstractNum>
  <w:abstractNum w:abstractNumId="214">
    <w:nsid w:val="53280662"/>
    <w:multiLevelType w:val="hybridMultilevel"/>
    <w:lvl w:ilvl="0">
      <w:lvlJc w:val="left"/>
      <w:lvlText w:val="(%1)"/>
      <w:numFmt w:val="lowerLetter"/>
      <w:start w:val="2"/>
    </w:lvl>
  </w:abstractNum>
  <w:abstractNum w:abstractNumId="215">
    <w:nsid w:val="46B24DBC"/>
    <w:multiLevelType w:val="hybridMultilevel"/>
    <w:lvl w:ilvl="0">
      <w:lvlJc w:val="left"/>
      <w:lvlText w:val="(%1)"/>
      <w:numFmt w:val="lowerLetter"/>
      <w:start w:val="1"/>
    </w:lvl>
  </w:abstractNum>
  <w:abstractNum w:abstractNumId="216">
    <w:nsid w:val="75B52783"/>
    <w:multiLevelType w:val="hybridMultilevel"/>
    <w:lvl w:ilvl="0">
      <w:lvlJc w:val="left"/>
      <w:lvlText w:val="(%1)"/>
      <w:numFmt w:val="lowerLetter"/>
      <w:start w:val="2"/>
    </w:lvl>
  </w:abstractNum>
  <w:abstractNum w:abstractNumId="217">
    <w:nsid w:val="57CE66B4"/>
    <w:multiLevelType w:val="hybridMultilevel"/>
    <w:lvl w:ilvl="0">
      <w:lvlJc w:val="left"/>
      <w:lvlText w:val="(%1)"/>
      <w:numFmt w:val="lowerLetter"/>
      <w:start w:val="1"/>
    </w:lvl>
  </w:abstractNum>
  <w:abstractNum w:abstractNumId="218">
    <w:nsid w:val="67A70B69"/>
    <w:multiLevelType w:val="hybridMultilevel"/>
    <w:lvl w:ilvl="0">
      <w:lvlJc w:val="left"/>
      <w:lvlText w:val="(%1)"/>
      <w:numFmt w:val="lowerLetter"/>
      <w:start w:val="6"/>
    </w:lvl>
  </w:abstractNum>
  <w:abstractNum w:abstractNumId="219">
    <w:nsid w:val="5953172F"/>
    <w:multiLevelType w:val="hybridMultilevel"/>
    <w:lvl w:ilvl="0">
      <w:lvlJc w:val="left"/>
      <w:lvlText w:val="(%1)"/>
      <w:numFmt w:val="lowerLetter"/>
      <w:start w:val="7"/>
    </w:lvl>
  </w:abstractNum>
  <w:abstractNum w:abstractNumId="220">
    <w:nsid w:val="27EDFE3A"/>
    <w:multiLevelType w:val="hybridMultilevel"/>
    <w:lvl w:ilvl="0">
      <w:lvlJc w:val="left"/>
      <w:lvlText w:val="(%1)"/>
      <w:numFmt w:val="lowerLetter"/>
      <w:start w:val="10"/>
    </w:lvl>
  </w:abstractNum>
  <w:abstractNum w:abstractNumId="221">
    <w:nsid w:val="52AC7DFF"/>
    <w:multiLevelType w:val="hybridMultilevel"/>
    <w:lvl w:ilvl="0">
      <w:lvlJc w:val="left"/>
      <w:lvlText w:val="(%1)"/>
      <w:numFmt w:val="lowerLetter"/>
      <w:start w:val="1"/>
    </w:lvl>
  </w:abstractNum>
  <w:abstractNum w:abstractNumId="222">
    <w:nsid w:val="C4C3AF"/>
    <w:multiLevelType w:val="hybridMultilevel"/>
    <w:lvl w:ilvl="0">
      <w:lvlJc w:val="left"/>
      <w:lvlText w:val="(%1)"/>
      <w:numFmt w:val="lowerLetter"/>
      <w:start w:val="1"/>
    </w:lvl>
  </w:abstractNum>
  <w:abstractNum w:abstractNumId="223">
    <w:nsid w:val="44380727"/>
    <w:multiLevelType w:val="hybridMultilevel"/>
    <w:lvl w:ilvl="0">
      <w:lvlJc w:val="left"/>
      <w:lvlText w:val="(%1)"/>
      <w:numFmt w:val="lowerLetter"/>
      <w:start w:val="2"/>
    </w:lvl>
  </w:abstractNum>
  <w:abstractNum w:abstractNumId="224">
    <w:nsid w:val="6C053B16"/>
    <w:multiLevelType w:val="hybridMultilevel"/>
    <w:lvl w:ilvl="0">
      <w:lvlJc w:val="left"/>
      <w:lvlText w:val="(%1)"/>
      <w:numFmt w:val="lowerLetter"/>
      <w:start w:val="1"/>
    </w:lvl>
  </w:abstractNum>
  <w:abstractNum w:abstractNumId="225">
    <w:nsid w:val="4F294393"/>
    <w:multiLevelType w:val="hybridMultilevel"/>
    <w:lvl w:ilvl="0">
      <w:lvlJc w:val="left"/>
      <w:lvlText w:val="(%1)"/>
      <w:numFmt w:val="lowerLetter"/>
      <w:start w:val="3"/>
    </w:lvl>
  </w:abstractNum>
  <w:abstractNum w:abstractNumId="226">
    <w:nsid w:val="5243BFAC"/>
    <w:multiLevelType w:val="hybridMultilevel"/>
    <w:lvl w:ilvl="0">
      <w:lvlJc w:val="left"/>
      <w:lvlText w:val="(%1)"/>
      <w:numFmt w:val="lowerLetter"/>
      <w:start w:val="7"/>
    </w:lvl>
  </w:abstractNum>
  <w:abstractNum w:abstractNumId="227">
    <w:nsid w:val="425EB207"/>
    <w:multiLevelType w:val="hybridMultilevel"/>
    <w:lvl w:ilvl="0">
      <w:lvlJc w:val="left"/>
      <w:lvlText w:val="(%1)"/>
      <w:numFmt w:val="lowerLetter"/>
      <w:start w:val="8"/>
    </w:lvl>
  </w:abstractNum>
  <w:abstractNum w:abstractNumId="228">
    <w:nsid w:val="334A6F1F"/>
    <w:multiLevelType w:val="hybridMultilevel"/>
    <w:lvl w:ilvl="0">
      <w:lvlJc w:val="left"/>
      <w:lvlText w:val="%1."/>
      <w:numFmt w:val="decimal"/>
      <w:start w:val="1"/>
    </w:lvl>
  </w:abstractNum>
  <w:abstractNum w:abstractNumId="229">
    <w:nsid w:val="2E5B12B8"/>
    <w:multiLevelType w:val="hybridMultilevel"/>
    <w:lvl w:ilvl="0">
      <w:lvlJc w:val="left"/>
      <w:lvlText w:val="o"/>
      <w:numFmt w:val="bullet"/>
      <w:start w:val="1"/>
    </w:lvl>
  </w:abstractNum>
  <w:abstractNum w:abstractNumId="230">
    <w:nsid w:val="5C03D76D"/>
    <w:multiLevelType w:val="hybridMultilevel"/>
    <w:lvl w:ilvl="0">
      <w:lvlJc w:val="left"/>
      <w:lvlText w:val="o"/>
      <w:numFmt w:val="bullet"/>
      <w:start w:val="1"/>
    </w:lvl>
  </w:abstractNum>
  <w:abstractNum w:abstractNumId="231">
    <w:nsid w:val="66A48D11"/>
    <w:multiLevelType w:val="hybridMultilevel"/>
    <w:lvl w:ilvl="0">
      <w:lvlJc w:val="left"/>
      <w:lvlText w:val="%1."/>
      <w:numFmt w:val="decimal"/>
      <w:start w:val="4"/>
    </w:lvl>
  </w:abstractNum>
  <w:abstractNum w:abstractNumId="232">
    <w:nsid w:val="56C28E34"/>
    <w:multiLevelType w:val="hybridMultilevel"/>
    <w:lvl w:ilvl="0">
      <w:lvlJc w:val="left"/>
      <w:lvlText w:val="%1."/>
      <w:numFmt w:val="decimal"/>
      <w:start w:val="5"/>
    </w:lvl>
  </w:abstractNum>
  <w:abstractNum w:abstractNumId="233">
    <w:nsid w:val="13916F2D"/>
    <w:multiLevelType w:val="hybridMultilevel"/>
    <w:lvl w:ilvl="0">
      <w:lvlJc w:val="left"/>
      <w:lvlText w:val="%1."/>
      <w:numFmt w:val="decimal"/>
      <w:start w:val="6"/>
    </w:lvl>
  </w:abstractNum>
  <w:abstractNum w:abstractNumId="234">
    <w:nsid w:val="435D38D"/>
    <w:multiLevelType w:val="hybridMultilevel"/>
    <w:lvl w:ilvl="0">
      <w:lvlJc w:val="left"/>
      <w:lvlText w:val="%1."/>
      <w:numFmt w:val="decimal"/>
      <w:start w:val="8"/>
    </w:lvl>
  </w:abstractNum>
  <w:abstractNum w:abstractNumId="235">
    <w:nsid w:val="822C0EF"/>
    <w:multiLevelType w:val="hybridMultilevel"/>
    <w:lvl w:ilvl="0">
      <w:lvlJc w:val="left"/>
      <w:lvlText w:val="%1"/>
      <w:numFmt w:val="decimal"/>
      <w:start w:val="1"/>
    </w:lvl>
    <w:lvl w:ilvl="1">
      <w:lvlJc w:val="left"/>
      <w:lvlText w:val="%2."/>
      <w:numFmt w:val="decimal"/>
      <w:start w:val="14"/>
    </w:lvl>
  </w:abstractNum>
  <w:abstractNum w:abstractNumId="236">
    <w:nsid w:val="57C5BB4F"/>
    <w:multiLevelType w:val="hybridMultilevel"/>
    <w:lvl w:ilvl="0">
      <w:lvlJc w:val="left"/>
      <w:lvlText w:val="(%1)"/>
      <w:numFmt w:val="decimal"/>
      <w:start w:val="7"/>
    </w:lvl>
    <w:lvl w:ilvl="1">
      <w:lvlJc w:val="left"/>
      <w:lvlText w:val="%2"/>
      <w:numFmt w:val="decimal"/>
      <w:start w:val="1"/>
    </w:lvl>
  </w:abstractNum>
  <w:abstractNum w:abstractNumId="237">
    <w:nsid w:val="1803D089"/>
    <w:multiLevelType w:val="hybridMultilevel"/>
    <w:lvl w:ilvl="0">
      <w:lvlJc w:val="left"/>
      <w:lvlText w:val="%1."/>
      <w:numFmt w:val="decimal"/>
      <w:start w:val="1"/>
    </w:lvl>
  </w:abstractNum>
  <w:abstractNum w:abstractNumId="238">
    <w:nsid w:val="4F3A06D4"/>
    <w:multiLevelType w:val="hybridMultilevel"/>
    <w:lvl w:ilvl="0">
      <w:lvlJc w:val="left"/>
      <w:lvlText w:val="%1."/>
      <w:numFmt w:val="decimal"/>
      <w:start w:val="7"/>
    </w:lvl>
    <w:lvl w:ilvl="1">
      <w:lvlJc w:val="left"/>
      <w:lvlText w:val="%2)"/>
      <w:numFmt w:val="lowerLetter"/>
      <w:start w:val="1"/>
    </w:lvl>
  </w:abstractNum>
  <w:abstractNum w:abstractNumId="239">
    <w:nsid w:val="59A377B6"/>
    <w:multiLevelType w:val="hybridMultilevel"/>
    <w:lvl w:ilvl="0">
      <w:lvlJc w:val="left"/>
      <w:lvlText w:val="%1."/>
      <w:numFmt w:val="decimal"/>
      <w:start w:val="9"/>
    </w:lvl>
    <w:lvl w:ilvl="1">
      <w:lvlJc w:val="left"/>
      <w:lvlText w:val="%2)"/>
      <w:numFmt w:val="lowerLetter"/>
      <w:start w:val="1"/>
    </w:lvl>
  </w:abstractNum>
  <w:abstractNum w:abstractNumId="240">
    <w:nsid w:val="48AEB063"/>
    <w:multiLevelType w:val="hybridMultilevel"/>
    <w:lvl w:ilvl="0">
      <w:lvlJc w:val="left"/>
      <w:lvlText w:val="%1."/>
      <w:numFmt w:val="decimal"/>
      <w:start w:val="1"/>
    </w:lvl>
    <w:lvl w:ilvl="1">
      <w:lvlJc w:val="left"/>
      <w:lvlText w:val="(%2)"/>
      <w:numFmt w:val="lowerLetter"/>
      <w:start w:val="1"/>
    </w:lvl>
  </w:abstractNum>
  <w:abstractNum w:abstractNumId="241">
    <w:nsid w:val="24E135"/>
    <w:multiLevelType w:val="hybridMultilevel"/>
    <w:lvl w:ilvl="0">
      <w:lvlJc w:val="left"/>
      <w:lvlText w:val="%1."/>
      <w:numFmt w:val="decimal"/>
      <w:start w:val="1"/>
    </w:lvl>
    <w:lvl w:ilvl="1">
      <w:lvlJc w:val="left"/>
      <w:lvlText w:val="(%2)"/>
      <w:numFmt w:val="lowerLetter"/>
      <w:start w:val="1"/>
    </w:lvl>
  </w:abstractNum>
  <w:abstractNum w:abstractNumId="242">
    <w:nsid w:val="BB13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png"/><Relationship Id="rId561" Type="http://schemas.openxmlformats.org/officeDocument/2006/relationships/image" Target="media/image545.png"/><Relationship Id="rId562" Type="http://schemas.openxmlformats.org/officeDocument/2006/relationships/image" Target="media/image546.png"/><Relationship Id="rId563" Type="http://schemas.openxmlformats.org/officeDocument/2006/relationships/image" Target="media/image547.png"/><Relationship Id="rId564" Type="http://schemas.openxmlformats.org/officeDocument/2006/relationships/image" Target="media/image548.png"/><Relationship Id="rId565" Type="http://schemas.openxmlformats.org/officeDocument/2006/relationships/image" Target="media/image549.png"/><Relationship Id="rId566" Type="http://schemas.openxmlformats.org/officeDocument/2006/relationships/image" Target="media/image550.png"/><Relationship Id="rId567" Type="http://schemas.openxmlformats.org/officeDocument/2006/relationships/image" Target="media/image551.png"/><Relationship Id="rId568" Type="http://schemas.openxmlformats.org/officeDocument/2006/relationships/image" Target="media/image552.png"/><Relationship Id="rId569" Type="http://schemas.openxmlformats.org/officeDocument/2006/relationships/image" Target="media/image553.png"/><Relationship Id="rId570"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png"/><Relationship Id="rId596" Type="http://schemas.openxmlformats.org/officeDocument/2006/relationships/image" Target="media/image580.png"/><Relationship Id="rId597" Type="http://schemas.openxmlformats.org/officeDocument/2006/relationships/image" Target="media/image581.pn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611" Type="http://schemas.openxmlformats.org/officeDocument/2006/relationships/image" Target="media/image595.png"/><Relationship Id="rId612" Type="http://schemas.openxmlformats.org/officeDocument/2006/relationships/image" Target="media/image596.png"/><Relationship Id="rId613" Type="http://schemas.openxmlformats.org/officeDocument/2006/relationships/image" Target="media/image597.png"/><Relationship Id="rId614" Type="http://schemas.openxmlformats.org/officeDocument/2006/relationships/image" Target="media/image598.png"/><Relationship Id="rId615" Type="http://schemas.openxmlformats.org/officeDocument/2006/relationships/image" Target="media/image599.png"/><Relationship Id="rId616" Type="http://schemas.openxmlformats.org/officeDocument/2006/relationships/image" Target="media/image600.png"/><Relationship Id="rId617" Type="http://schemas.openxmlformats.org/officeDocument/2006/relationships/image" Target="media/image601.png"/><Relationship Id="rId618" Type="http://schemas.openxmlformats.org/officeDocument/2006/relationships/image" Target="media/image602.png"/><Relationship Id="rId619" Type="http://schemas.openxmlformats.org/officeDocument/2006/relationships/image" Target="media/image603.png"/><Relationship Id="rId620" Type="http://schemas.openxmlformats.org/officeDocument/2006/relationships/image" Target="media/image604.png"/><Relationship Id="rId621" Type="http://schemas.openxmlformats.org/officeDocument/2006/relationships/image" Target="media/image605.png"/><Relationship Id="rId622" Type="http://schemas.openxmlformats.org/officeDocument/2006/relationships/image" Target="media/image606.png"/><Relationship Id="rId623" Type="http://schemas.openxmlformats.org/officeDocument/2006/relationships/image" Target="media/image607.png"/><Relationship Id="rId624" Type="http://schemas.openxmlformats.org/officeDocument/2006/relationships/image" Target="media/image608.png"/><Relationship Id="rId625" Type="http://schemas.openxmlformats.org/officeDocument/2006/relationships/image" Target="media/image609.png"/><Relationship Id="rId626" Type="http://schemas.openxmlformats.org/officeDocument/2006/relationships/image" Target="media/image610.png"/><Relationship Id="rId627" Type="http://schemas.openxmlformats.org/officeDocument/2006/relationships/image" Target="media/image611.png"/><Relationship Id="rId628" Type="http://schemas.openxmlformats.org/officeDocument/2006/relationships/image" Target="media/image612.png"/><Relationship Id="rId629" Type="http://schemas.openxmlformats.org/officeDocument/2006/relationships/image" Target="media/image613.png"/><Relationship Id="rId630" Type="http://schemas.openxmlformats.org/officeDocument/2006/relationships/image" Target="media/image614.png"/><Relationship Id="rId631" Type="http://schemas.openxmlformats.org/officeDocument/2006/relationships/image" Target="media/image615.png"/><Relationship Id="rId632" Type="http://schemas.openxmlformats.org/officeDocument/2006/relationships/image" Target="media/image616.png"/><Relationship Id="rId633" Type="http://schemas.openxmlformats.org/officeDocument/2006/relationships/image" Target="media/image617.png"/><Relationship Id="rId634" Type="http://schemas.openxmlformats.org/officeDocument/2006/relationships/image" Target="media/image618.png"/><Relationship Id="rId635" Type="http://schemas.openxmlformats.org/officeDocument/2006/relationships/image" Target="media/image619.png"/><Relationship Id="rId636"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661" Type="http://schemas.openxmlformats.org/officeDocument/2006/relationships/image" Target="media/image645.png"/><Relationship Id="rId662" Type="http://schemas.openxmlformats.org/officeDocument/2006/relationships/image" Target="media/image646.png"/><Relationship Id="rId663" Type="http://schemas.openxmlformats.org/officeDocument/2006/relationships/image" Target="media/image647.png"/><Relationship Id="rId664" Type="http://schemas.openxmlformats.org/officeDocument/2006/relationships/image" Target="media/image648.png"/><Relationship Id="rId665" Type="http://schemas.openxmlformats.org/officeDocument/2006/relationships/image" Target="media/image649.png"/><Relationship Id="rId666" Type="http://schemas.openxmlformats.org/officeDocument/2006/relationships/image" Target="media/image650.png"/><Relationship Id="rId269" Type="http://schemas.openxmlformats.org/officeDocument/2006/relationships/hyperlink" Target="https://www.sec.gov/Archives/edgar/data/0001861795/000119312521259499/d127783dex41.htm" TargetMode="External"/><Relationship Id="rId270" Type="http://schemas.openxmlformats.org/officeDocument/2006/relationships/hyperlink" Target="https://www.sec.gov/Archives/edgar/data/0001861795/000119312521295520/d225328dex101.htm" TargetMode="External"/><Relationship Id="rId271" Type="http://schemas.openxmlformats.org/officeDocument/2006/relationships/hyperlink" Target="https://www.sec.gov/Archives/edgar/data/0001861795/000119312521277423/d402153dex101.htm" TargetMode="External"/><Relationship Id="rId272" Type="http://schemas.openxmlformats.org/officeDocument/2006/relationships/hyperlink" Target="https://www.sec.gov/Archives/edgar/data/1861795/000119312521252899/d127783dex102.htm" TargetMode="External"/><Relationship Id="rId273" Type="http://schemas.openxmlformats.org/officeDocument/2006/relationships/hyperlink" Target="https://www.sec.gov/Archives/edgar/data/0001861795/000119312521252899/d127783dex104.htm" TargetMode="External"/><Relationship Id="rId274" Type="http://schemas.openxmlformats.org/officeDocument/2006/relationships/hyperlink" Target="https://www.sec.gov/Archives/edgar/data/0001861795/000119312521252899/d127783dex105.htm" TargetMode="External"/><Relationship Id="rId275" Type="http://schemas.openxmlformats.org/officeDocument/2006/relationships/hyperlink" Target="https://www.sec.gov/Archives/edgar/data/0001861795/000119312521252899/d127783dex106.htm" TargetMode="External"/><Relationship Id="rId276" Type="http://schemas.openxmlformats.org/officeDocument/2006/relationships/hyperlink" Target="https://www.sec.gov/Archives/edgar/data/0001861795/000119312521252899/d127783dex107.htm" TargetMode="External"/><Relationship Id="rId277" Type="http://schemas.openxmlformats.org/officeDocument/2006/relationships/hyperlink" Target="https://www.sec.gov/Archives/edgar/data/0001861795/000119312521266049/d127783d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2021-11-08T15:46:09Z</dcterms:created>
  <dcterms:modified xsi:type="dcterms:W3CDTF">2021-11-08T15:46:09Z</dcterms:modified>
</cp:coreProperties>
</file>