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4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ADVENT INTERNATIONAL</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CORP/MA</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Definitive Healthcare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09/17/2021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8" w:lineRule="exact"/>
        <w:rPr>
          <w:sz w:val="20"/>
          <w:szCs w:val="20"/>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ind w:left="120"/>
        <w:spacing w:after="0"/>
        <w:rPr>
          <w:sz w:val="20"/>
          <w:szCs w:val="20"/>
          <w:color w:val="auto"/>
        </w:rPr>
      </w:pPr>
      <w:r>
        <w:rPr>
          <w:rFonts w:ascii="Arial" w:cs="Arial" w:eastAsia="Arial" w:hAnsi="Arial"/>
          <w:sz w:val="17"/>
          <w:szCs w:val="17"/>
          <w:color w:val="0000FF"/>
        </w:rPr>
        <w:t>PRUDENTIAL TOWER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3900" w:type="dxa"/>
            <w:vAlign w:val="bottom"/>
            <w:tcBorders>
              <w:top w:val="single" w:sz="8" w:color="2C2C2C"/>
            </w:tcBorders>
            <w:gridSpan w:val="12"/>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tcBorders>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gridSpan w:val="4"/>
          </w:tcPr>
          <w:p>
            <w:pPr>
              <w:spacing w:after="0" w:line="134" w:lineRule="exact"/>
              <w:rPr>
                <w:sz w:val="20"/>
                <w:szCs w:val="20"/>
                <w:color w:val="auto"/>
              </w:rPr>
            </w:pPr>
            <w:r>
              <w:rPr>
                <w:rFonts w:ascii="Arial" w:cs="Arial" w:eastAsia="Arial" w:hAnsi="Arial"/>
                <w:sz w:val="13"/>
                <w:szCs w:val="13"/>
                <w:color w:val="auto"/>
              </w:rPr>
              <w:t>Line)</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9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10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gridSpan w:val="2"/>
            <w:vMerge w:val="restart"/>
          </w:tcPr>
          <w:p>
            <w:pPr>
              <w:ind w:left="480"/>
              <w:spacing w:after="0"/>
              <w:rPr>
                <w:sz w:val="20"/>
                <w:szCs w:val="20"/>
                <w:color w:val="auto"/>
              </w:rPr>
            </w:pPr>
            <w:r>
              <w:rPr>
                <w:rFonts w:ascii="Arial" w:cs="Arial" w:eastAsia="Arial" w:hAnsi="Arial"/>
                <w:sz w:val="17"/>
                <w:szCs w:val="17"/>
                <w:color w:val="0000FF"/>
                <w:w w:val="98"/>
              </w:rPr>
              <w:t>09/17/2021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D</w:t>
            </w:r>
          </w:p>
        </w:tc>
        <w:tc>
          <w:tcPr>
            <w:tcW w:w="400" w:type="dxa"/>
            <w:vAlign w:val="bottom"/>
          </w:tcPr>
          <w:p>
            <w:pPr>
              <w:spacing w:after="0"/>
              <w:rPr>
                <w:sz w:val="22"/>
                <w:szCs w:val="22"/>
                <w:color w:val="auto"/>
              </w:rPr>
            </w:pPr>
          </w:p>
        </w:tc>
        <w:tc>
          <w:tcPr>
            <w:tcW w:w="1000" w:type="dxa"/>
            <w:vAlign w:val="bottom"/>
            <w:vMerge w:val="restart"/>
          </w:tcPr>
          <w:p>
            <w:pPr>
              <w:ind w:left="80"/>
              <w:spacing w:after="0"/>
              <w:rPr>
                <w:sz w:val="20"/>
                <w:szCs w:val="20"/>
                <w:color w:val="auto"/>
              </w:rPr>
            </w:pPr>
            <w:r>
              <w:rPr>
                <w:rFonts w:ascii="Arial" w:cs="Arial" w:eastAsia="Arial" w:hAnsi="Arial"/>
                <w:sz w:val="17"/>
                <w:szCs w:val="17"/>
                <w:color w:val="0000FF"/>
                <w:w w:val="96"/>
              </w:rPr>
              <w:t>1,497,033</w:t>
            </w:r>
            <w:r>
              <w:rPr>
                <w:rFonts w:ascii="Arial" w:cs="Arial" w:eastAsia="Arial" w:hAnsi="Arial"/>
                <w:sz w:val="22"/>
                <w:szCs w:val="22"/>
                <w:color w:val="008000"/>
                <w:w w:val="96"/>
                <w:vertAlign w:val="superscript"/>
              </w:rPr>
              <w:t>(1)</w:t>
            </w:r>
          </w:p>
        </w:tc>
        <w:tc>
          <w:tcPr>
            <w:tcW w:w="80" w:type="dxa"/>
            <w:vAlign w:val="bottom"/>
          </w:tcPr>
          <w:p>
            <w:pPr>
              <w:spacing w:after="0"/>
              <w:rPr>
                <w:sz w:val="22"/>
                <w:szCs w:val="22"/>
                <w:color w:val="auto"/>
              </w:rPr>
            </w:pPr>
          </w:p>
        </w:tc>
        <w:tc>
          <w:tcPr>
            <w:tcW w:w="38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20" w:type="dxa"/>
            <w:vAlign w:val="bottom"/>
            <w:gridSpan w:val="3"/>
            <w:vMerge w:val="restart"/>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25.3125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0000FF"/>
                <w:w w:val="89"/>
              </w:rPr>
              <w:t>64,596,549</w:t>
            </w:r>
            <w:r>
              <w:rPr>
                <w:rFonts w:ascii="Arial" w:cs="Arial" w:eastAsia="Arial" w:hAnsi="Arial"/>
                <w:sz w:val="22"/>
                <w:szCs w:val="22"/>
                <w:color w:val="008000"/>
                <w:w w:val="89"/>
                <w:vertAlign w:val="superscript"/>
              </w:rPr>
              <w:t>(2)</w:t>
            </w:r>
          </w:p>
        </w:tc>
        <w:tc>
          <w:tcPr>
            <w:tcW w:w="340" w:type="dxa"/>
            <w:vAlign w:val="bottom"/>
          </w:tcPr>
          <w:p>
            <w:pPr>
              <w:spacing w:after="0"/>
              <w:rPr>
                <w:sz w:val="22"/>
                <w:szCs w:val="22"/>
                <w:color w:val="auto"/>
              </w:rPr>
            </w:pPr>
          </w:p>
        </w:tc>
        <w:tc>
          <w:tcPr>
            <w:tcW w:w="4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80" w:type="dxa"/>
            <w:vAlign w:val="bottom"/>
            <w:gridSpan w:val="22"/>
          </w:tcPr>
          <w:p>
            <w:pPr>
              <w:jc w:val="center"/>
              <w:ind w:righ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8"/>
          </w:tcPr>
          <w:p>
            <w:pPr>
              <w:jc w:val="center"/>
              <w:ind w:left="6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5"/>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ADVENT INTERNATIONAL CORP/MA</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5"/>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Advent International GPE IX-A SCSp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Advent International GPE IX-D SCSp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PRUDENTIAL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Advent International GPE IX-E SCSp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Advent International GPE IX Strategic</w:t>
        </w:r>
      </w:hyperlink>
    </w:p>
    <w:p>
      <w:pPr>
        <w:ind w:left="12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Investors SCSp</w:t>
        </w:r>
      </w:hyperlink>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Advent Partners GPE IX Limited 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Advent Partners GPE IX-A Limited Partnership</w:t>
        </w:r>
      </w:hyperlink>
    </w:p>
    <w:p>
      <w:pPr>
        <w:spacing w:after="0" w:line="33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Advent Partners GPE IX Cayman Limited</w:t>
        </w:r>
      </w:hyperlink>
    </w:p>
    <w:p>
      <w:pPr>
        <w:ind w:left="12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33655" cy="2070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3655" cy="20701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9999"/>
          </w:cols>
          <w:pgMar w:left="460" w:top="131" w:right="1440" w:bottom="0" w:gutter="0" w:footer="0" w:header="0"/>
        </w:sectPr>
      </w:pPr>
    </w:p>
    <w:bookmarkStart w:id="2" w:name="page3"/>
    <w:bookmarkEnd w:id="2"/>
    <w:p>
      <w:pPr>
        <w:ind w:left="8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Advent Partners GPE IX-A Cayman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3710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240" cy="3710305"/>
                    </a:xfrm>
                    <a:prstGeom prst="rect">
                      <a:avLst/>
                    </a:prstGeom>
                    <a:noFill/>
                  </pic:spPr>
                </pic:pic>
              </a:graphicData>
            </a:graphic>
          </wp:anchor>
        </w:drawing>
      </w:r>
    </w:p>
    <w:p>
      <w:pPr>
        <w:ind w:left="8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Advent Partners GPE IX-B Cayman Limited</w:t>
        </w:r>
      </w:hyperlink>
    </w:p>
    <w:p>
      <w:pPr>
        <w:ind w:left="80"/>
        <w:spacing w:after="0"/>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2"/>
          <w:szCs w:val="12"/>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4) and Exhibit 99.2 (Signatures and Joint Filer Information) are incorporated by reference. Form 2 of 4: This Form 4 is the second of four Forms 4 being filed relating to the same event. The Form 4 has been split into multiple filings because there are more than 10 Reporting Persons total, and the SEC's EDGAR filing system limits a single Form 4 to a maximum of 10 Reporting Persons. Each Form 4 will be filed by Designated Filer Advent International Corporation.</w:t>
      </w:r>
    </w:p>
    <w:p>
      <w:pPr>
        <w:spacing w:after="0" w:line="4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ADVENT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59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CORPORATION, By: /s/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2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Crawford, Name: Neil</w:t>
      </w:r>
      <w:r>
        <w:rPr>
          <w:sz w:val="20"/>
          <w:szCs w:val="20"/>
          <w:color w:val="auto"/>
        </w:rPr>
        <w:tab/>
      </w: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Crawford,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00"/>
          </w:cols>
          <w:pgMar w:left="500" w:top="118"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81"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431,167 shares sold by Advent International GPE IX Limited Partnership (“GPE-IX LP”), (ii) 85,438 shares sold by Advent International GPE IX-B Limited Partnership (“GPE IX-B LP”), (iii) 35,469 shares sold by Advent International GPE IX-C Limited Partnership (“GPE IX-C LP”), (iv) 37,213 shares sold by Advent International GPE IX-F Limited Partnership (“GPE IX-F LP”), (v) 122,449 shares sold by Advent International GPE IX-G Limited Partnership (“GPE IX-G LP”), (vi) 138,055 shares sold by Advent International GPE IX-H Limited Partnership (“GPE IX-H LP”), (vii) 78,198 shares sold by Advent International GPE IX-I Limited Partnership (“GPE IX-I LP”), (viii) 126,788 shares sold by Advent International GPE IX-A SCSP (“GPE IX-A SCSP”), (ix) 26,987 shares sold by Advent International GPE IX-D SCSP (“GPE IX-D SCSP”), (x) 54,844 shares sold by Advent International GPE IX-E SCSP (“GPE IX-E SCSP”), (xi) 2,478 shares sold Advent International GPE IX Strategic Investors SCSP (“GPE IX Strategic Investors SCSP”), (xii) 1,415 shares sold by Advent Partners GPE IX Limited Partnership (“AP GPE IX LP”), (xiii) 3,272 shares sold by Advent Partners GPE IX-A Limited Partnership (“AP GPE IX-A LP”), (xiv) 8,165 shares sold by Advent Partners GPE IX Cayman Limited Partnership (“AP GPE IX Cayman LP”), (xv) 1,377 shares sold by Advent Partners GPE IX-A Cayman Limited Partnership (“AP GPE IX-A Cayman LP”), (xvi) 22,849 shares sold by Advent Partners GPE IX-B Cayman Limited Partnership (“AP GPE IX-B Cayman LP”), (xvii) 97,109 shares sold by Advent Global Technology Limited Partnership (“Global Technology LP”), (xviii) 75,573 shares sold by Advent Global Technology-B Limited Partnership (“Global Technology-B LP”), (xix) 40,918 shares sold by Advent Global Technology-C Limited Partnership (“Global Technology-C LP”), (xx) 48,987 shares sold by Advent Global Technology-D Limited Partnership (“Global Technology-D LP”), (xxi) 47,936 by Advent Global Technology-A SCSP (“Global Technology-A SCSP”), (xxii) 153 shares sold by Advent Partners AGT Limited Partnership (“AGT LP”), (xxiii) 696 shares sold by Advent Partners AGT-A Limited Partnership (“AGT-A LP”), (xxiv) 8,720 shares sold by Advent Partners AGT Cayman Limited Partnership (“AGT Cayman LP”) and (xxv) 777 shares sold by Advent Global Technology Strategic Investors Limited Partnership (“AGT Strategic Investors LP”). This transaction was approved by the board of directors of the Issuer for purposes of Rule 16b-3 of the Securities Exchange Act of 1934, as amended.</w:t>
      </w:r>
    </w:p>
    <w:p>
      <w:pPr>
        <w:spacing w:after="0" w:line="197" w:lineRule="exact"/>
        <w:rPr>
          <w:rFonts w:ascii="Arial" w:cs="Arial" w:eastAsia="Arial" w:hAnsi="Arial"/>
          <w:sz w:val="16"/>
          <w:szCs w:val="16"/>
          <w:color w:val="auto"/>
        </w:rPr>
      </w:pPr>
    </w:p>
    <w:p>
      <w:pPr>
        <w:ind w:left="320" w:right="40" w:hanging="313"/>
        <w:spacing w:after="0" w:line="27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64,596,549 shares of Class A common stock of the Issuer, which are represented as follows: (i) 17,526,053 shares are held directly by GPE-IX LP, (ii) 3,472,864 shares are held directly GPE IX-B LP, (iii) 1,441,699 shares are held directly by GPE IX-C LP, (iv) 1,512,622 shares are held directly by GPE IX-F LP, (v) 4,977,255 shares are held directly by GPE IX-G LP, (vi) 5,611,595 shares are held directly by GPE IX-H LP, (vii) 3,178,527 shares are held directly by GPE IX-I LP, (viii) 5,153,621 shares are held directly by GPE IX-A SCSP, (ix) 1,096,951 shares are held directly by GPE IX-D SCSP, (x) 2,229,295 shares are held directly by GPE IX-E SCSP, (xi) 100,705 shares are held directly by GPE IX Strategic Investors SCSP, (xii) 57,514 shares are held directly by AP GPE IX LP, (xiii) 132,999 shares are held directly by AP GPE IX-A LP, (xiv) 331,874 shares are held directly by AP GPE IX Cayman LP, (xv) 55,942 shares are held directly by AP GPE IX-A Cayman LP, (xvi) 928,741 shares are held directly by AP GPE IX-B Cayman LP,</w:t>
      </w:r>
    </w:p>
    <w:p>
      <w:pPr>
        <w:spacing w:after="0" w:line="5" w:lineRule="exact"/>
        <w:rPr>
          <w:rFonts w:ascii="Arial" w:cs="Arial" w:eastAsia="Arial" w:hAnsi="Arial"/>
          <w:sz w:val="16"/>
          <w:szCs w:val="16"/>
          <w:color w:val="auto"/>
        </w:rPr>
      </w:pPr>
    </w:p>
    <w:p>
      <w:pPr>
        <w:ind w:left="320" w:right="160" w:firstLine="51"/>
        <w:spacing w:after="0" w:line="278" w:lineRule="auto"/>
        <w:tabs>
          <w:tab w:leader="none" w:pos="803" w:val="left"/>
        </w:tabs>
        <w:numPr>
          <w:ilvl w:val="1"/>
          <w:numId w:val="4"/>
        </w:numPr>
        <w:rPr>
          <w:rFonts w:ascii="Arial" w:cs="Arial" w:eastAsia="Arial" w:hAnsi="Arial"/>
          <w:sz w:val="16"/>
          <w:szCs w:val="16"/>
          <w:color w:val="auto"/>
        </w:rPr>
      </w:pPr>
      <w:r>
        <w:rPr>
          <w:rFonts w:ascii="Arial" w:cs="Arial" w:eastAsia="Arial" w:hAnsi="Arial"/>
          <w:sz w:val="16"/>
          <w:szCs w:val="16"/>
          <w:color w:val="auto"/>
        </w:rPr>
        <w:t>3,947,269 shares are held directly by Global Technology LP, (xviii) 3,071,881 shares are held directly by Global Technology-B LP, (xix) 1,663,214 shares are held directly by Global Technology-C LP, (xx) 1,991,209 shares are held directly by Global Technology-D LP, (xxi) 1,948,500 shares are held directly by Global Technology-A SCSP, (xxii) 6,192 shares are held directly by AGT LP, (xxiii) 28,294 shares are held directly by AGT-A LP, (xxiv) 354,438 shares are held directly by AGT Cayman LP, (xxv) 31,570 shares are held directly by AGT Strategic Investors LP and</w:t>
      </w:r>
    </w:p>
    <w:p>
      <w:pPr>
        <w:ind w:left="800" w:hanging="47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3,745,725 shares are held directly by Sunley House Capital Master Limited Partnership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69640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4" w:name="page5"/>
    <w:bookmarkEnd w:id="4"/>
    <w:p>
      <w:pPr>
        <w:ind w:left="313" w:hanging="313"/>
        <w:spacing w:after="0" w:line="281" w:lineRule="auto"/>
        <w:tabs>
          <w:tab w:leader="none" w:pos="313" w:val="left"/>
        </w:tabs>
        <w:numPr>
          <w:ilvl w:val="0"/>
          <w:numId w:val="6"/>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13" w:right="20" w:hanging="313"/>
        <w:spacing w:after="0" w:line="257" w:lineRule="auto"/>
        <w:tabs>
          <w:tab w:leader="none" w:pos="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9640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73"/>
          </w:cols>
          <w:pgMar w:left="467" w:top="127"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2"/>
              </w:rPr>
              <w:t>Advent International GPE IX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5220"/>
        <w:spacing w:after="0" w:line="264" w:lineRule="auto"/>
        <w:rPr>
          <w:sz w:val="20"/>
          <w:szCs w:val="20"/>
          <w:color w:val="auto"/>
        </w:rPr>
      </w:pPr>
      <w:r>
        <w:rPr>
          <w:rFonts w:ascii="Arial" w:cs="Arial" w:eastAsia="Arial" w:hAnsi="Arial"/>
          <w:sz w:val="20"/>
          <w:szCs w:val="20"/>
          <w:color w:val="auto"/>
        </w:rPr>
        <w:t>ADVENT INTERNATIONAL GPE IX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IX-B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IX-B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IX-C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4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IX-C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IX-F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3780" w:type="dxa"/>
            <w:vAlign w:val="bottom"/>
          </w:tcPr>
          <w:p>
            <w:pPr>
              <w:spacing w:after="0"/>
              <w:rPr>
                <w:sz w:val="18"/>
                <w:szCs w:val="18"/>
                <w:color w:val="auto"/>
              </w:rPr>
            </w:pP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2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59"/>
        <w:spacing w:after="0" w:line="264" w:lineRule="auto"/>
        <w:rPr>
          <w:sz w:val="20"/>
          <w:szCs w:val="20"/>
          <w:color w:val="auto"/>
        </w:rPr>
      </w:pPr>
      <w:r>
        <w:rPr>
          <w:rFonts w:ascii="Arial" w:cs="Arial" w:eastAsia="Arial" w:hAnsi="Arial"/>
          <w:sz w:val="20"/>
          <w:szCs w:val="20"/>
          <w:color w:val="auto"/>
        </w:rPr>
        <w:t>ADVENT INTERNATIONAL GPE IX-F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IX-G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IX-G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2"/>
              </w:rPr>
              <w:t>Advent International GPE IX-H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3780" w:type="dxa"/>
            <w:vAlign w:val="bottom"/>
          </w:tcPr>
          <w:p>
            <w:pPr>
              <w:spacing w:after="0"/>
              <w:rPr>
                <w:sz w:val="18"/>
                <w:szCs w:val="18"/>
                <w:color w:val="auto"/>
              </w:rPr>
            </w:pP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3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IX-H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Advent International GPE IX-I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99"/>
        <w:spacing w:after="0" w:line="264" w:lineRule="auto"/>
        <w:rPr>
          <w:sz w:val="20"/>
          <w:szCs w:val="20"/>
          <w:color w:val="auto"/>
        </w:rPr>
      </w:pPr>
      <w:r>
        <w:rPr>
          <w:rFonts w:ascii="Arial" w:cs="Arial" w:eastAsia="Arial" w:hAnsi="Arial"/>
          <w:sz w:val="20"/>
          <w:szCs w:val="20"/>
          <w:color w:val="auto"/>
        </w:rPr>
        <w:t>ADVENT INTERNATIONAL GPE IX-I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IX-A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IX-A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46"/>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IX-D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IX-D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IX-E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IX-E SCSP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GPE IX Strategic Investors SCSP</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INTERNATIONAL GPE IX</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STRATEGIC INVESTORS SCSP</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5"/>
              </w:rPr>
              <w:t>By: Advent International GPE IX,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GPE IX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879"/>
        <w:spacing w:after="0" w:line="264" w:lineRule="auto"/>
        <w:rPr>
          <w:sz w:val="20"/>
          <w:szCs w:val="20"/>
          <w:color w:val="auto"/>
        </w:rPr>
      </w:pPr>
      <w:r>
        <w:rPr>
          <w:rFonts w:ascii="Arial" w:cs="Arial" w:eastAsia="Arial" w:hAnsi="Arial"/>
          <w:sz w:val="20"/>
          <w:szCs w:val="20"/>
          <w:color w:val="auto"/>
        </w:rPr>
        <w:t>ADVENT PARTNERS GPE IX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5"/>
              </w:rPr>
              <w:t>Advent Partners GPE IX-A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659"/>
        <w:spacing w:after="0" w:line="264" w:lineRule="auto"/>
        <w:rPr>
          <w:sz w:val="20"/>
          <w:szCs w:val="20"/>
          <w:color w:val="auto"/>
        </w:rPr>
      </w:pPr>
      <w:r>
        <w:rPr>
          <w:rFonts w:ascii="Arial" w:cs="Arial" w:eastAsia="Arial" w:hAnsi="Arial"/>
          <w:sz w:val="20"/>
          <w:szCs w:val="20"/>
          <w:color w:val="auto"/>
        </w:rPr>
        <w:t>ADVENT PARTNERS GPE IX-A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3"/>
        </w:trPr>
        <w:tc>
          <w:tcPr>
            <w:tcW w:w="3780" w:type="dxa"/>
            <w:vAlign w:val="bottom"/>
          </w:tcPr>
          <w:p>
            <w:pPr>
              <w:spacing w:after="0"/>
              <w:rPr>
                <w:sz w:val="18"/>
                <w:szCs w:val="18"/>
                <w:color w:val="auto"/>
              </w:rPr>
            </w:pP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4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899"/>
        <w:spacing w:after="0" w:line="248" w:lineRule="auto"/>
        <w:rPr>
          <w:sz w:val="20"/>
          <w:szCs w:val="20"/>
          <w:color w:val="auto"/>
        </w:rPr>
      </w:pPr>
      <w:r>
        <w:rPr>
          <w:rFonts w:ascii="Arial" w:cs="Arial" w:eastAsia="Arial" w:hAnsi="Arial"/>
          <w:sz w:val="21"/>
          <w:szCs w:val="21"/>
          <w:color w:val="auto"/>
        </w:rPr>
        <w:t>ADVENT PARTNERS GPE IX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IX-A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79"/>
        <w:spacing w:after="0" w:line="248" w:lineRule="auto"/>
        <w:rPr>
          <w:sz w:val="20"/>
          <w:szCs w:val="20"/>
          <w:color w:val="auto"/>
        </w:rPr>
      </w:pPr>
      <w:r>
        <w:rPr>
          <w:rFonts w:ascii="Arial" w:cs="Arial" w:eastAsia="Arial" w:hAnsi="Arial"/>
          <w:sz w:val="21"/>
          <w:szCs w:val="21"/>
          <w:color w:val="auto"/>
        </w:rPr>
        <w:t>ADVENT PARTNERS GPE IX-A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GPE IX-B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66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99"/>
        <w:spacing w:after="0" w:line="248" w:lineRule="auto"/>
        <w:rPr>
          <w:sz w:val="20"/>
          <w:szCs w:val="20"/>
          <w:color w:val="auto"/>
        </w:rPr>
      </w:pPr>
      <w:r>
        <w:rPr>
          <w:rFonts w:ascii="Arial" w:cs="Arial" w:eastAsia="Arial" w:hAnsi="Arial"/>
          <w:sz w:val="21"/>
          <w:szCs w:val="21"/>
          <w:color w:val="auto"/>
        </w:rPr>
        <w:t>ADVENT PARTNERS GPE IX-B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GPE IX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GPE IX GP S.à.r.l.</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GPE IX GP S.À.R.L.</w:t>
            </w:r>
          </w:p>
        </w:tc>
        <w:tc>
          <w:tcPr>
            <w:tcW w:w="4920" w:type="dxa"/>
            <w:vAlign w:val="bottom"/>
          </w:tcPr>
          <w:p>
            <w:pPr>
              <w:spacing w:after="0"/>
              <w:rPr>
                <w:sz w:val="18"/>
                <w:szCs w:val="18"/>
                <w:color w:val="auto"/>
              </w:rPr>
            </w:pPr>
          </w:p>
        </w:tc>
      </w:tr>
      <w:tr>
        <w:trPr>
          <w:trHeight w:val="232"/>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96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4920" w:type="dxa"/>
            <w:vAlign w:val="bottom"/>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960" w:type="dxa"/>
            <w:vAlign w:val="bottom"/>
            <w:gridSpan w:val="2"/>
          </w:tcPr>
          <w:p>
            <w:pPr>
              <w:spacing w:after="0"/>
              <w:rPr>
                <w:sz w:val="20"/>
                <w:szCs w:val="20"/>
                <w:color w:val="auto"/>
              </w:rPr>
            </w:pPr>
            <w:r>
              <w:rPr>
                <w:rFonts w:ascii="Arial" w:cs="Arial" w:eastAsia="Arial" w:hAnsi="Arial"/>
                <w:sz w:val="18"/>
                <w:szCs w:val="18"/>
                <w:color w:val="auto"/>
              </w:rPr>
              <w:t>By: /s/ Neil Crawford</w:t>
            </w:r>
          </w:p>
        </w:tc>
        <w:tc>
          <w:tcPr>
            <w:tcW w:w="4920" w:type="dxa"/>
            <w:vAlign w:val="bottom"/>
          </w:tcPr>
          <w:p>
            <w:pPr>
              <w:spacing w:after="0"/>
              <w:rPr>
                <w:sz w:val="24"/>
                <w:szCs w:val="24"/>
                <w:color w:val="auto"/>
              </w:rPr>
            </w:pPr>
          </w:p>
        </w:tc>
      </w:tr>
      <w:tr>
        <w:trPr>
          <w:trHeight w:val="201"/>
        </w:trPr>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Neil Crawford</w:t>
            </w:r>
          </w:p>
        </w:tc>
        <w:tc>
          <w:tcPr>
            <w:tcW w:w="56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24"/>
        </w:trPr>
        <w:tc>
          <w:tcPr>
            <w:tcW w:w="496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49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AP GPE IX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GPE IX, LLC</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INTERNATIONAL GPE IX,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5"/>
              </w:rPr>
              <w:t>Advent Global Technology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Technology-B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TECHNOLOGY-B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Technology-C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TECHNOLOGY-C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91"/>
              </w:rPr>
              <w:t>Advent Global Technology-D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TECHNOLOGY-D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Global Technology-A SCSP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ADVENT GLOBAL TECHNOLOGY-A SCSP</w:t>
            </w:r>
          </w:p>
        </w:tc>
        <w:tc>
          <w:tcPr>
            <w:tcW w:w="4920" w:type="dxa"/>
            <w:vAlign w:val="bottom"/>
          </w:tcPr>
          <w:p>
            <w:pPr>
              <w:spacing w:after="0"/>
              <w:rPr>
                <w:sz w:val="18"/>
                <w:szCs w:val="18"/>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Global Technology GP S.à.r.l., its General Partner</w:t>
            </w:r>
          </w:p>
        </w:tc>
        <w:tc>
          <w:tcPr>
            <w:tcW w:w="4920" w:type="dxa"/>
            <w:vAlign w:val="bottom"/>
          </w:tcPr>
          <w:p>
            <w:pPr>
              <w:spacing w:after="0"/>
              <w:rPr>
                <w:sz w:val="18"/>
                <w:szCs w:val="18"/>
                <w:color w:val="auto"/>
              </w:rPr>
            </w:pPr>
          </w:p>
        </w:tc>
      </w:tr>
      <w:tr>
        <w:trPr>
          <w:trHeight w:val="232"/>
        </w:trPr>
        <w:tc>
          <w:tcPr>
            <w:tcW w:w="4960" w:type="dxa"/>
            <w:vAlign w:val="bottom"/>
            <w:gridSpan w:val="2"/>
          </w:tcPr>
          <w:p>
            <w:pPr>
              <w:spacing w:after="0"/>
              <w:rPr>
                <w:sz w:val="20"/>
                <w:szCs w:val="20"/>
                <w:color w:val="auto"/>
              </w:rPr>
            </w:pPr>
            <w:r>
              <w:rPr>
                <w:rFonts w:ascii="Arial" w:cs="Arial" w:eastAsia="Arial" w:hAnsi="Arial"/>
                <w:sz w:val="18"/>
                <w:szCs w:val="18"/>
                <w:color w:val="auto"/>
              </w:rPr>
              <w:t>By: Advent Global Technology LLC, its General Partner</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96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4920" w:type="dxa"/>
            <w:vAlign w:val="bottom"/>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960" w:type="dxa"/>
            <w:vAlign w:val="bottom"/>
            <w:gridSpan w:val="2"/>
          </w:tcPr>
          <w:p>
            <w:pPr>
              <w:spacing w:after="0"/>
              <w:rPr>
                <w:sz w:val="20"/>
                <w:szCs w:val="20"/>
                <w:color w:val="auto"/>
              </w:rPr>
            </w:pPr>
            <w:r>
              <w:rPr>
                <w:rFonts w:ascii="Arial" w:cs="Arial" w:eastAsia="Arial" w:hAnsi="Arial"/>
                <w:sz w:val="18"/>
                <w:szCs w:val="18"/>
                <w:color w:val="auto"/>
              </w:rPr>
              <w:t>By: /s/ Neil Crawford</w:t>
            </w:r>
          </w:p>
        </w:tc>
        <w:tc>
          <w:tcPr>
            <w:tcW w:w="4920" w:type="dxa"/>
            <w:vAlign w:val="bottom"/>
          </w:tcPr>
          <w:p>
            <w:pPr>
              <w:spacing w:after="0"/>
              <w:rPr>
                <w:sz w:val="24"/>
                <w:szCs w:val="24"/>
                <w:color w:val="auto"/>
              </w:rPr>
            </w:pPr>
          </w:p>
        </w:tc>
      </w:tr>
      <w:tr>
        <w:trPr>
          <w:trHeight w:val="201"/>
        </w:trPr>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Neil Crawford</w:t>
            </w:r>
          </w:p>
        </w:tc>
        <w:tc>
          <w:tcPr>
            <w:tcW w:w="56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24"/>
        </w:trPr>
        <w:tc>
          <w:tcPr>
            <w:tcW w:w="496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49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AGT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PARTNERS AGT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AP AGT GP Limited Partnership, its General Partner</w:t>
      </w:r>
    </w:p>
    <w:p>
      <w:pPr>
        <w:spacing w:after="0" w:line="238" w:lineRule="auto"/>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Partners AGT-A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919"/>
        <w:spacing w:after="0" w:line="264" w:lineRule="auto"/>
        <w:rPr>
          <w:sz w:val="20"/>
          <w:szCs w:val="20"/>
          <w:color w:val="auto"/>
        </w:rPr>
      </w:pPr>
      <w:r>
        <w:rPr>
          <w:rFonts w:ascii="Arial" w:cs="Arial" w:eastAsia="Arial" w:hAnsi="Arial"/>
          <w:sz w:val="20"/>
          <w:szCs w:val="20"/>
          <w:color w:val="auto"/>
        </w:rPr>
        <w:t>ADVENT PARTNERS AGT-A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0"/>
              </w:rPr>
              <w:t>Advent Partners AGT Cayman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64" w:lineRule="auto"/>
        <w:rPr>
          <w:sz w:val="20"/>
          <w:szCs w:val="20"/>
          <w:color w:val="auto"/>
        </w:rPr>
      </w:pPr>
      <w:r>
        <w:rPr>
          <w:rFonts w:ascii="Arial" w:cs="Arial" w:eastAsia="Arial" w:hAnsi="Arial"/>
          <w:sz w:val="20"/>
          <w:szCs w:val="20"/>
          <w:color w:val="auto"/>
        </w:rPr>
        <w:t>ADVENT PARTNERS AGT CAYMAN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w w:val="90"/>
              </w:rPr>
              <w:t>Advent Global Technology Strategic Investors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3780" w:type="dxa"/>
            <w:vAlign w:val="bottom"/>
          </w:tcPr>
          <w:p>
            <w:pPr>
              <w:spacing w:after="0"/>
              <w:rPr>
                <w:sz w:val="18"/>
                <w:szCs w:val="18"/>
                <w:color w:val="auto"/>
              </w:rPr>
            </w:pP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53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1879"/>
        <w:spacing w:after="0" w:line="244" w:lineRule="auto"/>
        <w:rPr>
          <w:sz w:val="20"/>
          <w:szCs w:val="20"/>
          <w:color w:val="auto"/>
        </w:rPr>
      </w:pPr>
      <w:r>
        <w:rPr>
          <w:rFonts w:ascii="Arial" w:cs="Arial" w:eastAsia="Arial" w:hAnsi="Arial"/>
          <w:sz w:val="21"/>
          <w:szCs w:val="21"/>
          <w:color w:val="auto"/>
        </w:rPr>
        <w:t>ADVENT GLOBAL TECHNOLOGY STRATEGIC INVESTORS LIMITED PARTNERSHIP By: AP AGT GP Limited Partnership, its General Partner By: Advent Global Technology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0"/>
              </w:rPr>
              <w:t>Advent Global Technology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3780" w:type="dxa"/>
            <w:vAlign w:val="bottom"/>
          </w:tcPr>
          <w:p>
            <w:pPr>
              <w:spacing w:after="0"/>
              <w:rPr>
                <w:sz w:val="18"/>
                <w:szCs w:val="18"/>
                <w:color w:val="auto"/>
              </w:rPr>
            </w:pP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8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979"/>
        <w:spacing w:after="0" w:line="253" w:lineRule="auto"/>
        <w:rPr>
          <w:sz w:val="20"/>
          <w:szCs w:val="20"/>
          <w:color w:val="auto"/>
        </w:rPr>
      </w:pPr>
      <w:r>
        <w:rPr>
          <w:rFonts w:ascii="Arial" w:cs="Arial" w:eastAsia="Arial" w:hAnsi="Arial"/>
          <w:sz w:val="21"/>
          <w:szCs w:val="21"/>
          <w:color w:val="auto"/>
        </w:rPr>
        <w:t>ADVENT GLOBAL TECHNOLOGY GP LIMITED PARTNERSHIP By: Advent Global Technology LLC, its General Partner By: Advent International Corporation, its Manager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1"/>
        </w:trPr>
        <w:tc>
          <w:tcPr>
            <w:tcW w:w="4400" w:type="dxa"/>
            <w:vAlign w:val="bottom"/>
          </w:tcPr>
          <w:p>
            <w:pPr>
              <w:spacing w:after="0"/>
              <w:rPr>
                <w:sz w:val="20"/>
                <w:szCs w:val="20"/>
                <w:color w:val="auto"/>
              </w:rPr>
            </w:pPr>
            <w:r>
              <w:rPr>
                <w:rFonts w:ascii="Arial" w:cs="Arial" w:eastAsia="Arial" w:hAnsi="Arial"/>
                <w:sz w:val="18"/>
                <w:szCs w:val="18"/>
                <w:color w:val="auto"/>
              </w:rPr>
              <w:t>Name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Global Technology GP S.à.r.l.</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40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480" w:type="dxa"/>
            <w:vAlign w:val="bottom"/>
            <w:gridSpan w:val="4"/>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480" w:type="dxa"/>
            <w:vAlign w:val="bottom"/>
            <w:gridSpan w:val="4"/>
          </w:tcPr>
          <w:p>
            <w:pPr>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440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3"/>
        </w:trPr>
        <w:tc>
          <w:tcPr>
            <w:tcW w:w="440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480" w:type="dxa"/>
            <w:vAlign w:val="bottom"/>
            <w:gridSpan w:val="4"/>
          </w:tcPr>
          <w:p>
            <w:pPr>
              <w:spacing w:after="0"/>
              <w:rPr>
                <w:sz w:val="20"/>
                <w:szCs w:val="20"/>
                <w:color w:val="auto"/>
              </w:rPr>
            </w:pPr>
            <w:r>
              <w:rPr>
                <w:rFonts w:ascii="Arial" w:cs="Arial" w:eastAsia="Arial" w:hAnsi="Arial"/>
                <w:sz w:val="18"/>
                <w:szCs w:val="18"/>
                <w:color w:val="auto"/>
              </w:rPr>
              <w:t>September 17, 2021</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Designated Filer:</w:t>
            </w:r>
          </w:p>
        </w:tc>
        <w:tc>
          <w:tcPr>
            <w:tcW w:w="5480" w:type="dxa"/>
            <w:vAlign w:val="bottom"/>
            <w:gridSpan w:val="4"/>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400" w:type="dxa"/>
            <w:vAlign w:val="bottom"/>
          </w:tcPr>
          <w:p>
            <w:pPr>
              <w:spacing w:after="0"/>
              <w:rPr>
                <w:sz w:val="20"/>
                <w:szCs w:val="20"/>
                <w:color w:val="auto"/>
              </w:rPr>
            </w:pPr>
            <w:r>
              <w:rPr>
                <w:rFonts w:ascii="Arial" w:cs="Arial" w:eastAsia="Arial" w:hAnsi="Arial"/>
                <w:sz w:val="21"/>
                <w:szCs w:val="21"/>
                <w:b w:val="1"/>
                <w:bCs w:val="1"/>
                <w:color w:val="auto"/>
              </w:rPr>
              <w:t>Signature: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ADVENT GLOBAL TECHNOLOGY GP S.À.R.L.</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w w:val="99"/>
              </w:rPr>
              <w:t>By: Advent Global Technology LLC, its General Partner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4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1"/>
        </w:trPr>
        <w:tc>
          <w:tcPr>
            <w:tcW w:w="44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AP AGT GP Limited Partnership</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AGT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1"/>
        </w:trPr>
        <w:tc>
          <w:tcPr>
            <w:tcW w:w="3780" w:type="dxa"/>
            <w:vAlign w:val="bottom"/>
          </w:tcPr>
          <w:p>
            <w:pPr>
              <w:spacing w:after="0"/>
              <w:rPr>
                <w:sz w:val="20"/>
                <w:szCs w:val="20"/>
                <w:color w:val="auto"/>
              </w:rPr>
            </w:pPr>
            <w:r>
              <w:rPr>
                <w:rFonts w:ascii="Arial" w:cs="Arial" w:eastAsia="Arial" w:hAnsi="Arial"/>
                <w:sz w:val="18"/>
                <w:szCs w:val="18"/>
                <w:color w:val="auto"/>
              </w:rPr>
              <w:t>Name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Global Technology LLC</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w w:val="89"/>
              </w:rPr>
              <w:t>Prudential Tower, 800 Boylston Street, Suite 3300</w:t>
            </w:r>
          </w:p>
        </w:tc>
      </w:tr>
      <w:tr>
        <w:trPr>
          <w:trHeight w:val="213"/>
        </w:trPr>
        <w:tc>
          <w:tcPr>
            <w:tcW w:w="3780" w:type="dxa"/>
            <w:vAlign w:val="bottom"/>
          </w:tcPr>
          <w:p>
            <w:pPr>
              <w:spacing w:after="0"/>
              <w:rPr>
                <w:sz w:val="18"/>
                <w:szCs w:val="18"/>
                <w:color w:val="auto"/>
              </w:rPr>
            </w:pP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Boston, MA 02199-8069</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10% Owner, Director</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Definitive Healthcare Corp. [ DH ]</w:t>
            </w:r>
          </w:p>
        </w:tc>
      </w:tr>
      <w:tr>
        <w:trPr>
          <w:trHeight w:val="415"/>
        </w:trPr>
        <w:tc>
          <w:tcPr>
            <w:tcW w:w="3780" w:type="dxa"/>
            <w:vAlign w:val="bottom"/>
          </w:tcPr>
          <w:p>
            <w:pPr>
              <w:spacing w:after="0"/>
              <w:rPr>
                <w:sz w:val="20"/>
                <w:szCs w:val="20"/>
                <w:color w:val="auto"/>
              </w:rPr>
            </w:pPr>
            <w:r>
              <w:rPr>
                <w:rFonts w:ascii="Arial" w:cs="Arial" w:eastAsia="Arial" w:hAnsi="Arial"/>
                <w:sz w:val="18"/>
                <w:szCs w:val="18"/>
                <w:color w:val="auto"/>
              </w:rPr>
              <w:t>Date of Earliest Transaction</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September 17, 2021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Designated Filer:</w:t>
            </w:r>
          </w:p>
        </w:tc>
        <w:tc>
          <w:tcPr>
            <w:tcW w:w="4200" w:type="dxa"/>
            <w:vAlign w:val="bottom"/>
            <w:gridSpan w:val="3"/>
          </w:tcPr>
          <w:p>
            <w:pPr>
              <w:ind w:left="62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79209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September 21,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69640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Roman"/>
      <w:start w:val="17"/>
    </w:lvl>
    <w:lvl w:ilvl="2">
      <w:lvlJc w:val="left"/>
      <w:lvlText w:val="%3"/>
      <w:numFmt w:val="lowerRoman"/>
      <w:start w:val="1"/>
    </w:lvl>
  </w:abstractNum>
  <w:abstractNum w:abstractNumId="4">
    <w:nsid w:val="3D1B58BA"/>
    <w:multiLevelType w:val="hybridMultilevel"/>
    <w:lvl w:ilvl="0">
      <w:lvlJc w:val="left"/>
      <w:lvlText w:val="%1"/>
      <w:numFmt w:val="decimal"/>
      <w:start w:val="1"/>
    </w:lvl>
    <w:lvl w:ilvl="1">
      <w:lvlJc w:val="left"/>
      <w:lvlText w:val="(%2)"/>
      <w:numFmt w:val="lowerRoman"/>
      <w:start w:val="26"/>
    </w:lvl>
    <w:lvl w:ilvl="2">
      <w:lvlJc w:val="left"/>
      <w:lvlText w:val="%3"/>
      <w:numFmt w:val="lowerRoman"/>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5"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12" Type="http://schemas.openxmlformats.org/officeDocument/2006/relationships/hyperlink" Target="http://www.sec.gov/cgi-bin/browse-edgar?action=getcompany&amp;CIK=0001034196" TargetMode="External"/><Relationship Id="rId13" Type="http://schemas.openxmlformats.org/officeDocument/2006/relationships/hyperlink" Target="http://www.sec.gov/cgi-bin/browse-edgar?action=getcompany&amp;CIK=0001861795" TargetMode="External"/><Relationship Id="rId14" Type="http://schemas.openxmlformats.org/officeDocument/2006/relationships/hyperlink" Target="http://www.sec.gov/cgi-bin/browse-edgar?action=getcompany&amp;CIK=0001774562" TargetMode="External"/><Relationship Id="rId16" Type="http://schemas.openxmlformats.org/officeDocument/2006/relationships/hyperlink" Target="http://www.sec.gov/cgi-bin/browse-edgar?action=getcompany&amp;CIK=0001774557" TargetMode="External"/><Relationship Id="rId18" Type="http://schemas.openxmlformats.org/officeDocument/2006/relationships/hyperlink" Target="http://www.sec.gov/cgi-bin/browse-edgar?action=getcompany&amp;CIK=0001774631" TargetMode="External"/><Relationship Id="rId19" Type="http://schemas.openxmlformats.org/officeDocument/2006/relationships/hyperlink" Target="http://www.sec.gov/cgi-bin/browse-edgar?action=getcompany&amp;CIK=0001775900" TargetMode="External"/><Relationship Id="rId20" Type="http://schemas.openxmlformats.org/officeDocument/2006/relationships/hyperlink" Target="http://www.sec.gov/cgi-bin/browse-edgar?action=getcompany&amp;CIK=0001775787" TargetMode="External"/><Relationship Id="rId21" Type="http://schemas.openxmlformats.org/officeDocument/2006/relationships/hyperlink" Target="http://www.sec.gov/cgi-bin/browse-edgar?action=getcompany&amp;CIK=0001775797" TargetMode="External"/><Relationship Id="rId22" Type="http://schemas.openxmlformats.org/officeDocument/2006/relationships/hyperlink" Target="http://www.sec.gov/cgi-bin/browse-edgar?action=getcompany&amp;CIK=0001775790" TargetMode="External"/><Relationship Id="rId24" Type="http://schemas.openxmlformats.org/officeDocument/2006/relationships/hyperlink" Target="http://www.sec.gov/cgi-bin/browse-edgar?action=getcompany&amp;CIK=0001775788" TargetMode="External"/><Relationship Id="rId26" Type="http://schemas.openxmlformats.org/officeDocument/2006/relationships/hyperlink" Target="http://www.sec.gov/cgi-bin/browse-edgar?action=getcompany&amp;CIK=0001775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2021-09-21T19:11:48Z</dcterms:created>
  <dcterms:modified xsi:type="dcterms:W3CDTF">2021-09-21T19:11:48Z</dcterms:modified>
</cp:coreProperties>
</file>