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November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Definitive Healthcare Corp.</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2324"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5560" w:type="dxa"/>
            <w:vAlign w:val="bottom"/>
          </w:tcPr>
          <w:p>
            <w:pPr>
              <w:jc w:val="center"/>
              <w:ind w:right="1138"/>
              <w:spacing w:after="0"/>
              <w:rPr>
                <w:sz w:val="20"/>
                <w:szCs w:val="20"/>
                <w:color w:val="auto"/>
              </w:rPr>
            </w:pPr>
            <w:r>
              <w:rPr>
                <w:rFonts w:ascii="Arial" w:cs="Arial" w:eastAsia="Arial" w:hAnsi="Arial"/>
                <w:sz w:val="18"/>
                <w:szCs w:val="18"/>
                <w:b w:val="1"/>
                <w:bCs w:val="1"/>
                <w:color w:val="auto"/>
                <w:w w:val="90"/>
              </w:rPr>
              <w:t>Commission file number 1-40815</w:t>
            </w:r>
          </w:p>
        </w:tc>
      </w:tr>
      <w:tr>
        <w:trPr>
          <w:trHeight w:val="436"/>
        </w:trPr>
        <w:tc>
          <w:tcPr>
            <w:tcW w:w="1020" w:type="dxa"/>
            <w:vAlign w:val="bottom"/>
          </w:tcPr>
          <w:p>
            <w:pPr>
              <w:jc w:val="center"/>
              <w:ind w:right="22"/>
              <w:spacing w:after="0"/>
              <w:rPr>
                <w:sz w:val="20"/>
                <w:szCs w:val="20"/>
                <w:color w:val="auto"/>
              </w:rPr>
            </w:pPr>
            <w:r>
              <w:rPr>
                <w:rFonts w:ascii="Arial" w:cs="Arial" w:eastAsia="Arial" w:hAnsi="Arial"/>
                <w:sz w:val="18"/>
                <w:szCs w:val="18"/>
                <w:b w:val="1"/>
                <w:bCs w:val="1"/>
                <w:color w:val="auto"/>
                <w:w w:val="91"/>
              </w:rPr>
              <w:t>Delaware</w:t>
            </w:r>
          </w:p>
        </w:tc>
        <w:tc>
          <w:tcPr>
            <w:tcW w:w="5560" w:type="dxa"/>
            <w:vAlign w:val="bottom"/>
          </w:tcPr>
          <w:p>
            <w:pPr>
              <w:jc w:val="center"/>
              <w:ind w:left="4358"/>
              <w:spacing w:after="0"/>
              <w:rPr>
                <w:sz w:val="20"/>
                <w:szCs w:val="20"/>
                <w:color w:val="auto"/>
              </w:rPr>
            </w:pPr>
            <w:r>
              <w:rPr>
                <w:rFonts w:ascii="Arial" w:cs="Arial" w:eastAsia="Arial" w:hAnsi="Arial"/>
                <w:sz w:val="18"/>
                <w:szCs w:val="18"/>
                <w:b w:val="1"/>
                <w:bCs w:val="1"/>
                <w:color w:val="auto"/>
                <w:w w:val="91"/>
              </w:rPr>
              <w:t>86-3988281</w:t>
            </w:r>
          </w:p>
        </w:tc>
      </w:tr>
      <w:tr>
        <w:trPr>
          <w:trHeight w:val="149"/>
        </w:trPr>
        <w:tc>
          <w:tcPr>
            <w:tcW w:w="10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2"/>
              </w:rPr>
              <w:t>(State of</w:t>
            </w:r>
          </w:p>
        </w:tc>
        <w:tc>
          <w:tcPr>
            <w:tcW w:w="5560" w:type="dxa"/>
            <w:vAlign w:val="bottom"/>
          </w:tcPr>
          <w:p>
            <w:pPr>
              <w:jc w:val="center"/>
              <w:ind w:left="435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02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incorporation)</w:t>
            </w:r>
          </w:p>
        </w:tc>
        <w:tc>
          <w:tcPr>
            <w:tcW w:w="5560" w:type="dxa"/>
            <w:vAlign w:val="bottom"/>
          </w:tcPr>
          <w:p>
            <w:pPr>
              <w:jc w:val="center"/>
              <w:ind w:left="4358"/>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1020" w:type="dxa"/>
            <w:vAlign w:val="bottom"/>
          </w:tcPr>
          <w:p>
            <w:pPr>
              <w:spacing w:after="0"/>
              <w:rPr>
                <w:sz w:val="24"/>
                <w:szCs w:val="24"/>
                <w:color w:val="auto"/>
              </w:rPr>
            </w:pPr>
          </w:p>
        </w:tc>
        <w:tc>
          <w:tcPr>
            <w:tcW w:w="5560" w:type="dxa"/>
            <w:vAlign w:val="bottom"/>
          </w:tcPr>
          <w:p>
            <w:pPr>
              <w:jc w:val="center"/>
              <w:ind w:right="1158"/>
              <w:spacing w:after="0"/>
              <w:rPr>
                <w:sz w:val="20"/>
                <w:szCs w:val="20"/>
                <w:color w:val="auto"/>
              </w:rPr>
            </w:pPr>
            <w:r>
              <w:rPr>
                <w:rFonts w:ascii="Arial" w:cs="Arial" w:eastAsia="Arial" w:hAnsi="Arial"/>
                <w:sz w:val="18"/>
                <w:szCs w:val="18"/>
                <w:b w:val="1"/>
                <w:bCs w:val="1"/>
                <w:color w:val="auto"/>
                <w:w w:val="91"/>
              </w:rPr>
              <w:t>550 Cochituate Rd</w:t>
            </w:r>
          </w:p>
        </w:tc>
      </w:tr>
      <w:tr>
        <w:trPr>
          <w:trHeight w:val="212"/>
        </w:trPr>
        <w:tc>
          <w:tcPr>
            <w:tcW w:w="1020" w:type="dxa"/>
            <w:vAlign w:val="bottom"/>
          </w:tcPr>
          <w:p>
            <w:pPr>
              <w:spacing w:after="0"/>
              <w:rPr>
                <w:sz w:val="18"/>
                <w:szCs w:val="18"/>
                <w:color w:val="auto"/>
              </w:rPr>
            </w:pPr>
          </w:p>
        </w:tc>
        <w:tc>
          <w:tcPr>
            <w:tcW w:w="5560" w:type="dxa"/>
            <w:vAlign w:val="bottom"/>
          </w:tcPr>
          <w:p>
            <w:pPr>
              <w:jc w:val="center"/>
              <w:ind w:right="1138"/>
              <w:spacing w:after="0"/>
              <w:rPr>
                <w:sz w:val="20"/>
                <w:szCs w:val="20"/>
                <w:color w:val="auto"/>
              </w:rPr>
            </w:pPr>
            <w:r>
              <w:rPr>
                <w:rFonts w:ascii="Arial" w:cs="Arial" w:eastAsia="Arial" w:hAnsi="Arial"/>
                <w:sz w:val="18"/>
                <w:szCs w:val="18"/>
                <w:b w:val="1"/>
                <w:bCs w:val="1"/>
                <w:color w:val="auto"/>
                <w:w w:val="94"/>
              </w:rPr>
              <w:t>Framingham, MA 01701</w:t>
            </w:r>
          </w:p>
        </w:tc>
      </w:tr>
      <w:tr>
        <w:trPr>
          <w:trHeight w:val="186"/>
        </w:trPr>
        <w:tc>
          <w:tcPr>
            <w:tcW w:w="1020" w:type="dxa"/>
            <w:vAlign w:val="bottom"/>
          </w:tcPr>
          <w:p>
            <w:pPr>
              <w:spacing w:after="0"/>
              <w:rPr>
                <w:sz w:val="16"/>
                <w:szCs w:val="16"/>
                <w:color w:val="auto"/>
              </w:rPr>
            </w:pPr>
          </w:p>
        </w:tc>
        <w:tc>
          <w:tcPr>
            <w:tcW w:w="5560" w:type="dxa"/>
            <w:vAlign w:val="bottom"/>
          </w:tcPr>
          <w:p>
            <w:pPr>
              <w:jc w:val="center"/>
              <w:ind w:right="1138"/>
              <w:spacing w:after="0"/>
              <w:rPr>
                <w:sz w:val="20"/>
                <w:szCs w:val="20"/>
                <w:color w:val="auto"/>
              </w:rPr>
            </w:pPr>
            <w:r>
              <w:rPr>
                <w:rFonts w:ascii="Arial" w:cs="Arial" w:eastAsia="Arial" w:hAnsi="Arial"/>
                <w:sz w:val="14"/>
                <w:szCs w:val="14"/>
                <w:b w:val="1"/>
                <w:bCs w:val="1"/>
                <w:color w:val="auto"/>
                <w:w w:val="91"/>
              </w:rPr>
              <w:t>(Address of principal executive offices)</w:t>
            </w:r>
          </w:p>
        </w:tc>
      </w:tr>
      <w:tr>
        <w:trPr>
          <w:trHeight w:val="394"/>
        </w:trPr>
        <w:tc>
          <w:tcPr>
            <w:tcW w:w="1020" w:type="dxa"/>
            <w:vAlign w:val="bottom"/>
          </w:tcPr>
          <w:p>
            <w:pPr>
              <w:spacing w:after="0"/>
              <w:rPr>
                <w:sz w:val="24"/>
                <w:szCs w:val="24"/>
                <w:color w:val="auto"/>
              </w:rPr>
            </w:pPr>
          </w:p>
        </w:tc>
        <w:tc>
          <w:tcPr>
            <w:tcW w:w="5560" w:type="dxa"/>
            <w:vAlign w:val="bottom"/>
          </w:tcPr>
          <w:p>
            <w:pPr>
              <w:jc w:val="center"/>
              <w:ind w:right="1158"/>
              <w:spacing w:after="0"/>
              <w:rPr>
                <w:sz w:val="20"/>
                <w:szCs w:val="20"/>
                <w:color w:val="auto"/>
              </w:rPr>
            </w:pPr>
            <w:r>
              <w:rPr>
                <w:rFonts w:ascii="Arial" w:cs="Arial" w:eastAsia="Arial" w:hAnsi="Arial"/>
                <w:sz w:val="18"/>
                <w:szCs w:val="18"/>
                <w:b w:val="1"/>
                <w:bCs w:val="1"/>
                <w:color w:val="auto"/>
                <w:w w:val="90"/>
              </w:rPr>
              <w:t>(508) 720-4224</w:t>
            </w:r>
          </w:p>
        </w:tc>
      </w:tr>
      <w:tr>
        <w:trPr>
          <w:trHeight w:val="186"/>
        </w:trPr>
        <w:tc>
          <w:tcPr>
            <w:tcW w:w="1020" w:type="dxa"/>
            <w:vAlign w:val="bottom"/>
          </w:tcPr>
          <w:p>
            <w:pPr>
              <w:spacing w:after="0"/>
              <w:rPr>
                <w:sz w:val="16"/>
                <w:szCs w:val="16"/>
                <w:color w:val="auto"/>
              </w:rPr>
            </w:pPr>
          </w:p>
        </w:tc>
        <w:tc>
          <w:tcPr>
            <w:tcW w:w="5560" w:type="dxa"/>
            <w:vAlign w:val="bottom"/>
          </w:tcPr>
          <w:p>
            <w:pPr>
              <w:jc w:val="center"/>
              <w:ind w:right="115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94"/>
        </w:trPr>
        <w:tc>
          <w:tcPr>
            <w:tcW w:w="1020" w:type="dxa"/>
            <w:vAlign w:val="bottom"/>
          </w:tcPr>
          <w:p>
            <w:pPr>
              <w:spacing w:after="0"/>
              <w:rPr>
                <w:sz w:val="24"/>
                <w:szCs w:val="24"/>
                <w:color w:val="auto"/>
              </w:rPr>
            </w:pPr>
          </w:p>
        </w:tc>
        <w:tc>
          <w:tcPr>
            <w:tcW w:w="5560" w:type="dxa"/>
            <w:vAlign w:val="bottom"/>
          </w:tcPr>
          <w:p>
            <w:pPr>
              <w:jc w:val="center"/>
              <w:ind w:right="1158"/>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1020" w:type="dxa"/>
            <w:vAlign w:val="bottom"/>
          </w:tcPr>
          <w:p>
            <w:pPr>
              <w:spacing w:after="0"/>
              <w:rPr>
                <w:sz w:val="16"/>
                <w:szCs w:val="16"/>
                <w:color w:val="auto"/>
              </w:rPr>
            </w:pPr>
          </w:p>
        </w:tc>
        <w:tc>
          <w:tcPr>
            <w:tcW w:w="5560" w:type="dxa"/>
            <w:vAlign w:val="bottom"/>
          </w:tcPr>
          <w:p>
            <w:pPr>
              <w:jc w:val="center"/>
              <w:ind w:right="1138"/>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Class A 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DH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On November 10, 2021, Definitive Healthcare Corp. (the “Company”) entered into a Stock and Unit Purchase Agreement (the “Purchase Agreement”) with certain selling securityholders named therein (each such securityholder a “Seller” and collectively, the “Sellers”).</w:t>
      </w:r>
    </w:p>
    <w:p>
      <w:pPr>
        <w:spacing w:after="0" w:line="170" w:lineRule="exact"/>
        <w:rPr>
          <w:sz w:val="20"/>
          <w:szCs w:val="20"/>
          <w:color w:val="auto"/>
        </w:rPr>
      </w:pPr>
    </w:p>
    <w:p>
      <w:pPr>
        <w:jc w:val="both"/>
        <w:ind w:left="4" w:right="40"/>
        <w:spacing w:after="0" w:line="263" w:lineRule="auto"/>
        <w:rPr>
          <w:sz w:val="20"/>
          <w:szCs w:val="20"/>
          <w:color w:val="auto"/>
        </w:rPr>
      </w:pPr>
      <w:r>
        <w:rPr>
          <w:rFonts w:ascii="Arial" w:cs="Arial" w:eastAsia="Arial" w:hAnsi="Arial"/>
          <w:sz w:val="18"/>
          <w:szCs w:val="18"/>
          <w:color w:val="auto"/>
        </w:rPr>
        <w:t>Pursuant to the Purchase Agreement, the Company has agreed to purchase from the Sellers, in a private, non-underwritten transaction, a portion of the shares of Class A Common Stock $0.001 par value, per share and/or limited liability company units of AIDH TopCo, LLC, as applicable, held by the Sellers at the price and subject to the terms and conditions set forth in the Purchase Agreement.</w:t>
      </w:r>
    </w:p>
    <w:p>
      <w:pPr>
        <w:spacing w:after="0" w:line="184"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The description of the Purchase Agreement contained herein is qualified in its entirety by reference to the Purchase Agreement, a copy of which is attached hereto as Exhibit 10.1 and incorporated herein by reference.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64" w:hanging="264"/>
        <w:spacing w:after="0"/>
        <w:tabs>
          <w:tab w:leader="none" w:pos="264"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52" w:lineRule="exact"/>
        <w:rPr>
          <w:sz w:val="20"/>
          <w:szCs w:val="20"/>
          <w:color w:val="auto"/>
        </w:rPr>
      </w:pPr>
    </w:p>
    <w:p>
      <w:pPr>
        <w:jc w:val="both"/>
        <w:ind w:left="664" w:right="260" w:hanging="660"/>
        <w:spacing w:after="0" w:line="263" w:lineRule="auto"/>
        <w:tabs>
          <w:tab w:leader="none" w:pos="644"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8">
        <w:r>
          <w:rPr>
            <w:rFonts w:ascii="Arial" w:cs="Arial" w:eastAsia="Arial" w:hAnsi="Arial"/>
            <w:sz w:val="18"/>
            <w:szCs w:val="18"/>
            <w:u w:val="single" w:color="auto"/>
            <w:color w:val="0000EE"/>
          </w:rPr>
          <w:t>Stock and Unit Purchase Agreement, dated November 10, 2021 by and among Definitive Healthcare Corp. and the selling securityholders</w:t>
        </w:r>
      </w:hyperlink>
      <w:r>
        <w:rPr>
          <w:rFonts w:ascii="Arial" w:cs="Arial" w:eastAsia="Arial" w:hAnsi="Arial"/>
          <w:sz w:val="18"/>
          <w:szCs w:val="18"/>
          <w:u w:val="single" w:color="auto"/>
          <w:color w:val="0000EE"/>
        </w:rPr>
        <w:t xml:space="preserve"> </w:t>
      </w:r>
      <w:hyperlink r:id="rId18">
        <w:r>
          <w:rPr>
            <w:rFonts w:ascii="Arial" w:cs="Arial" w:eastAsia="Arial" w:hAnsi="Arial"/>
            <w:sz w:val="18"/>
            <w:szCs w:val="18"/>
            <w:u w:val="single" w:color="auto"/>
            <w:color w:val="0000EE"/>
          </w:rPr>
          <w:t>named therein (incorporated by reference to Exhibit 10.21 to the Company’s Registration Statement filed with the SEC on November 15,</w:t>
        </w:r>
      </w:hyperlink>
      <w:r>
        <w:rPr>
          <w:rFonts w:ascii="Arial" w:cs="Arial" w:eastAsia="Arial" w:hAnsi="Arial"/>
          <w:sz w:val="18"/>
          <w:szCs w:val="18"/>
          <w:u w:val="single" w:color="auto"/>
          <w:color w:val="0000EE"/>
        </w:rPr>
        <w:t xml:space="preserve"> </w:t>
      </w:r>
      <w:hyperlink r:id="rId18">
        <w:r>
          <w:rPr>
            <w:rFonts w:ascii="Arial" w:cs="Arial" w:eastAsia="Arial" w:hAnsi="Arial"/>
            <w:sz w:val="18"/>
            <w:szCs w:val="18"/>
            <w:u w:val="single" w:color="auto"/>
            <w:color w:val="0000EE"/>
          </w:rPr>
          <w:t>2021).</w:t>
        </w:r>
      </w:hyperlink>
    </w:p>
    <w:p>
      <w:pPr>
        <w:spacing w:after="0" w:line="76" w:lineRule="exact"/>
        <w:rPr>
          <w:rFonts w:ascii="Arial" w:cs="Arial" w:eastAsia="Arial" w:hAnsi="Arial"/>
          <w:sz w:val="18"/>
          <w:szCs w:val="18"/>
          <w:u w:val="single" w:color="auto"/>
          <w:color w:val="0000EE"/>
        </w:rPr>
      </w:pPr>
    </w:p>
    <w:p>
      <w:pPr>
        <w:ind w:left="4"/>
        <w:spacing w:after="0"/>
        <w:tabs>
          <w:tab w:leader="none" w:pos="64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844"/>
          </w:cols>
          <w:pgMar w:left="436" w:top="297" w:right="6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DEFINITIVE HEALTHCARE CORP.</w:t>
      </w:r>
    </w:p>
    <w:p>
      <w:pPr>
        <w:spacing w:after="0" w:line="225"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620" w:type="dxa"/>
            <w:vAlign w:val="bottom"/>
          </w:tcPr>
          <w:p>
            <w:pPr>
              <w:ind w:left="20"/>
              <w:spacing w:after="0"/>
              <w:rPr>
                <w:sz w:val="20"/>
                <w:szCs w:val="20"/>
                <w:color w:val="auto"/>
              </w:rPr>
            </w:pPr>
            <w:r>
              <w:rPr>
                <w:rFonts w:ascii="Arial" w:cs="Arial" w:eastAsia="Arial" w:hAnsi="Arial"/>
                <w:sz w:val="18"/>
                <w:szCs w:val="18"/>
                <w:color w:val="auto"/>
              </w:rPr>
              <w:t>By:</w:t>
            </w: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Samuels</w:t>
            </w:r>
          </w:p>
        </w:tc>
      </w:tr>
      <w:tr>
        <w:trPr>
          <w:trHeight w:val="209"/>
        </w:trPr>
        <w:tc>
          <w:tcPr>
            <w:tcW w:w="620" w:type="dxa"/>
            <w:vAlign w:val="bottom"/>
          </w:tcPr>
          <w:p>
            <w:pPr>
              <w:ind w:left="20"/>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David Samuels</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Chief Legal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2021</w:t>
      </w: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18" Type="http://schemas.openxmlformats.org/officeDocument/2006/relationships/hyperlink" Target="http://www.sec.gov/Archives/edgar/data/1861795/000119312521330014/d204687dex10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2021-11-16T05:41:38Z</dcterms:created>
  <dcterms:modified xsi:type="dcterms:W3CDTF">2021-11-16T05:41:38Z</dcterms:modified>
</cp:coreProperties>
</file>