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4"/>
        </w:rPr>
      </w:pPr>
      <w:bookmarkStart w:id="0" w:name="dh-20260331.htm"/>
      <w:bookmarkStart w:id="1" w:name="ksdh20260331"/>
      <w:bookmarkEnd w:id="0"/>
      <w:bookmarkEnd w:id="1"/>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March 31,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001-40815</w:t>
      </w:r>
    </w:p>
    <w:p>
      <w:pPr>
        <w:pStyle w:val="TextBody"/>
        <w:bidi w:val="0"/>
        <w:spacing w:before="40" w:after="283"/>
        <w:jc w:val="center"/>
        <w:rPr>
          <w:rFonts w:ascii="Times New Roman" w:hAnsi="Times New Roman"/>
          <w:sz w:val="20"/>
        </w:rPr>
      </w:pPr>
      <w:r>
        <w:rPr>
          <w:rFonts w:ascii="Times New Roman" w:hAnsi="Times New Roman"/>
          <w:b/>
          <w:color w:val="000000"/>
          <w:sz w:val="46"/>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(508) 720-4224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by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May 4, 2026, the number of outstanding shares of the registrant’s Class A common stock was 105,524,238</w:t>
      </w:r>
      <w:r>
        <w:rPr>
          <w:rFonts w:ascii="Times New Roman" w:hAnsi="Times New Roman"/>
          <w:color w:val="000000"/>
          <w:sz w:val="20"/>
        </w:rPr>
        <w:t xml:space="preserve"> </w:t>
      </w:r>
      <w:r>
        <w:rPr>
          <w:rFonts w:ascii="Times New Roman" w:hAnsi="Times New Roman"/>
          <w:color w:val="000000"/>
          <w:sz w:val="18"/>
        </w:rPr>
        <w:t>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Definitive Healthcare Corp.</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13" w:type="dxa"/>
        <w:jc w:val="left"/>
        <w:tblInd w:w="0" w:type="dxa"/>
        <w:tblLayout w:type="fixed"/>
        <w:tblCellMar>
          <w:top w:w="28" w:type="dxa"/>
          <w:left w:w="28" w:type="dxa"/>
          <w:bottom w:w="28" w:type="dxa"/>
          <w:right w:w="28" w:type="dxa"/>
        </w:tblCellMar>
      </w:tblPr>
      <w:tblGrid>
        <w:gridCol w:w="1051"/>
        <w:gridCol w:w="7606"/>
        <w:gridCol w:w="556"/>
      </w:tblGrid>
      <w:tr>
        <w:trPr/>
        <w:tc>
          <w:tcPr>
            <w:tcW w:w="105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05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ind w:left="0" w:right="0" w:firstLine="240"/>
              <w:jc w:val="left"/>
              <w:rPr/>
            </w:pPr>
            <w:r>
              <w:rPr/>
              <w:t> </w:t>
            </w:r>
          </w:p>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lossary">
              <w:r>
                <w:rPr>
                  <w:rStyle w:val="InternetLink"/>
                  <w:rFonts w:ascii="Times New Roman" w:hAnsi="Times New Roman"/>
                  <w:color w:val="0000FF"/>
                  <w:sz w:val="20"/>
                  <w:u w:val="single"/>
                </w:rPr>
                <w:t>Glossary</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Condensed Consolidated Balance Sheets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operations">
              <w:r>
                <w:rPr>
                  <w:rStyle w:val="InternetLink"/>
                  <w:rFonts w:ascii="Times New Roman" w:hAnsi="Times New Roman"/>
                  <w:color w:val="0000FF"/>
                  <w:sz w:val="20"/>
                  <w:u w:val="single"/>
                </w:rPr>
                <w:t>Condensed Consolidated Statements of Operations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omprehensive_loss">
              <w:r>
                <w:rPr>
                  <w:rStyle w:val="InternetLink"/>
                  <w:rFonts w:ascii="Times New Roman" w:hAnsi="Times New Roman"/>
                  <w:color w:val="0000FF"/>
                  <w:sz w:val="20"/>
                  <w:u w:val="single"/>
                </w:rPr>
                <w:t>Condensed Consolidated Statements of Comprehensive Loss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hanges_in_members_equity">
              <w:r>
                <w:rPr>
                  <w:rStyle w:val="InternetLink"/>
                  <w:rFonts w:ascii="Times New Roman" w:hAnsi="Times New Roman"/>
                  <w:color w:val="0000FF"/>
                  <w:sz w:val="20"/>
                  <w:u w:val="single"/>
                </w:rPr>
                <w:t>Condensed Consolidated Statements of Changes in Total Equity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
              <w:r>
                <w:rPr>
                  <w:rStyle w:val="InternetLink"/>
                  <w:rFonts w:ascii="Times New Roman" w:hAnsi="Times New Roman"/>
                  <w:color w:val="0000FF"/>
                  <w:sz w:val="20"/>
                  <w:u w:val="single"/>
                </w:rPr>
                <w:t>Notes to the Condensed Consolidated 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11</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53</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54</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55</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5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56</w:t>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(“Quarterly Report”), the terms identified below have the meanings specified below unless otherwise noted or the context indicates otherwise. References in this Quarterly Report to “Definitive Healthcare Corp.” refer to Definitive Healthcare Corp. and not to any of its subsidiaries unless the context indicates otherwise. References in this Quarterly Report to “Definitive Healthcare,” “Definitive,” the “Company,” “we,” “us,” and “our” refer to Definitive Healthcare Corp. and its consolidated subsidiaries unless the context indicates otherwise.</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(as the term is defined below)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Management Holdings, LLC</w:t>
      </w:r>
      <w:r>
        <w:rPr>
          <w:color w:val="000000"/>
        </w:rPr>
        <w:t xml:space="preserve">” </w:t>
      </w:r>
      <w:r>
        <w:rPr>
          <w:rFonts w:ascii="Times New Roman" w:hAnsi="Times New Roman"/>
          <w:color w:val="000000"/>
          <w:sz w:val="20"/>
        </w:rPr>
        <w:t>is a special purpose investment vehicle through which certain persons, primarily employees and certain legacy investors, indirectly hold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 xml:space="preserve">refers to the second amended and restated limited liability company agreement entered into by Definitive Opco pursuant to which members have the right to exchange all or a portion of their LLC units (as the term is defined below) for newly issued shares of Class A common stock in Definitive Healthcare Corp.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that held LLC units in Definitive OpCo which, through the Reorganization Transactions (as the term is defined below), were merged into Definitive Healthcare Corp. and are now holders of Class A common stock.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(as the term is defined below),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 xml:space="preserve">refers to transactions completed in connection with the Company’s IPO as defined within Note 1. </w:t>
      </w:r>
      <w:r>
        <w:rPr>
          <w:rFonts w:ascii="Times New Roman" w:hAnsi="Times New Roman"/>
          <w:i/>
          <w:color w:val="000000"/>
          <w:sz w:val="20"/>
        </w:rPr>
        <w:t>Organization and Basis of Presentation</w:t>
      </w:r>
      <w:r>
        <w:rPr>
          <w:color w:val="000000"/>
        </w:rPr>
        <w:t xml:space="preserve"> </w:t>
      </w:r>
      <w:r>
        <w:rPr>
          <w:rFonts w:ascii="Times New Roman" w:hAnsi="Times New Roman"/>
          <w:color w:val="000000"/>
          <w:sz w:val="20"/>
        </w:rPr>
        <w:t>included in Part I, Item 1 of this Quarterly Report.</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TRA</w:t>
      </w:r>
      <w:r>
        <w:rPr>
          <w:color w:val="000000"/>
        </w:rPr>
        <w:t xml:space="preserve">” </w:t>
      </w:r>
      <w:r>
        <w:rPr>
          <w:rFonts w:ascii="Times New Roman" w:hAnsi="Times New Roman"/>
          <w:color w:val="000000"/>
          <w:sz w:val="20"/>
        </w:rPr>
        <w:t xml:space="preserve">refers to the Tax Receivable Agreement between Definitive Healthcare Corp., Definitive OpCo, and the TRA Parties (as the term is defined below).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TRA.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(i) our dependence on third parties, including public sources, for data, information, and other services, and our relationships with such third parties; (ii) increased accessibility to free or relatively inexpensive information sources; (iii) our ability to maintain high annual renewal rates; (iv) our ability to compete in the highly competitive industry in which we operate, and potential adverse effects of this competition; (v) our ability to maintain revenues if our products and services do not achieve and maintain broad market acceptance, or if we are unable to keep pace with or adapt to rapidly changing technology, evolving industry standards, macroeconomic market conditions, and changing regulatory requirements; (vi) changes in government policy positions, including trade policy, spending priorities, or reductions in government programs, government spending, or research funding; (vii) our loss of, or inability to attract and retain, key personnel; (viii) the effectiveness of our business plans; (ix) our ability to derive fully the anticipated benefits from organic growth, existing or future acquisitions, joint ventures, investments, or dispositions; (x) our exposure to risk from having operations and employees in other countries; (xi) our exposure to risk from the international scope of our operations, including potentially adverse tax consequences from the international scope of our operations and our corporate and financing structure; (xii) the strength of our brand and reputation; (xiii) our level of indebtedness, which could adversely affect our business, financial condition, and results of operations; (xiv) our ability to obtain, protect, defend, or enforce our intellectual property rights; (xv) our ability to leverage artificial intelligence technologies (“AI”) in our products and services, including generative AI, large language models, machine learning, and other AI tools; (xvi) any significant disruption in or unauthorized access to or breaches of our computer systems or those of third parties that we utilize in our operations, including those relating to cybersecurity or arising from cyberattacks; (xvii) our use of “open source” software in our products and services; (xviii) our ability to comply with applicable data protection and privacy laws; and (xix) other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our Annual Report on Form 10-K for the year ended December 31, 2025 (the “2025 Form 10-K”) filed with the Securities and Exchange Commission (“SEC”) on February 26, 2026,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3"/>
        <w:gridCol w:w="246"/>
        <w:gridCol w:w="217"/>
        <w:gridCol w:w="963"/>
        <w:gridCol w:w="166"/>
        <w:gridCol w:w="246"/>
        <w:gridCol w:w="232"/>
        <w:gridCol w:w="1028"/>
        <w:gridCol w:w="594"/>
      </w:tblGrid>
      <w:tr>
        <w:trPr/>
        <w:tc>
          <w:tcPr>
            <w:tcW w:w="65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105,263,448 and 104,020,957 shares issued and outstanding at March 31,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38,225,333 and 38,339,076 shares issued and outstanding at March 31,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amounts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832"/>
        <w:gridCol w:w="1346"/>
        <w:gridCol w:w="211"/>
        <w:gridCol w:w="1141"/>
        <w:gridCol w:w="266"/>
        <w:gridCol w:w="246"/>
        <w:gridCol w:w="211"/>
        <w:gridCol w:w="1141"/>
        <w:gridCol w:w="811"/>
      </w:tblGrid>
      <w:tr>
        <w:trPr/>
        <w:tc>
          <w:tcPr>
            <w:tcW w:w="48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242,940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Gain on remeasurement of Tax Receivable Agreement liability</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on partial extinguishment of debt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104,675,068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omprehensive_loss"/>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8809" w:type="dxa"/>
        <w:jc w:val="left"/>
        <w:tblInd w:w="0" w:type="dxa"/>
        <w:tblLayout w:type="fixed"/>
        <w:tblCellMar>
          <w:top w:w="28" w:type="dxa"/>
          <w:left w:w="28" w:type="dxa"/>
          <w:bottom w:w="28" w:type="dxa"/>
          <w:right w:w="28" w:type="dxa"/>
        </w:tblCellMar>
      </w:tblPr>
      <w:tblGrid>
        <w:gridCol w:w="5636"/>
        <w:gridCol w:w="146"/>
        <w:gridCol w:w="211"/>
        <w:gridCol w:w="841"/>
        <w:gridCol w:w="166"/>
        <w:gridCol w:w="146"/>
        <w:gridCol w:w="211"/>
        <w:gridCol w:w="841"/>
        <w:gridCol w:w="611"/>
      </w:tblGrid>
      <w:tr>
        <w:trPr/>
        <w:tc>
          <w:tcPr>
            <w:tcW w:w="5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interest rate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sz w:val="20"/>
        </w:rPr>
      </w:pPr>
      <w:bookmarkStart w:id="8" w:name="changes_in_members_equity"/>
      <w:bookmarkEnd w:id="8"/>
      <w:r>
        <w:rPr>
          <w:rFonts w:ascii="Times New Roman" w:hAnsi="Times New Roman"/>
          <w:b/>
          <w:color w:val="000000"/>
          <w:sz w:val="18"/>
        </w:rPr>
        <w:t>CONDENSED CONSOLIDATED STATEMENTS OF CHANGES IN TOTAL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33"/>
        <w:gridCol w:w="788"/>
        <w:gridCol w:w="16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104,020,957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38,339,076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105,263,448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38,225,333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1,065,811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(918,127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190,699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CHANGES IN TOTAL EQUITY (CONTINUED)</w:t>
      </w:r>
    </w:p>
    <w:p>
      <w:pPr>
        <w:pStyle w:val="TextBody"/>
        <w:bidi w:val="0"/>
        <w:jc w:val="center"/>
        <w:rPr>
          <w:rFonts w:ascii="Times New Roman" w:hAnsi="Times New Roman"/>
          <w:sz w:val="20"/>
        </w:rPr>
      </w:pPr>
      <w:r>
        <w:rPr>
          <w:rFonts w:ascii="Times New Roman" w:hAnsi="Times New Roman"/>
          <w:i/>
          <w:color w:val="000000"/>
          <w:sz w:val="18"/>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25"/>
        <w:gridCol w:w="796"/>
        <w:gridCol w:w="16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113,953,554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(5,604,751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 unvested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109,646,157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38,997,184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(747,802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435,905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942"/>
        <w:gridCol w:w="946"/>
        <w:gridCol w:w="196"/>
        <w:gridCol w:w="751"/>
        <w:gridCol w:w="266"/>
        <w:gridCol w:w="246"/>
        <w:gridCol w:w="196"/>
        <w:gridCol w:w="751"/>
        <w:gridCol w:w="911"/>
      </w:tblGrid>
      <w:tr>
        <w:trPr/>
        <w:tc>
          <w:tcPr>
            <w:tcW w:w="5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13,226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Benefit from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(11,007</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10,351</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19,094</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11,564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26,066</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103,251</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(6,221</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83,545</w:t>
            </w:r>
          </w:p>
        </w:tc>
        <w:tc>
          <w:tcPr>
            <w:tcW w:w="9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(246,250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(10,876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(109,706</w:t>
            </w:r>
          </w:p>
        </w:tc>
        <w:tc>
          <w:tcPr>
            <w:tcW w:w="9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157,648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10" w:name="notes_to_financial_statements"/>
      <w:bookmarkEnd w:id="10"/>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 and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(“the Company”) is a leading provider of healthcare data and analytics, which provides accurate, comprehensive information on healthcare providers and their activities, enabling customers to make informed decisions across product development, go-to-market planning, and sales and marketing execution. The Company also offers claims and consumer analytics built from modeled data on millions of unique consumers to help healthcare organizations target, message, and engage specific healthcare audiences.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which is headquartered in Framingham, Massachusetts, was founded in 2011 and incorporated as Definitive Healthcare Corp. in May 2021 for the purposes of facilitating an IPO of its Class A common stock, which was completed on September 17,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the Amended LLC Agreement pursuant to which members of Definitive OpCo prior to the IPO who continued to hold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the Company’s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the Company, and subsequently merged into the Company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The Company operates and controls all of the business and affairs of Definitive OpCo, and through Definitive OpCo and its subsidiaries, conducts its business. Accordingly, the Company consolidates the financial results of Definitive OpCo, and reports the noncontrolling interests of unexchanged LLC Unit holders on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the Company entered into a TRA.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March 31, 2026 and for the three months ended March 31, 2026 and 2025 are unaudited and should be read in conjunction with the Company’s audited financial statements for the year ended December 31, 2025. All adjustments, consisting of normal recurring adjustments, except as otherwise noted, considered, in the opinion of management, necessary for a fair presentation of the unaudited condensed consolidated financial statements for these interim periods have been included.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for the Company’s significant accounting policies and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 in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(“ASU 2024-03”). ASU 2024-03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ASU 2024-03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w:t>
      </w:r>
      <w:r>
        <w:rPr>
          <w:rFonts w:ascii="Times New Roman" w:hAnsi="Times New Roman"/>
          <w:color w:val="000000"/>
          <w:sz w:val="20"/>
        </w:rPr>
        <w:t>(“ASU 2025-06”). ASU 2025-06 modernizes and clarifies the threshold for when an entity is required to begin capitalizing software costs and is based on when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 xml:space="preserve">Derivatives and Hedging (Topic 815) and Revenue from Contracts with Customers (Topic 606): Derivative Scope Refinements and Scope Clarification for Share-Based Noncash Consideration from a Customer in a Revenue Contract </w:t>
      </w:r>
      <w:r>
        <w:rPr>
          <w:rFonts w:ascii="Times New Roman" w:hAnsi="Times New Roman"/>
          <w:color w:val="000000"/>
          <w:sz w:val="20"/>
        </w:rPr>
        <w:t>(“ASU 2025-07”), which refines the scope Topic 815 and clarifies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new accounting pronouncements issued or effective during the first three months of the current year have had, or are expected to have, a material impact on the Company’s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from its arrangements with customers by type of service as it believes these categories best depict how the nature, amount, timing, and uncertainty of revenue and cash flows are affected by economic factors.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three months ended March 31, 2026 and 2025, respectively: </w:t>
      </w:r>
    </w:p>
    <w:tbl>
      <w:tblPr>
        <w:tblW w:w="4781" w:type="dxa"/>
        <w:jc w:val="left"/>
        <w:tblInd w:w="0" w:type="dxa"/>
        <w:tblLayout w:type="fixed"/>
        <w:tblCellMar>
          <w:top w:w="28" w:type="dxa"/>
          <w:left w:w="28" w:type="dxa"/>
          <w:bottom w:w="28" w:type="dxa"/>
          <w:right w:w="28" w:type="dxa"/>
        </w:tblCellMar>
      </w:tblPr>
      <w:tblGrid>
        <w:gridCol w:w="1946"/>
        <w:gridCol w:w="246"/>
        <w:gridCol w:w="223"/>
        <w:gridCol w:w="716"/>
        <w:gridCol w:w="260"/>
        <w:gridCol w:w="260"/>
        <w:gridCol w:w="223"/>
        <w:gridCol w:w="716"/>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53,571</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for the three months ended March 31, 2026 and the year ended December 31, 2025 is presented below: </w:t>
      </w:r>
    </w:p>
    <w:tbl>
      <w:tblPr>
        <w:tblW w:w="10205" w:type="dxa"/>
        <w:jc w:val="left"/>
        <w:tblInd w:w="0" w:type="dxa"/>
        <w:tblLayout w:type="fixed"/>
        <w:tblCellMar>
          <w:top w:w="28" w:type="dxa"/>
          <w:left w:w="28" w:type="dxa"/>
          <w:bottom w:w="28" w:type="dxa"/>
          <w:right w:w="28" w:type="dxa"/>
        </w:tblCellMar>
      </w:tblPr>
      <w:tblGrid>
        <w:gridCol w:w="3885"/>
        <w:gridCol w:w="646"/>
        <w:gridCol w:w="578"/>
        <w:gridCol w:w="1854"/>
        <w:gridCol w:w="266"/>
        <w:gridCol w:w="246"/>
        <w:gridCol w:w="471"/>
        <w:gridCol w:w="1646"/>
        <w:gridCol w:w="613"/>
      </w:tblGrid>
      <w:tr>
        <w:trPr/>
        <w:tc>
          <w:tcPr>
            <w:tcW w:w="388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months ended March 31, 2026 and for the year ended December 31, 2025 is presented below: </w:t>
      </w:r>
    </w:p>
    <w:tbl>
      <w:tblPr>
        <w:tblW w:w="8915" w:type="dxa"/>
        <w:jc w:val="left"/>
        <w:tblInd w:w="0" w:type="dxa"/>
        <w:tblLayout w:type="fixed"/>
        <w:tblCellMar>
          <w:top w:w="28" w:type="dxa"/>
          <w:left w:w="28" w:type="dxa"/>
          <w:bottom w:w="28" w:type="dxa"/>
          <w:right w:w="28" w:type="dxa"/>
        </w:tblCellMar>
      </w:tblPr>
      <w:tblGrid>
        <w:gridCol w:w="2741"/>
        <w:gridCol w:w="246"/>
        <w:gridCol w:w="625"/>
        <w:gridCol w:w="2180"/>
        <w:gridCol w:w="266"/>
        <w:gridCol w:w="246"/>
        <w:gridCol w:w="481"/>
        <w:gridCol w:w="1919"/>
        <w:gridCol w:w="211"/>
      </w:tblGrid>
      <w:tr>
        <w:trP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160,565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686"/>
        <w:gridCol w:w="1129"/>
        <w:gridCol w:w="246"/>
        <w:gridCol w:w="246"/>
        <w:gridCol w:w="211"/>
        <w:gridCol w:w="676"/>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725"/>
        <w:gridCol w:w="1090"/>
        <w:gridCol w:w="246"/>
        <w:gridCol w:w="246"/>
        <w:gridCol w:w="211"/>
        <w:gridCol w:w="676"/>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March 31, 2026 and December 31, 2025 is net accumulated accretion of $0.1 million and $0.3 million, respectively. Interest accretion on short-term investments was less than $0.1 million and $1.1 million during the three months ended March 31,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6947" w:type="dxa"/>
        <w:jc w:val="left"/>
        <w:tblInd w:w="0" w:type="dxa"/>
        <w:tblLayout w:type="fixed"/>
        <w:tblCellMar>
          <w:top w:w="28" w:type="dxa"/>
          <w:left w:w="28" w:type="dxa"/>
          <w:bottom w:w="28" w:type="dxa"/>
          <w:right w:w="28" w:type="dxa"/>
        </w:tblCellMar>
      </w:tblPr>
      <w:tblGrid>
        <w:gridCol w:w="3216"/>
        <w:gridCol w:w="646"/>
        <w:gridCol w:w="211"/>
        <w:gridCol w:w="676"/>
        <w:gridCol w:w="266"/>
        <w:gridCol w:w="246"/>
        <w:gridCol w:w="260"/>
        <w:gridCol w:w="835"/>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Prepaid Expenses and 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assets consisted of the following:</w:t>
      </w:r>
    </w:p>
    <w:tbl>
      <w:tblPr>
        <w:tblW w:w="5847" w:type="dxa"/>
        <w:jc w:val="left"/>
        <w:tblInd w:w="0" w:type="dxa"/>
        <w:tblLayout w:type="fixed"/>
        <w:tblCellMar>
          <w:top w:w="28" w:type="dxa"/>
          <w:left w:w="28" w:type="dxa"/>
          <w:bottom w:w="28" w:type="dxa"/>
          <w:right w:w="28" w:type="dxa"/>
        </w:tblCellMar>
      </w:tblPr>
      <w:tblGrid>
        <w:gridCol w:w="2936"/>
        <w:gridCol w:w="246"/>
        <w:gridCol w:w="211"/>
        <w:gridCol w:w="676"/>
        <w:gridCol w:w="246"/>
        <w:gridCol w:w="246"/>
        <w:gridCol w:w="260"/>
        <w:gridCol w:w="835"/>
        <w:gridCol w:w="191"/>
      </w:tblGrid>
      <w:tr>
        <w:trPr/>
        <w:tc>
          <w:tcPr>
            <w:tcW w:w="29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tbl>
      <w:tblPr>
        <w:tblW w:w="8402" w:type="dxa"/>
        <w:jc w:val="left"/>
        <w:tblInd w:w="0" w:type="dxa"/>
        <w:tblLayout w:type="fixed"/>
        <w:tblCellMar>
          <w:top w:w="28" w:type="dxa"/>
          <w:left w:w="28" w:type="dxa"/>
          <w:bottom w:w="28" w:type="dxa"/>
          <w:right w:w="28" w:type="dxa"/>
        </w:tblCellMar>
      </w:tblPr>
      <w:tblGrid>
        <w:gridCol w:w="4611"/>
        <w:gridCol w:w="646"/>
        <w:gridCol w:w="211"/>
        <w:gridCol w:w="736"/>
        <w:gridCol w:w="266"/>
        <w:gridCol w:w="246"/>
        <w:gridCol w:w="260"/>
        <w:gridCol w:w="835"/>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purchased software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Internally developed software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22,188</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associated with property and equipment was $1.0 million and $0.6 million during the three months ended March 31,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Goodwill and Intangible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amounts of goodwill and intangible assets, as of March 31, 2026 and December 31, 2025, consisted of the following: </w:t>
      </w:r>
    </w:p>
    <w:tbl>
      <w:tblPr>
        <w:tblW w:w="8405" w:type="dxa"/>
        <w:jc w:val="left"/>
        <w:tblInd w:w="0" w:type="dxa"/>
        <w:tblLayout w:type="fixed"/>
        <w:tblCellMar>
          <w:top w:w="28" w:type="dxa"/>
          <w:left w:w="28" w:type="dxa"/>
          <w:bottom w:w="28" w:type="dxa"/>
          <w:right w:w="28" w:type="dxa"/>
        </w:tblCellMar>
      </w:tblPr>
      <w:tblGrid>
        <w:gridCol w:w="3011"/>
        <w:gridCol w:w="646"/>
        <w:gridCol w:w="211"/>
        <w:gridCol w:w="781"/>
        <w:gridCol w:w="246"/>
        <w:gridCol w:w="246"/>
        <w:gridCol w:w="216"/>
        <w:gridCol w:w="865"/>
        <w:gridCol w:w="266"/>
        <w:gridCol w:w="246"/>
        <w:gridCol w:w="229"/>
        <w:gridCol w:w="851"/>
        <w:gridCol w:w="591"/>
      </w:tblGrid>
      <w:tr>
        <w:trPr/>
        <w:tc>
          <w:tcPr>
            <w:tcW w:w="30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(233,789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601,848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(366,415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associated with finite-lived intangible assets was $12.2 million and $13.2 million during the three months ended March 31, 2026 and 2025, respectively, of which $4.9 million and $5.3 million was included in cost of revenue during each respective period.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Estimated total intangible amortization expense during the next five years and thereafter is as follows:</w:t>
      </w:r>
    </w:p>
    <w:tbl>
      <w:tblPr>
        <w:tblW w:w="6055" w:type="dxa"/>
        <w:jc w:val="left"/>
        <w:tblInd w:w="0" w:type="dxa"/>
        <w:tblLayout w:type="fixed"/>
        <w:tblCellMar>
          <w:top w:w="28" w:type="dxa"/>
          <w:left w:w="28" w:type="dxa"/>
          <w:bottom w:w="28" w:type="dxa"/>
          <w:right w:w="28" w:type="dxa"/>
        </w:tblCellMar>
      </w:tblPr>
      <w:tblGrid>
        <w:gridCol w:w="4726"/>
        <w:gridCol w:w="146"/>
        <w:gridCol w:w="211"/>
        <w:gridCol w:w="781"/>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11. </w:t>
      </w:r>
      <w:r>
        <w:rPr>
          <w:rFonts w:ascii="Times New Roman" w:hAnsi="Times New Roman"/>
          <w:i/>
          <w:color w:val="000000"/>
          <w:sz w:val="20"/>
        </w:rPr>
        <w:t>Fair Value Measurements</w:t>
      </w:r>
      <w:r>
        <w:rPr>
          <w:rFonts w:ascii="Times New Roman" w:hAnsi="Times New Roman"/>
          <w:color w:val="000000"/>
          <w:sz w:val="20"/>
        </w:rPr>
        <w:t>. The Company traditionally performs an impairment test of goodwill during the fourth quarter of each fiscal year and more frequently if indicators of potential impairment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the Company experienced declines in its market capitalization as a result of sustained decreases in the Company’s stock price, which represented a triggering event requiring management to perform a quantitative goodwill impairment test as of the end of the reporting period. As a result of the impairment test, the Company determined that the fair value of its single reporting unit was lower than its carrying value and, accordingly, recorded a non-cash, pretax, goodwill impairment charge of $197.2 million during the three months ended March 31, 2026. The goodwill impairment charge did not affect the Company’s liquidity or the financial covenants in its outstanding debt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recorded a non-cash, pretax, goodwill impairment charge of $176.5 million during the three months ended March 31, 2025 based on a triggering event driven by declines in its market capitalization as a result of sustained decreases in the Company’s stock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and for the periods ended March 31, 2026 and December 31, 2025, goodwill consisted of the following:</w:t>
      </w:r>
    </w:p>
    <w:tbl>
      <w:tblPr>
        <w:tblW w:w="7120" w:type="dxa"/>
        <w:jc w:val="left"/>
        <w:tblInd w:w="0" w:type="dxa"/>
        <w:tblLayout w:type="fixed"/>
        <w:tblCellMar>
          <w:top w:w="28" w:type="dxa"/>
          <w:left w:w="28" w:type="dxa"/>
          <w:bottom w:w="28" w:type="dxa"/>
          <w:right w:w="28" w:type="dxa"/>
        </w:tblCellMar>
      </w:tblPr>
      <w:tblGrid>
        <w:gridCol w:w="3166"/>
        <w:gridCol w:w="146"/>
        <w:gridCol w:w="281"/>
        <w:gridCol w:w="1324"/>
        <w:gridCol w:w="166"/>
        <w:gridCol w:w="146"/>
        <w:gridCol w:w="277"/>
        <w:gridCol w:w="122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acquired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2901"/>
        <w:gridCol w:w="146"/>
        <w:gridCol w:w="281"/>
        <w:gridCol w:w="1324"/>
        <w:gridCol w:w="166"/>
        <w:gridCol w:w="146"/>
        <w:gridCol w:w="263"/>
        <w:gridCol w:w="1237"/>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also considered its intangible assets with finite useful lives, which are amortized over their estimated useful lives, generally on a straight-line basis or using the economic consumption method if anticipated future revenues can be reasonably estimated. These assets are reviewed for impairment when facts or circumstances indicate that the carrying values may not be recoverable. The Company experienced triggering events during the three months ended March 31, 2026 and 2025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w:t>
      </w:r>
    </w:p>
    <w:tbl>
      <w:tblPr>
        <w:tblW w:w="6867" w:type="dxa"/>
        <w:jc w:val="left"/>
        <w:tblInd w:w="0" w:type="dxa"/>
        <w:tblLayout w:type="fixed"/>
        <w:tblCellMar>
          <w:top w:w="28" w:type="dxa"/>
          <w:left w:w="28" w:type="dxa"/>
          <w:bottom w:w="28" w:type="dxa"/>
          <w:right w:w="28" w:type="dxa"/>
        </w:tblCellMar>
      </w:tblPr>
      <w:tblGrid>
        <w:gridCol w:w="3956"/>
        <w:gridCol w:w="246"/>
        <w:gridCol w:w="211"/>
        <w:gridCol w:w="676"/>
        <w:gridCol w:w="246"/>
        <w:gridCol w:w="246"/>
        <w:gridCol w:w="260"/>
        <w:gridCol w:w="835"/>
        <w:gridCol w:w="191"/>
      </w:tblGrid>
      <w:tr>
        <w:trPr/>
        <w:tc>
          <w:tcPr>
            <w:tcW w:w="3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 liability,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liability for data contract termination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matters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capital data expenditures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three months ended March 31, 2026, the Company committed to a restructuring plan (the “2026 Restructuring Plan”) intended to reduce operating costs, improve operating margins, and continue advancing the Company’s ongoing commitment to profitable growth. The 2026 Restructuring Plan provided for a reduction of the Company’s current workforce by approximately 40 people. During the three months ended March 31, 2026, the Company incurred restructuring and related charges of approximately $1.1 million, consisting of severance payments, employee benefits, and related cash expenses, which were recognized within transaction, integration, and restructuring expenses in the unaudited condensed consolidated statements of operations. As of March 31, 2026, $0.3 million was included in accrued expenses and other liabilities in the unaudited condensed consolidated balance sheets. The Company expects these payments will be made over the next six months. Charges incurred during the three months ended March 31, 2025 related to previous restructuring plans were not material.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the activity in the Company’s liabilities resulting from the 2026 Restructuring Plan:</w:t>
      </w:r>
    </w:p>
    <w:tbl>
      <w:tblPr>
        <w:tblW w:w="4818" w:type="dxa"/>
        <w:jc w:val="left"/>
        <w:tblInd w:w="0" w:type="dxa"/>
        <w:tblLayout w:type="fixed"/>
        <w:tblCellMar>
          <w:top w:w="28" w:type="dxa"/>
          <w:left w:w="28" w:type="dxa"/>
          <w:bottom w:w="28" w:type="dxa"/>
          <w:right w:w="28" w:type="dxa"/>
        </w:tblCellMar>
      </w:tblPr>
      <w:tblGrid>
        <w:gridCol w:w="2696"/>
        <w:gridCol w:w="246"/>
        <w:gridCol w:w="399"/>
        <w:gridCol w:w="1086"/>
        <w:gridCol w:w="391"/>
      </w:tblGrid>
      <w:tr>
        <w:trPr/>
        <w:tc>
          <w:tcPr>
            <w:tcW w:w="26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Restructuring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does not expect to incur further material restructuring and related charges associated with the 2026 Restructuring Plan during the remainder of 2026.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Regarding contingent consideration associated with a prior acquisition, the Company determined that the earn-out revenue targets were partially achieved for the calendar year 2024 performance period and not achieved for the calendar year 2025 performance period.</w:t>
      </w:r>
    </w:p>
    <w:p>
      <w:pPr>
        <w:pStyle w:val="TextBody"/>
        <w:bidi w:val="0"/>
        <w:jc w:val="left"/>
        <w:rPr>
          <w:rFonts w:ascii="Times New Roman" w:hAnsi="Times New Roman"/>
          <w:color w:val="000000"/>
          <w:sz w:val="20"/>
        </w:rPr>
      </w:pPr>
      <w:r>
        <w:rPr>
          <w:rFonts w:ascii="Times New Roman" w:hAnsi="Times New Roman"/>
          <w:color w:val="000000"/>
          <w:sz w:val="20"/>
        </w:rPr>
        <w:t>In May 2025, former equity holders of the acquired company delivered a notice asserting that the performance conditions for the 2024 performance period were satisfied at a higher payout tier than was calculated by the Company and that additional consideration is due. The Company disputes this assertion and believes that, based on its interpretation of the purchase agreement and its calculation of the applicable performance metrics, no additional amounts are payable. The parties are engaged in litigation regarding this issue.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has recorded a contingent consideration liability of $3.0 million, representing management’s estimate of the fair value of the earnout obligation. The liability was included within accrued expenses and other liabilities as of March 31, 2026 and December 31, 2025. While the Company believes its interpretation of the agreement is appropriate and intends to vigorously defend its position, the ultimate outcome of this matter is uncertain. The Company will continue to evaluate this matter and adjust the estimated fair value of the contingent consideration liability as necessary based on developments in the dispute and any new information that becomes available.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Long-term debt consisted of the following as of March 31, 2026 and December 31, 2025, respectively: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164,063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repaid $2.2 million in outstanding principal of the Term Facility (as defined below).</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March 31, 2026, the Pledged Assets of these subsidiaries approximated $446.4 million, and the net assets of these subsidiaries approximated $147.3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There was no outstanding balance on the Revolving Credit Facility at March 31, 2026. However, in lieu of a security deposit, the Company has provided a standby letter of credit of $0.3 million to the lessor of the Company’s corporate headquarters, which reduced the amount available under the Revolving Credit Facility to $49.7 million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the Company repaid $69.1 million of outstanding principal amount of the Term Facility and reduced its borrowing capacity under the Revolving Credit Facility by $25.0 million. As a result, the Company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the Revolving Credit Facility. In addition, the Company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and are amortized over the life of the arrangement. At March 31, 2026 and December 31, 2025, the unamortized financing costs were $0.4 million and $0.5 million, respectively.</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9.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two interest rate cap agreements, effective March 31, 2025. The two interest rate cap agreements each have a notional value of $65.6 million as of March 31, 2026, with an interest rate cap of 4.50%. Interest payment receipts under the caps, if any, are made monthly on a net settlement basis. The Company has not recorded any amounts due to ineffectiveness for the period ended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derivative interest rate caps are designated and qualify as cash flow hedges. Consequently, the change in the estimated fair value of the effective portion of the derivative is recognized in accumulated other comprehensive (deficit) income (“AOCI”) on the unaudited condensed consolidated balance sheets and reclassified to interest expense, net, when the underlying transaction has an impact on earnings. The Company expects to recognize $0.4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values of the interest rate caps as of March 31, 2026 and December 31, 2025 were recorded in the Company’s unaudited condensed consolidated balance sheets as follows:</w:t>
      </w:r>
    </w:p>
    <w:tbl>
      <w:tblPr>
        <w:tblW w:w="9237" w:type="dxa"/>
        <w:jc w:val="left"/>
        <w:tblInd w:w="0" w:type="dxa"/>
        <w:tblLayout w:type="fixed"/>
        <w:tblCellMar>
          <w:top w:w="28" w:type="dxa"/>
          <w:left w:w="28" w:type="dxa"/>
          <w:bottom w:w="28" w:type="dxa"/>
          <w:right w:w="28" w:type="dxa"/>
        </w:tblCellMar>
      </w:tblPr>
      <w:tblGrid>
        <w:gridCol w:w="2381"/>
        <w:gridCol w:w="246"/>
        <w:gridCol w:w="2921"/>
        <w:gridCol w:w="246"/>
        <w:gridCol w:w="420"/>
        <w:gridCol w:w="840"/>
        <w:gridCol w:w="246"/>
        <w:gridCol w:w="246"/>
        <w:gridCol w:w="499"/>
        <w:gridCol w:w="1001"/>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 Observable inputs (unadjusted) that reflect unadjusted quoted prices in active markets for identical assets or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March 31, 2026 and December 31, 2025, based on interest rates currently available to the Company for similar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2026 and December 31, 2025 were classified as Level 2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consideration resulting from a previous acquisition, which was subject to meeting certain revenue metrics during calendar years 2024 and 2025, is measured at fair value on a recurring basis. During the first quarter of 2026, management estimated the fair value of the contingent consideration liability by calculating the present value of the expected payment at the conclusion of the measurement period. This assessment was performed using a probability-weighted approach, which incorporated updated assumptions reflecting increased certainty and reduced variability in the range of probable outcomes for the final three months of the measurement period. At March 31, 2026, the fair value of the contingent consideration associated with this acquisition was estimated to be $3.0 million, all of which was included in accrued expenses and other liabilities in the unaudited condensed consolidated balance sheets. The change in estimate of contingent consideration subsequent to initial measurement as of the acquisition date was recorded in transaction, integration, and restructuring expense in the accompanying unaudited condensed consolidated statements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10205" w:type="dxa"/>
        <w:jc w:val="left"/>
        <w:tblInd w:w="0" w:type="dxa"/>
        <w:tblLayout w:type="fixed"/>
        <w:tblCellMar>
          <w:top w:w="28" w:type="dxa"/>
          <w:left w:w="28" w:type="dxa"/>
          <w:bottom w:w="28" w:type="dxa"/>
          <w:right w:w="28" w:type="dxa"/>
        </w:tblCellMar>
      </w:tblPr>
      <w:tblGrid>
        <w:gridCol w:w="3976"/>
        <w:gridCol w:w="646"/>
        <w:gridCol w:w="676"/>
        <w:gridCol w:w="1831"/>
        <w:gridCol w:w="246"/>
        <w:gridCol w:w="246"/>
        <w:gridCol w:w="543"/>
        <w:gridCol w:w="1627"/>
        <w:gridCol w:w="414"/>
      </w:tblGrid>
      <w:tr>
        <w:trPr/>
        <w:tc>
          <w:tcPr>
            <w:tcW w:w="39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Payments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March 31, 2026 and December 31, 2025, assets and liabilities measured at fair value on a recurring basis were as follows:</w:t>
      </w:r>
    </w:p>
    <w:tbl>
      <w:tblPr>
        <w:tblW w:w="8927"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676"/>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571"/>
        <w:gridCol w:w="146"/>
        <w:gridCol w:w="146"/>
        <w:gridCol w:w="211"/>
        <w:gridCol w:w="571"/>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2026 and December 31, 2025, the estimated fair values of all of the Company’s financial assets and liabilities subject to the three-level fair value hierarchy approximated their carrying values due to their short-term maturities (less than 12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consolidated financial statements in the Company’s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controls all of the business and affairs of Definitive OpCo, and through Definitive OpCo and its subsidiaries, conducts its business. Accordingly, the Company consolidates the financial results of Definitive OpCo, and reports the noncontrolling interests of its consolidated subsidiaries on its unaudited condensed consolidated financial statements based on the LLC Units held by Continuing Pre-IPO LLC Members other than the Company. Changes in the Company’s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113,743 LLC Units held by Continuing Pre-IPO LLC Members were exchanged for shares of Class A common stock of the Company pursuant to the terms of the Amended LLC Agreement. In addition, 1,647,663 restricted stock units (“RSUs”) vested and 518,915 shares of Class A common stock were withheld to cover withholding tax obligations, resulting in the net issuance of 1,128,748 shares of Class A common stock of the Company. Pursuant to the Definitive OpCo second amended and restated limited liability company agreement entered into in connection with the IPO, LLC Units were issued on a one-for-one basis in connection with the vesting of RSUs.</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2026 and December 31, 2025, the Company held ownership interests in Definitive OpCo of 73.4% and 73.1%, respectively, and noncontrolling interests of 26.6% and 26.9%, respectively</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Accumulated Other Comprehensive (Deficit)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changes in AOCI for the three months ended March 31, 2026 and 2025, respectively. </w:t>
      </w:r>
    </w:p>
    <w:tbl>
      <w:tblPr>
        <w:tblW w:w="10205" w:type="dxa"/>
        <w:jc w:val="left"/>
        <w:tblInd w:w="0" w:type="dxa"/>
        <w:tblLayout w:type="fixed"/>
        <w:tblCellMar>
          <w:top w:w="28" w:type="dxa"/>
          <w:left w:w="28" w:type="dxa"/>
          <w:bottom w:w="28" w:type="dxa"/>
          <w:right w:w="28" w:type="dxa"/>
        </w:tblCellMar>
      </w:tblPr>
      <w:tblGrid>
        <w:gridCol w:w="2919"/>
        <w:gridCol w:w="491"/>
        <w:gridCol w:w="1471"/>
        <w:gridCol w:w="166"/>
        <w:gridCol w:w="645"/>
        <w:gridCol w:w="1152"/>
        <w:gridCol w:w="166"/>
        <w:gridCol w:w="599"/>
        <w:gridCol w:w="1373"/>
        <w:gridCol w:w="166"/>
        <w:gridCol w:w="211"/>
        <w:gridCol w:w="631"/>
        <w:gridCol w:w="215"/>
      </w:tblGrid>
      <w:tr>
        <w:trPr/>
        <w:tc>
          <w:tcPr>
            <w:tcW w:w="291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1"/>
        <w:gridCol w:w="543"/>
        <w:gridCol w:w="1239"/>
        <w:gridCol w:w="166"/>
        <w:gridCol w:w="661"/>
        <w:gridCol w:w="1182"/>
        <w:gridCol w:w="166"/>
        <w:gridCol w:w="616"/>
        <w:gridCol w:w="1409"/>
        <w:gridCol w:w="166"/>
        <w:gridCol w:w="211"/>
        <w:gridCol w:w="631"/>
        <w:gridCol w:w="214"/>
      </w:tblGrid>
      <w:tr>
        <w:trPr/>
        <w:tc>
          <w:tcPr>
            <w:tcW w:w="300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Stockholders’ Equity and Equity-Based Compensation</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months ended March 31, 2026 and 2025, respectively, is provided in the following table.</w:t>
      </w:r>
    </w:p>
    <w:tbl>
      <w:tblPr>
        <w:tblW w:w="5279" w:type="dxa"/>
        <w:jc w:val="left"/>
        <w:tblInd w:w="0" w:type="dxa"/>
        <w:tblLayout w:type="fixed"/>
        <w:tblCellMar>
          <w:top w:w="28" w:type="dxa"/>
          <w:left w:w="28" w:type="dxa"/>
          <w:bottom w:w="28" w:type="dxa"/>
          <w:right w:w="28" w:type="dxa"/>
        </w:tblCellMar>
      </w:tblPr>
      <w:tblGrid>
        <w:gridCol w:w="2446"/>
        <w:gridCol w:w="246"/>
        <w:gridCol w:w="272"/>
        <w:gridCol w:w="738"/>
        <w:gridCol w:w="188"/>
        <w:gridCol w:w="188"/>
        <w:gridCol w:w="272"/>
        <w:gridCol w:w="738"/>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months ended March 31, 2026, the Company accelerated the vesting of 151,119 previously unvested time-based RSUs in connection with the departure of an executive-level employee. The remaining unvested shares held by the award holder were forfeited upon separation, and the modifications resulted in an incremental stock-based compensation charge of approximately $0.2 million during the three months ended March 31,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March 31, 2025, the Company accelerated the vesting of 98,922 previously unvested time-based RSUs in connection with the departure of an executive-level employee. The remaining unvested shares held by the award holder were forfeited upon separation, and the modifications resulted in an incremental stock-based compensation charge of approximately $0.3 million during the three months ended March 31,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Performance Stock Units (“PSUs”)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the three months ended March 31, 2026, the Company granted PSUs to certain members of its executive leadership team, pursuant to the 2021 Plan. These awards vest based on the satisfaction of certain service conditions and performance-based conditions measured over a cumulative three-year period ended December 31, 2028. The earned payout of these PSUs, if at all, will range from 0% to 200% of target, based upon achievement of certain cumulative performance goals, which include certain financial targets determined by the Company. For fiscal year 2026, the financial targets have been determined, with the fiscal year 2027 and 2028 targets to be determined within 75 days following the end of the previous applicable fiscal year, and the three-year cumulative performance targets set in 2028. In accordance with ASC 718, Compensation - </w:t>
      </w:r>
      <w:r>
        <w:rPr>
          <w:rFonts w:ascii="Times New Roman" w:hAnsi="Times New Roman"/>
          <w:i/>
          <w:color w:val="000000"/>
          <w:sz w:val="20"/>
        </w:rPr>
        <w:t>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2028.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once the grant date is determined, with the resulting stock-based compensation expense recorded over the substantive service period in 2028.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PSUs with Market Conditions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fiscal year 2025, the Company granted PSUs to certain executives with a relative total stockholder return (“TSR”) component, pursuant to the 2021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2026, the revenue and adjusted EBITDA margin targets have been determined, with the fiscal year 2027 targets to be determined within 75 days following the end of the previous applicable fiscal year, and the three-year cumulative performance targets set in 2027. In accordance with ASC 718, Compensation - </w:t>
      </w:r>
      <w:r>
        <w:rPr>
          <w:rFonts w:ascii="Times New Roman" w:hAnsi="Times New Roman"/>
          <w:i/>
          <w:color w:val="000000"/>
          <w:sz w:val="20"/>
        </w:rPr>
        <w:t>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2027.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approximately $0.8 million and $1.2 million in stock-based compensation expense associated with PSUs during the three months ended March 31, 2026 and 2025, respectively.</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has recorded net deferred tax liabilities of $10.0 million and $13.5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1.8% and 6.6% for the three months ended March 31, 2026 and 2025,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election under Section 754 of the Code, the Company expects to obtain an increase in its share of the tax basis in the net assets of Definitive OpCo when LLC Units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entered into a Tax Receivable Agreement (“TRA”) among the Company, Definitive OpCo, and the TRA Parties and has recorded a liability under the TRA of $13.0 million and $27.2 million as of March 31, 2026 and December 31, 2025, respectively. The $14.2 million decrease in the TRA liability during the three months ended March 31, 2026 was primarily driven by a $6.5 million remeasurement of the liability based on future realizability of tax attributes with an offsetting adjustment to statement of operations and $7.8 million of payments to TRA Parties, while concurrently increasing $0.1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Class A common stock is computed by dividing net income attributable to the Company by the weighted-average number of shares of Class A common stock outstanding during the period, excluding unvested equity awards and subsidiary member units not exchanged. Diluted earnings per share of Class A common stock is calculated by dividing net income attributable to the Company, adjusted for the assumed exchange of all potentially dilutive securities by the weighted-average number of shares of Class A common stock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reconciliation of the numerator used to compute basic and diluted net loss per share of Class A common stock for the three months ended March 31, 2026 and 2025. </w:t>
      </w:r>
    </w:p>
    <w:tbl>
      <w:tblPr>
        <w:tblW w:w="7233" w:type="dxa"/>
        <w:jc w:val="left"/>
        <w:tblInd w:w="0" w:type="dxa"/>
        <w:tblLayout w:type="fixed"/>
        <w:tblCellMar>
          <w:top w:w="28" w:type="dxa"/>
          <w:left w:w="28" w:type="dxa"/>
          <w:bottom w:w="28" w:type="dxa"/>
          <w:right w:w="28" w:type="dxa"/>
        </w:tblCellMar>
      </w:tblPr>
      <w:tblGrid>
        <w:gridCol w:w="4426"/>
        <w:gridCol w:w="211"/>
        <w:gridCol w:w="841"/>
        <w:gridCol w:w="246"/>
        <w:gridCol w:w="246"/>
        <w:gridCol w:w="211"/>
        <w:gridCol w:w="84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 for the three months ended March 31, 2026 and 2025 (per share amounts unaudited).</w:t>
      </w:r>
    </w:p>
    <w:tbl>
      <w:tblPr>
        <w:tblW w:w="9728" w:type="dxa"/>
        <w:jc w:val="left"/>
        <w:tblInd w:w="0" w:type="dxa"/>
        <w:tblLayout w:type="fixed"/>
        <w:tblCellMar>
          <w:top w:w="28" w:type="dxa"/>
          <w:left w:w="28" w:type="dxa"/>
          <w:bottom w:w="28" w:type="dxa"/>
          <w:right w:w="28" w:type="dxa"/>
        </w:tblCellMar>
      </w:tblPr>
      <w:tblGrid>
        <w:gridCol w:w="6321"/>
        <w:gridCol w:w="211"/>
        <w:gridCol w:w="1141"/>
        <w:gridCol w:w="166"/>
        <w:gridCol w:w="146"/>
        <w:gridCol w:w="211"/>
        <w:gridCol w:w="1141"/>
        <w:gridCol w:w="391"/>
      </w:tblGrid>
      <w:tr>
        <w:trPr/>
        <w:tc>
          <w:tcPr>
            <w:tcW w:w="6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of Class A common stock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potentially dilutive securities excluded from the computation of diluted net loss per share for the period presented because their effect would have been anti-dilutive:</w:t>
      </w:r>
    </w:p>
    <w:tbl>
      <w:tblPr>
        <w:tblW w:w="7233" w:type="dxa"/>
        <w:jc w:val="left"/>
        <w:tblInd w:w="0" w:type="dxa"/>
        <w:tblLayout w:type="fixed"/>
        <w:tblCellMar>
          <w:top w:w="28" w:type="dxa"/>
          <w:left w:w="28" w:type="dxa"/>
          <w:bottom w:w="28" w:type="dxa"/>
          <w:right w:w="28" w:type="dxa"/>
        </w:tblCellMar>
      </w:tblPr>
      <w:tblGrid>
        <w:gridCol w:w="4186"/>
        <w:gridCol w:w="146"/>
        <w:gridCol w:w="1036"/>
        <w:gridCol w:w="246"/>
        <w:gridCol w:w="246"/>
        <w:gridCol w:w="146"/>
        <w:gridCol w:w="103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LLC Units (vested and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38,225,333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38,997,184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22,613,338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Data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operating financial results of our single reportable segment, including revenue, significant expenses regularly provided to the CODM, and net loss:</w:t>
      </w:r>
    </w:p>
    <w:p>
      <w:pPr>
        <w:pStyle w:val="TextBody"/>
        <w:bidi w:val="0"/>
        <w:spacing w:before="120" w:after="283"/>
        <w:jc w:val="left"/>
        <w:rPr/>
      </w:pPr>
      <w:r>
        <w:rPr/>
        <w:t> </w:t>
      </w:r>
    </w:p>
    <w:tbl>
      <w:tblPr>
        <w:tblW w:w="5279" w:type="dxa"/>
        <w:jc w:val="left"/>
        <w:tblInd w:w="0" w:type="dxa"/>
        <w:tblLayout w:type="fixed"/>
        <w:tblCellMar>
          <w:top w:w="28" w:type="dxa"/>
          <w:left w:w="28" w:type="dxa"/>
          <w:bottom w:w="28" w:type="dxa"/>
          <w:right w:w="28" w:type="dxa"/>
        </w:tblCellMar>
      </w:tblPr>
      <w:tblGrid>
        <w:gridCol w:w="2326"/>
        <w:gridCol w:w="146"/>
        <w:gridCol w:w="211"/>
        <w:gridCol w:w="841"/>
        <w:gridCol w:w="166"/>
        <w:gridCol w:w="146"/>
        <w:gridCol w:w="211"/>
        <w:gridCol w:w="841"/>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net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sans-serif" w:hAnsi="sans-serif"/>
          <w:sz w:val="22"/>
        </w:rPr>
      </w:pPr>
      <w:r>
        <w:rPr>
          <w:rFonts w:ascii="Times New Roman" w:hAnsi="Times New Roman"/>
          <w:color w:val="000000"/>
          <w:sz w:val="20"/>
        </w:rPr>
        <w:t>For the three months ended March 31, 2026, other segment items, net includes a goodwill impairment charge of $197.2</w:t>
      </w:r>
      <w:r>
        <w:rPr>
          <w:rFonts w:ascii="sans-serif" w:hAnsi="sans-serif"/>
          <w:color w:val="000000"/>
          <w:sz w:val="22"/>
        </w:rPr>
        <w:t xml:space="preserve"> </w:t>
      </w:r>
      <w:r>
        <w:rPr>
          <w:rFonts w:ascii="Times New Roman" w:hAnsi="Times New Roman"/>
          <w:color w:val="000000"/>
          <w:sz w:val="20"/>
        </w:rPr>
        <w:t>million, a TRA remeasurement gain of $6.5</w:t>
      </w:r>
      <w:r>
        <w:rPr>
          <w:rFonts w:ascii="sans-serif" w:hAnsi="sans-serif"/>
          <w:color w:val="000000"/>
          <w:sz w:val="22"/>
        </w:rPr>
        <w:t xml:space="preserve"> </w:t>
      </w:r>
      <w:r>
        <w:rPr>
          <w:rFonts w:ascii="Times New Roman" w:hAnsi="Times New Roman"/>
          <w:color w:val="000000"/>
          <w:sz w:val="20"/>
        </w:rPr>
        <w:t>million, depreciation and amortization expense of $8.3</w:t>
      </w:r>
      <w:r>
        <w:rPr>
          <w:rFonts w:ascii="sans-serif" w:hAnsi="sans-serif"/>
          <w:color w:val="000000"/>
          <w:sz w:val="22"/>
        </w:rPr>
        <w:t xml:space="preserve"> </w:t>
      </w:r>
      <w:r>
        <w:rPr>
          <w:rFonts w:ascii="Times New Roman" w:hAnsi="Times New Roman"/>
          <w:color w:val="000000"/>
          <w:sz w:val="20"/>
        </w:rPr>
        <w:t>million, interest expense of $2.6</w:t>
      </w:r>
      <w:r>
        <w:rPr>
          <w:rFonts w:ascii="sans-serif" w:hAnsi="sans-serif"/>
          <w:color w:val="000000"/>
          <w:sz w:val="22"/>
        </w:rPr>
        <w:t xml:space="preserve"> </w:t>
      </w:r>
      <w:r>
        <w:rPr>
          <w:rFonts w:ascii="Times New Roman" w:hAnsi="Times New Roman"/>
          <w:color w:val="000000"/>
          <w:sz w:val="20"/>
        </w:rPr>
        <w:t>million, interest income of $1.3</w:t>
      </w:r>
      <w:r>
        <w:rPr>
          <w:rFonts w:ascii="sans-serif" w:hAnsi="sans-serif"/>
          <w:color w:val="000000"/>
          <w:sz w:val="22"/>
        </w:rPr>
        <w:t xml:space="preserve"> </w:t>
      </w:r>
      <w:r>
        <w:rPr>
          <w:rFonts w:ascii="Times New Roman" w:hAnsi="Times New Roman"/>
          <w:color w:val="000000"/>
          <w:sz w:val="20"/>
        </w:rPr>
        <w:t>million, a transaction integration, and restructuring gain of $0.8</w:t>
      </w:r>
      <w:r>
        <w:rPr>
          <w:rFonts w:ascii="sans-serif" w:hAnsi="sans-serif"/>
          <w:color w:val="000000"/>
          <w:sz w:val="22"/>
        </w:rPr>
        <w:t xml:space="preserve"> </w:t>
      </w:r>
      <w:r>
        <w:rPr>
          <w:rFonts w:ascii="Times New Roman" w:hAnsi="Times New Roman"/>
          <w:color w:val="000000"/>
          <w:sz w:val="20"/>
        </w:rPr>
        <w:t>million, and a net foreign currency transaction gain of $0.3</w:t>
      </w:r>
      <w:r>
        <w:rPr>
          <w:rFonts w:ascii="sans-serif" w:hAnsi="sans-serif"/>
          <w:color w:val="000000"/>
          <w:sz w:val="22"/>
        </w:rPr>
        <w:t xml:space="preserve"> </w:t>
      </w:r>
      <w:r>
        <w:rPr>
          <w:rFonts w:ascii="Times New Roman" w:hAnsi="Times New Roman"/>
          <w:color w:val="000000"/>
          <w:sz w:val="20"/>
        </w:rPr>
        <w:t>million. For the three months ended March 31, 2025, a goodwill impairment charge of $176.5</w:t>
      </w:r>
      <w:r>
        <w:rPr>
          <w:rFonts w:ascii="sans-serif" w:hAnsi="sans-serif"/>
          <w:color w:val="000000"/>
          <w:sz w:val="22"/>
        </w:rPr>
        <w:t xml:space="preserve"> </w:t>
      </w:r>
      <w:r>
        <w:rPr>
          <w:rFonts w:ascii="Times New Roman" w:hAnsi="Times New Roman"/>
          <w:color w:val="000000"/>
          <w:sz w:val="20"/>
        </w:rPr>
        <w:t>million, a TRA remeasurement gain of $20.7</w:t>
      </w:r>
      <w:r>
        <w:rPr>
          <w:rFonts w:ascii="sans-serif" w:hAnsi="sans-serif"/>
          <w:color w:val="000000"/>
          <w:sz w:val="22"/>
        </w:rPr>
        <w:t xml:space="preserve"> </w:t>
      </w:r>
      <w:r>
        <w:rPr>
          <w:rFonts w:ascii="Times New Roman" w:hAnsi="Times New Roman"/>
          <w:color w:val="000000"/>
          <w:sz w:val="20"/>
        </w:rPr>
        <w:t>million, depreciation and amortization expense of $8.5</w:t>
      </w:r>
      <w:r>
        <w:rPr>
          <w:rFonts w:ascii="sans-serif" w:hAnsi="sans-serif"/>
          <w:color w:val="000000"/>
          <w:sz w:val="22"/>
        </w:rPr>
        <w:t xml:space="preserve"> </w:t>
      </w:r>
      <w:r>
        <w:rPr>
          <w:rFonts w:ascii="Times New Roman" w:hAnsi="Times New Roman"/>
          <w:color w:val="000000"/>
          <w:sz w:val="20"/>
        </w:rPr>
        <w:t>million, interest expense of $2.4</w:t>
      </w:r>
      <w:r>
        <w:rPr>
          <w:rFonts w:ascii="sans-serif" w:hAnsi="sans-serif"/>
          <w:color w:val="000000"/>
          <w:sz w:val="22"/>
        </w:rPr>
        <w:t xml:space="preserve"> </w:t>
      </w:r>
      <w:r>
        <w:rPr>
          <w:rFonts w:ascii="Times New Roman" w:hAnsi="Times New Roman"/>
          <w:color w:val="000000"/>
          <w:sz w:val="20"/>
        </w:rPr>
        <w:t>million, interest income of $2.1</w:t>
      </w:r>
      <w:r>
        <w:rPr>
          <w:rFonts w:ascii="sans-serif" w:hAnsi="sans-serif"/>
          <w:color w:val="000000"/>
          <w:sz w:val="22"/>
        </w:rPr>
        <w:t xml:space="preserve"> </w:t>
      </w:r>
      <w:r>
        <w:rPr>
          <w:rFonts w:ascii="Times New Roman" w:hAnsi="Times New Roman"/>
          <w:color w:val="000000"/>
          <w:sz w:val="20"/>
        </w:rPr>
        <w:t>million, transaction integration, and restructuring expenses of $1.3</w:t>
      </w:r>
      <w:r>
        <w:rPr>
          <w:rFonts w:ascii="sans-serif" w:hAnsi="sans-serif"/>
          <w:color w:val="000000"/>
          <w:sz w:val="22"/>
        </w:rPr>
        <w:t xml:space="preserve"> </w:t>
      </w:r>
      <w:r>
        <w:rPr>
          <w:rFonts w:ascii="Times New Roman" w:hAnsi="Times New Roman"/>
          <w:color w:val="000000"/>
          <w:sz w:val="20"/>
        </w:rPr>
        <w:t>million, net foreign currency transaction losses of $1.0</w:t>
      </w:r>
      <w:r>
        <w:rPr>
          <w:rFonts w:ascii="sans-serif" w:hAnsi="sans-serif"/>
          <w:color w:val="000000"/>
          <w:sz w:val="22"/>
        </w:rPr>
        <w:t xml:space="preserve"> </w:t>
      </w:r>
      <w:r>
        <w:rPr>
          <w:rFonts w:ascii="Times New Roman" w:hAnsi="Times New Roman"/>
          <w:color w:val="000000"/>
          <w:sz w:val="20"/>
        </w:rPr>
        <w:t>million, and a loss on the partial extinguishment of debt of $0.5</w:t>
      </w:r>
      <w:r>
        <w:rPr>
          <w:rFonts w:ascii="sans-serif" w:hAnsi="sans-serif"/>
          <w:color w:val="000000"/>
          <w:sz w:val="22"/>
        </w:rPr>
        <w:t xml:space="preserve"> </w:t>
      </w:r>
      <w:r>
        <w:rPr>
          <w:rFonts w:ascii="Times New Roman" w:hAnsi="Times New Roman"/>
          <w:color w:val="000000"/>
          <w:sz w:val="20"/>
        </w:rPr>
        <w:t>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18. Related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231F20"/>
          <w:sz w:val="20"/>
        </w:rPr>
        <w:t>The Company has engaged in revenue transactions within the ordinary course of business with entities affiliated with its Sponsors and with members of the Board. During each of the three months ended March 31, 2026 and 2025, the Company recorded revenue from related parties of $0.2</w:t>
      </w:r>
      <w:r>
        <w:rPr>
          <w:rFonts w:ascii="Times New Roman" w:hAnsi="Times New Roman"/>
          <w:color w:val="000000"/>
          <w:sz w:val="20"/>
        </w:rPr>
        <w:t xml:space="preserve"> million</w:t>
      </w:r>
      <w:r>
        <w:rPr>
          <w:rFonts w:ascii="Times New Roman" w:hAnsi="Times New Roman"/>
          <w:color w:val="231F20"/>
          <w:sz w:val="20"/>
        </w:rPr>
        <w:t>. Receivables for related party revenue transactions amounted to $0.1 million and nil at March 31, 2026 and December 31, 2025,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During the three months ended March 31, 2026 and 2025, the Company also paid $0.6 and $0.3 million, respectively, to related parties for transactions within the ordinary course of business. Payables to related parties amounted to $0.3 million and $0.2 million at March 31, 2026 and December 31,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2025 Form 10-K.</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2025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data and analytics. We provide accurate, comprehensive information on healthcare providers and their activities, enabling customers to make informed decisions across product development, go-to-market planning, and sales and marketing execution. We also offer claims and consumer analytics built from modeled data on millions of unique consumers to help healthcare organizations target, message, and engage specific healthcare audiences. Delivered through our software as a service products and solutions, our data is important to the commercial success of our approximately 2,260 customers as of March 31, 2026. We generally define a customer as a company that maintains one or more active paid subscriptions.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 three primary end markets: Life Sciences, Provider, and Diversified. Our Life Sciences customers comprise biopharmaceutical and medical device companies. Providers comprise hospitals, health systems, and other care delivery organizations. Diversified customers include healthcare information technology companies and other organizations operating within the healthcare market, such as staffing firms, commercial real estate firms, financial institutions, and marketing and advertising agencies. Within these organizations, our data serves a broad set of functional groups, including sales, marketing, clinical research, product development, strategy, talent acquisition, and physician network management. Customers access our data products on a subscription basis, and we generate substantially all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Jason Krantz. Mr. Krantz founded the company to provide healthcare commercial intelligence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$11 billion that includes a more focused serviceable addressable market of approximately $7 billion. In total, our target universe includes more than 100,000 potential customers that we believe could benefit from our products.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first quarter of 2026 and during fiscal year 2025, we experienced declines in our market capitalization as a result of sustained decreases in our stock price, which represented triggering events requiring management to perform quantitative goodwill impairment tests as of the end of the impacted reporting periods. As a result of the impairment tests, we determined that the fair value of our single reporting unit was lower than its carrying value and, accordingly, recorded non-cash, pretax, goodwill impairment charges of $197.2 million during the first quarter of 2026 and $196.1 million during fiscal year 2025. See Note 7. </w:t>
      </w:r>
      <w:r>
        <w:rPr>
          <w:rFonts w:ascii="Times New Roman" w:hAnsi="Times New Roman"/>
          <w:i/>
          <w:color w:val="000000"/>
          <w:sz w:val="20"/>
        </w:rPr>
        <w:t>Goodwill and Intangible Assets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goodwill impairment charges did not affect our liquidity or the financial covenants in our outstanding debt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we committed to a restructuring plan (the “2026 Restructuring Plan”) intended to reduce operating costs, improve operating margins, and continue advancing the Company’s ongoing commitment to profitable growth. The 2026 Restructuring Plan provided for a reduction of our current workforce by approximately 40 people. During the three months ended March 31, 2026, we incurred restructuring and related charges of approximately $1.1 million, consisting of severance payments, employee benefits, and related cash expenses. As of March 31, 2026, $0.3 million was included in accrued expenses and other liabilities in the unaudited condensed consolidated balance sheets. We expect these payments will be made over the next six months. In addition, we do not expect to incur further material charges associated with the 2026 Restructuring Plan. Charges incurred during the three months ended March 31, 2025 related to previous restructuring plans were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Execution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made significant changes to our go-to-market team that reduced overlay expenses, created a separate group and sales motion for our small and medium sized customers, and allocated more resources to our Enterprise Customers (as the term is defined below). These changes created disruptions to our sales efforts beginning in 2024, impacting both new customer acquisition and upsell to existing customers. These factors, in addition to the lower than historical renewal rates we observed through fiscal year 2025, have impacted, and we expect will continue to impact, our results in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Company’s ongoing review of its organizational design with respect to executive leadership we have recently experienced several 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2026, Jeff Haywood resigned from the Board and as a member of the Compensation Committee (the Compensation Committee, effective March 30, 2026. Mr. Haywood’s resignation was not the result of any disagreements with the Company relating to the Company’s operations, policies or practices. In connection with Mr. Haywood’s resignation, the size of the Board was further reduced from 9 members to 8 members, and the size of the Compensation Committee was reduced from 3 members to 2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17, 2026, Benjamin Graboske resigned as the Company’s EVP, Technology, Engineering and Chief Data Officer.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2022, our current and prospective customers, along with their business spending, have been affected by challenging macroeconomic conditions to varying degrees. This has contributed to heightened customer churn relative to historical levels. These trends have been particularly pronounced for smaller customers and in the Life Sciences market. The elevated churn has impacted our revenue growth since 2023, and we expect this will continue to have an impact on our growth in 2026. However, late in 2025, we began seeing modest signs of improvement in the macroeconomic backdrop, with healthier demand trends, more normalized procurement cycles, improving customer retention dynamics, and increased visibility into customer budgets, all of which are encouraging signs we will continue to monitor.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 in Ukraine and the regional instability in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We worked throughout 2025 to mitigate potential risk through renegotiation of select existing agreements and the addition of new data sources and will continue to do so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total customer count, which includes smaller customers, was approximately 2,260 as of March 31, 2026, compared with approximately 2,475 customers as of March 31, 2025. Our Enterprise Customer accounts have decreased by 17 to 495 customers as of March 31, 2026 compared with 512 customers as of March 31, 2025. Our smaller customers have churned at disproportionately higher rates year-over-year, primarily due to current macroeconomic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opportunity to generate additional revenue from our existing customer base of approximately 2,260 customers as of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expanding usage of our platform with our existing customers is demonstrated by our NDR, which is further described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is driven in part by our ability to apply our deep healthcare domain expertise to innovate and expand our platform. We have continually created new products since our founding in 2011. We have and plan to continue to invest significantly into our engineering and research and development efforts to enhance our capabilities and functionality and facilitate the expansion of our integrated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Dollar Retention Rate (“NDR”)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Remaining Performance Obligations (“cRPO”)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2026 relative to 2025. In addition, we experienced a drop in the mix of new customers committing to multi-year subscriptions versus single-year subscriptions, resulting in reductions to cRPO and total remaining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our current and total remaining performance obligations as of March 31, 2026 and December 31, 2025: </w:t>
      </w:r>
    </w:p>
    <w:tbl>
      <w:tblPr>
        <w:tblW w:w="5042" w:type="dxa"/>
        <w:jc w:val="left"/>
        <w:tblInd w:w="0" w:type="dxa"/>
        <w:tblLayout w:type="fixed"/>
        <w:tblCellMar>
          <w:top w:w="28" w:type="dxa"/>
          <w:left w:w="28" w:type="dxa"/>
          <w:bottom w:w="28" w:type="dxa"/>
          <w:right w:w="28" w:type="dxa"/>
        </w:tblCellMar>
      </w:tblPr>
      <w:tblGrid>
        <w:gridCol w:w="1226"/>
        <w:gridCol w:w="646"/>
        <w:gridCol w:w="211"/>
        <w:gridCol w:w="781"/>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160,565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we derived approximately 96%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execution challenges, as previously mentioned, coupled with sustained macroeconomic headwinds, continue to negatively impact our sales efforts. Accordingly, we expect our revenue to decline in 2026 compared with 2025.</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 We worked throughout 2025 to mitigate potential risk through the renegotiation of select existing agreements and the addition of new data sources and will continue to do so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declines, in combination with our largely fixed cost structure, are expected to result in a decrease in gross profit margin in 2026. Additionally, we received one-time credits during fiscal year 2025 resulting from renegotiations on existing data contracts, which will not repeat and will contribute to a year-over-year decrease in gross profit margins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make targeted investments in growth areas like enhancing our digital marketing capabilities.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 In fiscal year 2025, we made investments in software application development tools and have shifted more development efforts to innovation and growth initiatives, both of which have been resulted in increases to capitalized software and payroll.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business combinations, and purchases of data assets, as well as depreciation of property and equipment. We anticipate depreciation of property and equipment as a percentage of revenue to moderately increase as we continue to make investments in internal software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strategic partnership, and integration activities we have undertaken, primarily accounting, legal due diligence, consulting, and advisory fees, and office relocations and consolidations.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Goodwill represents the excess of consideration transferred over the fair value of tangible and identifiable intangible net assets acquired and the liabilities assumed in a business combination. Substantially all of our goodwill was recognized in the purchase price allocations when we were acquired in 2019 by Advent (the “Advent Acquisition”),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In the first quarter of 2026 and during fiscal year 2025, we experienced declines in our market capitalization as a result of sustained decreases in our stock price, which represented triggering events requiring our management to perform quantitative goodwill impairment tests as of the end of each impacted reporting period. As a result of the impairment tests, we determined that the fair value of our single reporting unit was lower than its carrying value and, accordingly, recorded non-cash, pre-tax, goodwill impairment charges of $197.2 million in the first quarter of 2026 and $196.1 million during fiscal year 2025. The goodwill impairment charges did not affect our liquidity or the financial covenants in our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cash and cash equivalents and short-term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consists primarily of the revaluation of TRA liabilities, realized and unrealized gains and losses related to the impact of transactions denominated in a foreign currency, and the loss on partial extinguishment of debt resulting from the refinancing of our credit agreement in fiscal year 2025. Significant changes in the projected liability resulting from the TRA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a summary of our unaudited condensed consolidated statements of operations for the periods presented: </w:t>
      </w:r>
    </w:p>
    <w:tbl>
      <w:tblPr>
        <w:tblW w:w="10205" w:type="dxa"/>
        <w:jc w:val="left"/>
        <w:tblInd w:w="0" w:type="dxa"/>
        <w:tblLayout w:type="fixed"/>
        <w:tblCellMar>
          <w:top w:w="28" w:type="dxa"/>
          <w:left w:w="28" w:type="dxa"/>
          <w:bottom w:w="28" w:type="dxa"/>
          <w:right w:w="28" w:type="dxa"/>
        </w:tblCellMar>
      </w:tblPr>
      <w:tblGrid>
        <w:gridCol w:w="5432"/>
        <w:gridCol w:w="1346"/>
        <w:gridCol w:w="211"/>
        <w:gridCol w:w="841"/>
        <w:gridCol w:w="266"/>
        <w:gridCol w:w="246"/>
        <w:gridCol w:w="211"/>
        <w:gridCol w:w="841"/>
        <w:gridCol w:w="811"/>
      </w:tblGrid>
      <w:tr>
        <w:trPr/>
        <w:tc>
          <w:tcPr>
            <w:tcW w:w="54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242,940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32"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32"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br/>
        <w:t>Three Months Ended March 31, 2026 compared to Three Months Ended March 31,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$3.3 million, or 6%, in the three months ended March 31, 2026 compared with the same period in the prior year due to lower subscription revenue of $3.7 million, partially offset by higher professional services revenue of $0.5 million. Revenue attributable to customers that existed prior to the start of 2026 decreased $4.3 million, which was partially offset by a $1.0 million increase in revenue from new customers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decreased $1.2 million, or 7%, in the three months ended March 31, 2026 compared with the same period in the prior year. The decrease was driven primarily by a $1.2 million decrease in data subscription and collection costs, primarily as a result of favorable renegotiations on and exits from major data contracts during the prior year. We also experienced a $0.4 million decrease in amortization expense resulting primarily from certain data assets that were fully amortized during 2025, along with a decrease of $0.3 million in personnel costs resulting from a modest decrease in headcount. These decreases were partially offset by a $0.4 million increase in hosting fees driven by expanded customer usage of our platform, and a $0.3 million increase in revenue sharing costs aimed at growing the activation line of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increased $14.4 million, or 6%, during the three months ended March 31, 2026 compared with the same period in the prior year. The increase was primarily due to a goodwill impairment charge of $197.2 million incurred in the current year period, compared to $176.5 million incurred in the prior year period,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$1.1 million for the three months ended March 31, 2026, primarily driven by lower personnel costs, including stock-based compensation expense, resulting from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$2.8 million for the three months ended March 31, 2026, primarily driven by lower personnel costs, including stock-based compensation expense, resulting from the 2026 Restructuring Plan and the departure of certain executive-level employees, combined with increased capitalized labor and overhead relating to product development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general and administrative expense of $0.2 million for the three months ended March 31, 2026, primarily driven by lower personnel costs, including stock-based compensation expense, resulting from a decrease in headcount and equity grants issued at lower stock prices, lower franchise taxes and lower recruiting fees, partially offset by an increase in professional fees in connection with the evaluation of strategic, financial, tax, and capital structure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$0.2 million for the three months ended March 31, 2026, primarily as a result of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$2.0 million for the three months ended March 31, 2026, primarily driven by an adjustment in the current period for a favorable settlement of a major data contract that was terminated in 2025 while integrating a prior acquisition.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$5.5 million for the three months ended March 31, 2026 compared to $18.8 million in the same period in the prior year, primarily due to variability in the remeasurement of the TRA liability resulting from goodwill impairment activity during the respective periods, which can affect the expected amount and timing of future TRA payments. While overall goodwill impairment levels were comparable year over year, the impact on the TRA liability in the current period was more limited, resulting in a smaller remeasurement gain compared to the prior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Benefit from income taxes was $3.4 million for the three months ended March 31, 2026 compared to $10.9 million in the comparable prior year period. Benefits from income taxes were primarily driven by goodwill impairments in both periods, resulting in reductions of indefinite-lived deferred tax liabilities. The decrease in the benefit from income taxes year-over-year was primarily driven by variability in the allocation of the goodwill impairment charges to applicable subsidiaries.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Gross Profit and Adjusted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Adjusted Gross Margin is defined as Adjusted Gross Profit as a percentage of revenue. These are key metrics used by management and our Board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5114"/>
        <w:gridCol w:w="146"/>
        <w:gridCol w:w="211"/>
        <w:gridCol w:w="676"/>
        <w:gridCol w:w="146"/>
        <w:gridCol w:w="146"/>
        <w:gridCol w:w="291"/>
        <w:gridCol w:w="634"/>
        <w:gridCol w:w="271"/>
        <w:gridCol w:w="146"/>
        <w:gridCol w:w="211"/>
        <w:gridCol w:w="676"/>
        <w:gridCol w:w="146"/>
        <w:gridCol w:w="146"/>
        <w:gridCol w:w="291"/>
        <w:gridCol w:w="634"/>
        <w:gridCol w:w="320"/>
      </w:tblGrid>
      <w:tr>
        <w:trPr/>
        <w:tc>
          <w:tcPr>
            <w:tcW w:w="5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of intangible assets resulting from acquisition-related purchase accounting adjustments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resulting from purchase accounting adjustments represents non-cash amortization of acquired intangibles, primarily resulting from the Advent Acquisition.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net and loss on partial extinguishment of debt, (ii) benefit from income taxes, and (iii) depreciation and amortization. Management further adjusts EBITDA in its presentation of Adjusted EBITDA to exclude (i) other income, net,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3849"/>
        <w:gridCol w:w="246"/>
        <w:gridCol w:w="196"/>
        <w:gridCol w:w="751"/>
        <w:gridCol w:w="266"/>
        <w:gridCol w:w="246"/>
        <w:gridCol w:w="275"/>
        <w:gridCol w:w="827"/>
        <w:gridCol w:w="397"/>
        <w:gridCol w:w="246"/>
        <w:gridCol w:w="196"/>
        <w:gridCol w:w="751"/>
        <w:gridCol w:w="266"/>
        <w:gridCol w:w="246"/>
        <w:gridCol w:w="275"/>
        <w:gridCol w:w="827"/>
        <w:gridCol w:w="345"/>
      </w:tblGrid>
      <w:tr>
        <w:trPr/>
        <w:tc>
          <w:tcPr>
            <w:tcW w:w="38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Net loss</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Benefit from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(10,886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partial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Depreciation &amp;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13,249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13,817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(181,208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(151,274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income, net </w:t>
            </w:r>
            <w:r>
              <w:rPr>
                <w:rFonts w:ascii="Times New Roman" w:hAnsi="Times New Roman"/>
                <w:color w:val="000000"/>
                <w:sz w:val="11"/>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Adjusted 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primarily represent legal, accounting, consulting, and other expenses and fair value adjustments for contingent consideration related to our acquisitions and strategic partnerships, inclusive of an adjustment in the first quarter of 2026 for the favorable settlement of a major data contract that was terminated in 2025 while integrating a prior acquisition. Restructuring expenses relate to the separation benefits tied to our restructuring plans, as well as impairment and restructuring charges related to office closures, relocations, and consolidations.</w:t>
      </w:r>
    </w:p>
    <w:p>
      <w:pPr>
        <w:pStyle w:val="TextBody"/>
        <w:bidi w:val="0"/>
        <w:jc w:val="left"/>
        <w:rPr/>
      </w:pPr>
      <w:r>
        <w:rPr/>
        <w:t> </w:t>
      </w:r>
    </w:p>
    <w:tbl>
      <w:tblPr>
        <w:tblW w:w="9152" w:type="dxa"/>
        <w:jc w:val="left"/>
        <w:tblInd w:w="0" w:type="dxa"/>
        <w:tblLayout w:type="fixed"/>
        <w:tblCellMar>
          <w:top w:w="28" w:type="dxa"/>
          <w:left w:w="28" w:type="dxa"/>
          <w:bottom w:w="28" w:type="dxa"/>
          <w:right w:w="28" w:type="dxa"/>
        </w:tblCellMar>
      </w:tblPr>
      <w:tblGrid>
        <w:gridCol w:w="5996"/>
        <w:gridCol w:w="546"/>
        <w:gridCol w:w="237"/>
        <w:gridCol w:w="709"/>
        <w:gridCol w:w="299"/>
        <w:gridCol w:w="276"/>
        <w:gridCol w:w="237"/>
        <w:gridCol w:w="641"/>
        <w:gridCol w:w="21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rPr/>
      </w:pPr>
      <w:r>
        <w:rPr/>
        <w:t> </w:t>
      </w:r>
    </w:p>
    <w:tbl>
      <w:tblPr>
        <w:tblW w:w="8905" w:type="dxa"/>
        <w:jc w:val="left"/>
        <w:tblInd w:w="0" w:type="dxa"/>
        <w:tblLayout w:type="fixed"/>
        <w:tblCellMar>
          <w:top w:w="28" w:type="dxa"/>
          <w:left w:w="28" w:type="dxa"/>
          <w:bottom w:w="28" w:type="dxa"/>
          <w:right w:w="28" w:type="dxa"/>
        </w:tblCellMar>
      </w:tblPr>
      <w:tblGrid>
        <w:gridCol w:w="5771"/>
        <w:gridCol w:w="546"/>
        <w:gridCol w:w="265"/>
        <w:gridCol w:w="719"/>
        <w:gridCol w:w="309"/>
        <w:gridCol w:w="309"/>
        <w:gridCol w:w="265"/>
        <w:gridCol w:w="530"/>
        <w:gridCol w:w="191"/>
      </w:tblGrid>
      <w:tr>
        <w:trPr/>
        <w:tc>
          <w:tcPr>
            <w:tcW w:w="5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2026, we had $157.6 million of cash and cash equivalents, $20.4 million of short-term investments, and $49.7 million available under our Revolving Credit Facility (as the term is defined below).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and acquisitions, as well as for various other financing activities, including debt services (see Note 9. </w:t>
      </w:r>
      <w:r>
        <w:rPr>
          <w:rFonts w:ascii="Times New Roman" w:hAnsi="Times New Roman"/>
          <w:i/>
          <w:color w:val="000000"/>
          <w:sz w:val="20"/>
        </w:rPr>
        <w:t>Long-Term Debt</w:t>
      </w:r>
      <w:r>
        <w:rPr>
          <w:rFonts w:ascii="Times New Roman" w:hAnsi="Times New Roman"/>
          <w:color w:val="000000"/>
          <w:sz w:val="20"/>
        </w:rPr>
        <w:t xml:space="preserve"> to our accompanying unaudited condensed consolidated financial statements for further details), repurchases of our Class A common stock, distributions to members of Definitive OpCo, and payments under our TRA liability. </w:t>
      </w:r>
    </w:p>
    <w:p>
      <w:pPr>
        <w:pStyle w:val="TextBody"/>
        <w:bidi w:val="0"/>
        <w:spacing w:before="120" w:after="283"/>
        <w:jc w:val="left"/>
        <w:rPr>
          <w:rFonts w:ascii="Times New Roman" w:hAnsi="Times New Roman"/>
          <w:sz w:val="20"/>
        </w:rPr>
      </w:pPr>
      <w:r>
        <w:rPr>
          <w:rFonts w:ascii="Times New Roman" w:hAnsi="Times New Roman"/>
          <w:color w:val="000000"/>
          <w:sz w:val="20"/>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hAnsi="Times New Roman"/>
          <w:color w:val="231F20"/>
          <w:sz w:val="20"/>
        </w:rPr>
        <w:t>’</w:t>
      </w:r>
      <w:r>
        <w:rPr>
          <w:rFonts w:ascii="Times New Roman" w:hAnsi="Times New Roman"/>
          <w:color w:val="000000"/>
          <w:sz w:val="20"/>
        </w:rPr>
        <w:t xml:space="preserve">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2025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6557"/>
        <w:gridCol w:w="546"/>
        <w:gridCol w:w="211"/>
        <w:gridCol w:w="736"/>
        <w:gridCol w:w="266"/>
        <w:gridCol w:w="246"/>
        <w:gridCol w:w="211"/>
        <w:gridCol w:w="841"/>
        <w:gridCol w:w="591"/>
      </w:tblGrid>
      <w:tr>
        <w:trPr/>
        <w:tc>
          <w:tcPr>
            <w:tcW w:w="655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$11.6 million during the three months ended March 31, 2026, primarily as a result of a net loss of $192.4 million, offset by non-cash charges of $209.3 million. The non-cash charges were primarily comprised of $197.2 million in goodwill impairment charges recorded during the three months ended March 31, 2026, a gain on remeasurement of the TRA of $6.5 million, amortization of intangible assets of $12.2 million, equity compensation costs of $5.2 million, amortization of deferred contract costs of $3.7 million, and a decrease in deferred taxes of $3.5 million. The net decrease in operating assets and liabilities of $5.4 million for the three months ended March 31, 2026 was primarily driven by cash inflows resulting from a decrease in accounts receivable of $13.3 million. These factors were partially offset by cash outflows resulting from lower accounts payable, accrued expenses, and other liabilities, collectively, of $11.6 million, an increase in deferred contract costs of $2.9 million, an increase in prepaid expenses and other assets of $4.0 million, and a decrease in deferred revenue of $0.2 million due to the timing of billings and cash received in advance of revenue recognition for subscription services. </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used in investing activities during the three months ended March 31, 2026 was $6.2 million, driven primarily by $12.5 million in purchases of short-term investments and $3.2 million in purchases of property (including software), equipment, and data assets, partially offset by $9.5 million in maturities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three months ended March 31, 2026 was $10.9 million, driven by payments of $7.8 million under the TRA, net repayments of the 2021 Term Loan (as defined below) of $2.2 million, and taxes paid related to the net share settlement of equity awards of $0.9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March 31, 2026, the Pledged Assets of these subsidiaries approximated $446.4 million, and the net assets of these subsidiaries approximated $147.3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outstanding balance on the Revolving Credit Facility as of March 31, 2026, though we provided a standby letter of credit of $0.3 million to the lessor of our corporate headquarters in lieu of a security deposit, reducing the amount available under our Revolving Credit Facility to $49.7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2021 Credit Agreement, as amended, includes certain financial covenants for which we were compliant as of March 31, 2026 and December 31, 2025. Refer to Note 9. </w:t>
      </w:r>
      <w:r>
        <w:rPr>
          <w:rFonts w:ascii="Times New Roman" w:hAnsi="Times New Roman"/>
          <w:i/>
          <w:color w:val="000000"/>
          <w:sz w:val="20"/>
        </w:rPr>
        <w:t>Long-Term Debt</w:t>
      </w:r>
      <w:r>
        <w:rPr>
          <w:rFonts w:ascii="Times New Roman" w:hAnsi="Times New Roman"/>
          <w:color w:val="000000"/>
          <w:sz w:val="20"/>
        </w:rPr>
        <w:t xml:space="preserve"> to our accompanying unaudited condensed consolidated financial statements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DH Holdings Credit Agreement Amendment, we repaid $69.1 million of outstanding principal amount of the Term Facility and reduced our borrowing capacity under the Revolving Credit Facility by $25.0 million. As a result, we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our Revolving Credit Facility. In addition, we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and are amortized over the life of the arrangement. At March 31, 2026 and December 31, 2025, the unamortized financing costs were $0.4 million and $0.5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the 2021 Term Loan, lease payments, and purchase obligations. With the exception of the DH Holdings Credit Agreement Amendment as described under </w:t>
      </w:r>
      <w:r>
        <w:rPr>
          <w:rFonts w:ascii="Times New Roman" w:hAnsi="Times New Roman"/>
          <w:i/>
          <w:color w:val="000000"/>
          <w:sz w:val="20"/>
        </w:rPr>
        <w:t>Debt Obligations</w:t>
      </w:r>
      <w:r>
        <w:rPr>
          <w:rFonts w:ascii="Times New Roman" w:hAnsi="Times New Roman"/>
          <w:color w:val="000000"/>
          <w:sz w:val="20"/>
        </w:rPr>
        <w:t xml:space="preserve">, there have been no material changes to our financing obligations during the three months ended March 31, 2026. Refer to Note 5. </w:t>
      </w:r>
      <w:r>
        <w:rPr>
          <w:rFonts w:ascii="Times New Roman" w:hAnsi="Times New Roman"/>
          <w:i/>
          <w:color w:val="000000"/>
          <w:sz w:val="20"/>
        </w:rPr>
        <w:t>Leases</w:t>
      </w:r>
      <w:r>
        <w:rPr>
          <w:rFonts w:ascii="Times New Roman" w:hAnsi="Times New Roman"/>
          <w:color w:val="000000"/>
          <w:sz w:val="20"/>
        </w:rPr>
        <w:t xml:space="preserve"> and Note 14. </w:t>
      </w:r>
      <w:r>
        <w:rPr>
          <w:rFonts w:ascii="Times New Roman" w:hAnsi="Times New Roman"/>
          <w:i/>
          <w:color w:val="000000"/>
          <w:sz w:val="20"/>
        </w:rPr>
        <w:t>Commitments and Contingencies</w:t>
      </w:r>
      <w:r>
        <w:rPr>
          <w:rFonts w:ascii="Times New Roman" w:hAnsi="Times New Roman"/>
          <w:color w:val="000000"/>
          <w:sz w:val="20"/>
        </w:rPr>
        <w:t xml:space="preserve"> to our consolidated financial statements included in our 2025 Form 10-K for further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our Board authorized a stock repurchase program of up to $20.0 million of our Class A common stock, which expired on December 31, 2024 (the “2024 Repurchase Program”). In November 2024, our Board announced a new stock repurchase program (the “2025 Repurchase Program” and, together with the 2024 Repurchase Program, the “Repurchase Programs”) of our Class A common stock authorizing up to $100.0 million in share repurchases. The 2025 Repurchase Program expired on December 31, 2025. In total, 13,880,866 shares of our Class A common stock were repurchased under the Repurchase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hAnsi="Times New Roman"/>
          <w:i/>
          <w:color w:val="000000"/>
          <w:sz w:val="20"/>
        </w:rPr>
        <w:t>Income Taxes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requirement of our lease agreement for our corporate headquarters, in lieu of a security deposit, we provided a standby letter of credit of $0.3 million, which is effective through March 2038. </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decreased by $4.5 million to $3.2 million for the three months ended March 31, 2026 compared to $7.7 million for the same period in the prior year, primarily driven by lower spend on software, using both internal and third-party resources, and data assets in the current year compared with the comparable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2025 included in our 2025 Form 10-K. There have been no material changes to these policies or estimates as of March 31, 2026. </w:t>
      </w:r>
    </w:p>
    <w:p>
      <w:pPr>
        <w:pStyle w:val="TextBody"/>
        <w:bidi w:val="0"/>
        <w:spacing w:before="240" w:after="283"/>
        <w:jc w:val="left"/>
        <w:rPr>
          <w:rFonts w:ascii="Times New Roman" w:hAnsi="Times New Roman"/>
          <w:sz w:val="20"/>
        </w:rPr>
      </w:pPr>
      <w:r>
        <w:rPr>
          <w:rFonts w:ascii="Times New Roman" w:hAnsi="Times New Roman"/>
          <w:b/>
          <w:i/>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new accounting pronouncements described under “—Recently Issued Accounting Pronouncements Not Yet Adopted”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to our accompanying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 There have been no material changes to our quantitative and qualitative disclosures about market risk as compared to the quantitative and qualitative disclosures about market risk described in our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its objectives, and management necessarily applies its judgment in evaluating the cost-benefit relationship of possible controls and procedures. Based on such evaluation, our Chief Executive Officer and Chief Financial Officer have concluded that our disclosure controls and procedures were effective as of March 31, 2026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fiscal quarter ended March 31, 2026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addition to the matter discussed in Part I, 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 </w:t>
      </w:r>
    </w:p>
    <w:p>
      <w:pPr>
        <w:pStyle w:val="TextBody"/>
        <w:bidi w:val="0"/>
        <w:spacing w:before="20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a more detailed discussion of our risks and uncertainties, see also Part I, Item 1A, “Risk Factors,” in our 2025 Form 10-K. There have been no material changes in our risk factors since the filing of our 2025 Form 10-K.</w:t>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left"/>
        <w:rPr>
          <w:rFonts w:ascii="Times New Roman" w:hAnsi="Times New Roman"/>
          <w:b/>
          <w:color w:val="000000"/>
          <w:sz w:val="20"/>
        </w:rPr>
      </w:pPr>
      <w:bookmarkStart w:id="17" w:name="item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March 31, 2026 are as follows:</w:t>
      </w:r>
    </w:p>
    <w:tbl>
      <w:tblPr>
        <w:tblW w:w="4553" w:type="dxa"/>
        <w:jc w:val="left"/>
        <w:tblInd w:w="0" w:type="dxa"/>
        <w:tblLayout w:type="fixed"/>
        <w:tblCellMar>
          <w:top w:w="28" w:type="dxa"/>
          <w:left w:w="28" w:type="dxa"/>
          <w:bottom w:w="28" w:type="dxa"/>
          <w:right w:w="28" w:type="dxa"/>
        </w:tblCellMar>
      </w:tblPr>
      <w:tblGrid>
        <w:gridCol w:w="1606"/>
        <w:gridCol w:w="146"/>
        <w:gridCol w:w="409"/>
        <w:gridCol w:w="220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113,743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7"/>
        <w:gridCol w:w="146"/>
        <w:gridCol w:w="9302"/>
      </w:tblGrid>
      <w:tr>
        <w:trP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2" w:type="dxa"/>
            <w:tcBorders/>
            <w:vAlign w:val="center"/>
          </w:tcPr>
          <w:p>
            <w:pPr>
              <w:pStyle w:val="TableContents"/>
              <w:bidi w:val="0"/>
              <w:spacing w:before="0" w:after="283"/>
              <w:jc w:val="left"/>
              <w:rPr>
                <w:sz w:val="4"/>
                <w:szCs w:val="4"/>
              </w:rPr>
            </w:pPr>
            <w:r>
              <w:rPr>
                <w:sz w:val="4"/>
                <w:szCs w:val="4"/>
              </w:rPr>
            </w:r>
          </w:p>
        </w:tc>
      </w:tr>
      <w:tr>
        <w:trPr/>
        <w:tc>
          <w:tcPr>
            <w:tcW w:w="75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6810" w:type="dxa"/>
        <w:jc w:val="left"/>
        <w:tblInd w:w="0" w:type="dxa"/>
        <w:tblLayout w:type="fixed"/>
        <w:tblCellMar>
          <w:top w:w="28" w:type="dxa"/>
          <w:left w:w="28" w:type="dxa"/>
          <w:bottom w:w="28" w:type="dxa"/>
          <w:right w:w="28" w:type="dxa"/>
        </w:tblCellMar>
      </w:tblPr>
      <w:tblGrid>
        <w:gridCol w:w="1156"/>
        <w:gridCol w:w="146"/>
        <w:gridCol w:w="406"/>
        <w:gridCol w:w="631"/>
        <w:gridCol w:w="447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 (</w:t>
            </w:r>
            <w:r>
              <w:rPr>
                <w:rFonts w:ascii="Times New Roman" w:hAnsi="Times New Roman"/>
                <w:i/>
                <w:color w:val="000000"/>
                <w:sz w:val="20"/>
              </w:rPr>
              <w:t>Principal Executive Officer</w:t>
            </w:r>
            <w:r>
              <w:rPr>
                <w:rFonts w:ascii="Times New Roman" w:hAnsi="Times New Roman"/>
                <w:color w:val="000000"/>
                <w:sz w:val="20"/>
              </w:rPr>
              <w:t>)</w:t>
            </w:r>
          </w:p>
        </w:tc>
      </w:tr>
    </w:tbl>
    <w:tbl>
      <w:tblPr>
        <w:tblW w:w="6765" w:type="dxa"/>
        <w:jc w:val="left"/>
        <w:tblInd w:w="0" w:type="dxa"/>
        <w:tblLayout w:type="fixed"/>
        <w:tblCellMar>
          <w:top w:w="28" w:type="dxa"/>
          <w:left w:w="28" w:type="dxa"/>
          <w:bottom w:w="28" w:type="dxa"/>
          <w:right w:w="28" w:type="dxa"/>
        </w:tblCellMar>
      </w:tblPr>
      <w:tblGrid>
        <w:gridCol w:w="1156"/>
        <w:gridCol w:w="146"/>
        <w:gridCol w:w="406"/>
        <w:gridCol w:w="631"/>
        <w:gridCol w:w="442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dh-ex31_1.htm"/>
      <w:bookmarkStart w:id="24" w:name="ksdhex31_1"/>
      <w:bookmarkEnd w:id="23"/>
      <w:bookmarkEnd w:id="24"/>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Coop,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555" w:type="dxa"/>
        <w:jc w:val="left"/>
        <w:tblInd w:w="0" w:type="dxa"/>
        <w:tblLayout w:type="fixed"/>
        <w:tblCellMar>
          <w:top w:w="28" w:type="dxa"/>
          <w:left w:w="28" w:type="dxa"/>
          <w:bottom w:w="28" w:type="dxa"/>
          <w:right w:w="28" w:type="dxa"/>
        </w:tblCellMar>
      </w:tblPr>
      <w:tblGrid>
        <w:gridCol w:w="556"/>
        <w:gridCol w:w="1201"/>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dh-ex31_2.htm"/>
      <w:bookmarkStart w:id="26" w:name="ksdhex31_2"/>
      <w:bookmarkEnd w:id="25"/>
      <w:bookmarkEnd w:id="26"/>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Casey Heller,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424" w:type="dxa"/>
        <w:jc w:val="left"/>
        <w:tblInd w:w="0" w:type="dxa"/>
        <w:tblLayout w:type="fixed"/>
        <w:tblCellMar>
          <w:top w:w="28" w:type="dxa"/>
          <w:left w:w="28" w:type="dxa"/>
          <w:bottom w:w="28" w:type="dxa"/>
          <w:right w:w="28" w:type="dxa"/>
        </w:tblCellMar>
      </w:tblPr>
      <w:tblGrid>
        <w:gridCol w:w="556"/>
        <w:gridCol w:w="120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dh-ex32_1.htm"/>
      <w:bookmarkStart w:id="28" w:name="ksdhex32_1"/>
      <w:bookmarkEnd w:id="27"/>
      <w:bookmarkEnd w:id="28"/>
      <w:r>
        <w:rPr>
          <w:rFonts w:ascii="Times New Roman" w:hAnsi="Times New Roman"/>
          <w:b/>
          <w:color w:val="000000"/>
          <w:sz w:val="20"/>
        </w:rPr>
        <w:t>Exhibit 32.1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Definitive Healthcare Corp. (the “Company”) for the quarterly period ended March 31, 2026 as filed with the Securities and Exchange Commission on the date hereof (the “Report”), Kevin Coop,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their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2026</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10_8.htm" TargetMode="External"/><Relationship Id="rId3" Type="http://schemas.openxmlformats.org/officeDocument/2006/relationships/hyperlink" Target="https://www.sec.gov/Archives/edgar/data/1861795/000095017021003484/dh-ex3_1.htm" TargetMode="External"/><Relationship Id="rId4" Type="http://schemas.openxmlformats.org/officeDocument/2006/relationships/hyperlink" Target="https://www.sec.gov/Archives/edgar/data/1861795/000095017021003484/dh-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23234</Words>
  <Characters>130928</Characters>
  <CharactersWithSpaces>154812</CharactersWithSpaces>
  <Paragraphs>5346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