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Stephenson Scott G</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40" w:type="dxa"/>
            <w:vAlign w:val="bottom"/>
            <w:gridSpan w:val="3"/>
          </w:tcPr>
          <w:p>
            <w:pPr>
              <w:ind w:left="80"/>
              <w:spacing w:after="0"/>
              <w:rPr>
                <w:sz w:val="20"/>
                <w:szCs w:val="20"/>
                <w:color w:val="auto"/>
              </w:rPr>
            </w:pPr>
            <w:r>
              <w:rPr>
                <w:rFonts w:ascii="Arial" w:cs="Arial" w:eastAsia="Arial" w:hAnsi="Arial"/>
                <w:sz w:val="17"/>
                <w:szCs w:val="17"/>
                <w:color w:val="0000FF"/>
              </w:rPr>
              <w:t>09/06/2023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28,958</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28,958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12,496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41,454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("RSUs"), each representing a contingent right to receive one share of the Issuer's Class A Common Stock, par value $0.001. All of the RSUs shall vest over a three-year period, where 1/3 of the RSUs shall vest on each anniversary of the Date of Grant (each a "Vesting Date"), in each case subject to the Reporting Person's continued Service with the Issuer through each such Vesting Date.</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RSUs, each representing a contingent right to receive one share of the Issuer's Class A Common Stock, par value $0.001. All of the RSUs shall vest on the earlier of (i) the first anniversary of the most recent annual meeting of stockholders of the Issuer held on or prior to the Date of Grant, and (ii) immediately prior to the next annual meeting of the Issuer's stockholders following the Date of Grant (the "Vesting Date"), in each case subject to the Reporting Person's continued Service with the Issuer through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09/08/2023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270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2023-09-08T16:19:16Z</dcterms:created>
  <dcterms:modified xsi:type="dcterms:W3CDTF">2023-09-08T16:19:16Z</dcterms:modified>
</cp:coreProperties>
</file>