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h_defa_14a_2026.htm"/>
      <w:bookmarkStart w:id="1" w:name="ksdh_defa_14a_202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806"/>
        <w:gridCol w:w="7301"/>
      </w:tblGrid>
      <w:tr>
        <w:trPr/>
        <w:tc>
          <w:tcPr>
            <w:tcW w:w="806" w:type="dxa"/>
            <w:tcBorders/>
            <w:vAlign w:val="center"/>
          </w:tcPr>
          <w:p>
            <w:pPr>
              <w:pStyle w:val="TableContents"/>
              <w:bidi w:val="0"/>
              <w:spacing w:before="0" w:after="283"/>
              <w:jc w:val="left"/>
              <w:rPr>
                <w:sz w:val="4"/>
                <w:szCs w:val="4"/>
              </w:rPr>
            </w:pPr>
            <w:r>
              <w:rPr>
                <w:sz w:val="4"/>
                <w:szCs w:val="4"/>
              </w:rPr>
            </w:r>
          </w:p>
        </w:tc>
        <w:tc>
          <w:tcPr>
            <w:tcW w:w="7301" w:type="dxa"/>
            <w:tcBorders/>
            <w:vAlign w:val="center"/>
          </w:tcPr>
          <w:p>
            <w:pPr>
              <w:pStyle w:val="TableContents"/>
              <w:bidi w:val="0"/>
              <w:spacing w:before="0" w:after="283"/>
              <w:jc w:val="left"/>
              <w:rPr>
                <w:sz w:val="4"/>
                <w:szCs w:val="4"/>
              </w:rPr>
            </w:pPr>
            <w:r>
              <w:rPr>
                <w:sz w:val="4"/>
                <w:szCs w:val="4"/>
              </w:rPr>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Preliminary Proxy Statement</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Definitive Proxy Statement</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pBdr>
          <w:bottom w:val="single" w:sz="4" w:space="1" w:color="000000"/>
        </w:pBdr>
        <w:bidi w:val="0"/>
        <w:spacing w:before="120" w:after="283"/>
        <w:jc w:val="center"/>
        <w:rPr>
          <w:rFonts w:ascii="Times New Roman" w:hAnsi="Times New Roman"/>
          <w:b/>
          <w:color w:val="000000"/>
          <w:sz w:val="40"/>
        </w:rPr>
      </w:pPr>
      <w:r>
        <w:rPr>
          <w:rFonts w:ascii="Times New Roman" w:hAnsi="Times New Roman"/>
          <w:b/>
          <w:color w:val="000000"/>
          <w:sz w:val="40"/>
        </w:rPr>
        <w:t>Definitive Healthcare Corp.</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9662" w:type="dxa"/>
        <w:jc w:val="left"/>
        <w:tblInd w:w="0" w:type="dxa"/>
        <w:tblLayout w:type="fixed"/>
        <w:tblCellMar>
          <w:top w:w="28" w:type="dxa"/>
          <w:left w:w="28" w:type="dxa"/>
          <w:bottom w:w="28" w:type="dxa"/>
          <w:right w:w="28" w:type="dxa"/>
        </w:tblCellMar>
      </w:tblPr>
      <w:tblGrid>
        <w:gridCol w:w="811"/>
        <w:gridCol w:w="8851"/>
      </w:tblGrid>
      <w:tr>
        <w:trPr/>
        <w:tc>
          <w:tcPr>
            <w:tcW w:w="811"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No fee required</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62750" cy="87439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P.O. BOX 8016, CARY, NC 27512-9903 Your vote matters! Definitive Healthcare Corp. Annual Meeting of Stockholders Thursday, June 4, 2026 at 2:00 PM, Eastern Time 492 Old Connecticut Path, Suite 401, Framingham, MA 01701 styleINA Meeting Materials: Notice of Meeting and Proxy Statement &amp; Annual Report Important Notice Regarding the Availability of Proxy Materials for the Stockholder Meeting to be Held on June 4, 2026 For stockholders of record as of April 13, 2026 To order paper materials, use one of the following methods. For a convenient way to view proxy materials, VOTE, and obtain directions to attend the meeting, go to www.proxydocs.com/DH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materials, you must request one. There is no charge to you for requesting a copy. In order to receive a paper package in time for this year's meeting, you must make this request on or before May 25, 2026. Internet: www.investorelections.com/DH Call: 1-866-648-8133 Email: paper@investorelections.com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SEE REVERSE FOR FULL AGENDA Copyright © 2026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62750" cy="8743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62750" cy="87439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Definitive Healthcare Corp. Annual Meeting of Stockholders THE BOARD OF DIRECTORS RECOMMENDS A VOTE: FOR THE ELECTION OF EACH OF THE DIRECTOR NOMINEES IN PROPOSAL 1 AND FOR PROPOSALS 2, 3 AND 4 PROPOSAL 1. To elect the three Class II directors of Definitive Healtcare Corp. named below, each to serve a three-year term expiring at the 2029 annual meeting of stockholders and until such director's successor is duly elected and qualified, or until such director's earlier death, resignation or removal. 1.01 Sastry Chilukuri 1.02 Chris Egan 1.03 Samuel A. Hamood 2. To ratify the appointment of Deloitte &amp; Touche LLP as the Company's independent registered public accounting firm for the fiscal year ending December 31, 2026. 3. To approve an amendment to the Definitive Healthcare Corp. 2021 Equity Incentive Plan (the “2021 Plan”), to increase the number of shares of Class A Common Stock, par value $0.001 per share that we will have authority to grant under the 2021 Plan by 15,000,000 from 30,972,789 to 45,972,789. 4. To approve, on an advisory basis, the compensation of the Company’s Named Executive Officers, as disclosed in this Proxy Statement. Note: In their discretion, the Named Proxies, Jonathan Paris, Casey Heller and Kevin Coop, are authorized to vote on such other business as may properly come before the meeting or any adjournment or postponement thereof.</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3653</Characters>
  <CharactersWithSpaces>4347</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