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sz w:val="20"/>
        </w:rPr>
      </w:pPr>
      <w:bookmarkStart w:id="0" w:name="dh-20230814.htm"/>
      <w:bookmarkStart w:id="1" w:name="ksdh20230814"/>
      <w:bookmarkEnd w:id="0"/>
      <w:bookmarkEnd w:id="1"/>
      <w:r>
        <w:rPr>
          <w:rFonts w:ascii="Times New Roman;serif" w:hAnsi="Times New Roman;serif"/>
          <w:b/>
          <w:sz w:val="36"/>
        </w:rPr>
        <w:t>UNITED STATES</w:t>
        <w:br/>
        <w:t>SECURITIES AND EXCHANGE COMMISSION</w:t>
        <w:br/>
      </w:r>
      <w:r>
        <w:rPr>
          <w:rFonts w:ascii="Times New Roman;serif" w:hAnsi="Times New Roman;serif"/>
          <w:b/>
          <w:sz w:val="24"/>
        </w:rPr>
        <w:t>WASHINGTON, D.C. 20549</w:t>
      </w:r>
    </w:p>
    <w:p>
      <w:pPr>
        <w:pStyle w:val="TextBody"/>
        <w:bidi w:val="0"/>
        <w:spacing w:before="120" w:after="0"/>
        <w:jc w:val="center"/>
        <w:rPr>
          <w:rFonts w:ascii="Times New Roman;serif" w:hAnsi="Times New Roman;serif"/>
          <w:b/>
          <w:sz w:val="34"/>
        </w:rPr>
      </w:pPr>
      <w:r>
        <w:rPr>
          <w:rFonts w:ascii="Times New Roman;serif" w:hAnsi="Times New Roman;serif"/>
          <w:b/>
          <w:sz w:val="34"/>
        </w:rPr>
        <w:t>FORM 8-K</w:t>
      </w:r>
    </w:p>
    <w:p>
      <w:pPr>
        <w:pStyle w:val="TextBody"/>
        <w:pBdr>
          <w:bottom w:val="single" w:sz="6" w:space="1" w:color="000000"/>
        </w:pBdr>
        <w:bidi w:val="0"/>
        <w:spacing w:before="0" w:after="0"/>
        <w:jc w:val="center"/>
        <w:rPr/>
      </w:pPr>
      <w:r>
        <w:rPr/>
        <w:t> </w:t>
      </w:r>
    </w:p>
    <w:p>
      <w:pPr>
        <w:pStyle w:val="TextBody"/>
        <w:bidi w:val="0"/>
        <w:spacing w:before="120" w:after="0"/>
        <w:jc w:val="center"/>
        <w:rPr>
          <w:rFonts w:ascii="Times New Roman;serif" w:hAnsi="Times New Roman;serif"/>
          <w:b/>
          <w:sz w:val="24"/>
        </w:rPr>
      </w:pPr>
      <w:r>
        <w:rPr>
          <w:rFonts w:ascii="Times New Roman;serif" w:hAnsi="Times New Roman;serif"/>
          <w:b/>
          <w:sz w:val="24"/>
        </w:rPr>
        <w:t>Current Report</w:t>
      </w:r>
    </w:p>
    <w:p>
      <w:pPr>
        <w:pStyle w:val="TextBody"/>
        <w:bidi w:val="0"/>
        <w:spacing w:before="0" w:after="0"/>
        <w:jc w:val="center"/>
        <w:rPr>
          <w:rFonts w:ascii="Times New Roman" w:hAnsi="Times New Roman"/>
          <w:sz w:val="20"/>
        </w:rPr>
      </w:pPr>
      <w:r>
        <w:rPr>
          <w:rFonts w:ascii="Times New Roman;serif" w:hAnsi="Times New Roman;serif"/>
          <w:b/>
          <w:sz w:val="24"/>
        </w:rPr>
        <w:t>Pursuant to Section 13 or 15(d)</w:t>
      </w:r>
      <w:r>
        <w:rPr>
          <w:rFonts w:ascii="Times New Roman" w:hAnsi="Times New Roman"/>
          <w:sz w:val="20"/>
        </w:rPr>
        <w:t xml:space="preserve"> </w:t>
      </w:r>
    </w:p>
    <w:p>
      <w:pPr>
        <w:pStyle w:val="TextBody"/>
        <w:bidi w:val="0"/>
        <w:spacing w:before="0" w:after="0"/>
        <w:jc w:val="center"/>
        <w:rPr>
          <w:rFonts w:ascii="Times New Roman;serif" w:hAnsi="Times New Roman;serif"/>
          <w:b/>
          <w:sz w:val="24"/>
        </w:rPr>
      </w:pPr>
      <w:r>
        <w:rPr>
          <w:rFonts w:ascii="Times New Roman;serif" w:hAnsi="Times New Roman;serif"/>
          <w:b/>
          <w:sz w:val="24"/>
        </w:rPr>
        <w:t>of the Securities Exchange Act of 1934</w:t>
      </w:r>
    </w:p>
    <w:p>
      <w:pPr>
        <w:pStyle w:val="TextBody"/>
        <w:bidi w:val="0"/>
        <w:spacing w:before="120" w:after="0"/>
        <w:jc w:val="center"/>
        <w:rPr>
          <w:rFonts w:ascii="Times New Roman;serif" w:hAnsi="Times New Roman;serif"/>
          <w:b/>
          <w:sz w:val="24"/>
        </w:rPr>
      </w:pPr>
      <w:r>
        <w:rPr>
          <w:rFonts w:ascii="Times New Roman;serif" w:hAnsi="Times New Roman;serif"/>
          <w:b/>
          <w:sz w:val="24"/>
        </w:rPr>
        <w:t>Date of Report (Date of earliest event reported):</w:t>
      </w:r>
    </w:p>
    <w:p>
      <w:pPr>
        <w:pStyle w:val="TextBody"/>
        <w:bidi w:val="0"/>
        <w:spacing w:before="0" w:after="0"/>
        <w:jc w:val="center"/>
        <w:rPr>
          <w:rFonts w:ascii="Times New Roman;serif" w:hAnsi="Times New Roman;serif"/>
          <w:b/>
          <w:sz w:val="24"/>
        </w:rPr>
      </w:pPr>
      <w:r>
        <w:rPr>
          <w:rFonts w:ascii="Times New Roman;serif" w:hAnsi="Times New Roman;serif"/>
          <w:b/>
          <w:sz w:val="24"/>
        </w:rPr>
        <w:t>August 14, 2023</w:t>
      </w:r>
    </w:p>
    <w:p>
      <w:pPr>
        <w:pStyle w:val="TextBody"/>
        <w:pBdr>
          <w:top w:val="single" w:sz="6" w:space="1" w:color="000000"/>
        </w:pBdr>
        <w:bidi w:val="0"/>
        <w:spacing w:before="240" w:after="0"/>
        <w:jc w:val="center"/>
        <w:rPr/>
      </w:pPr>
      <w:r>
        <w:rPr/>
        <w:t> </w:t>
      </w:r>
    </w:p>
    <w:p>
      <w:pPr>
        <w:pStyle w:val="TextBody"/>
        <w:bidi w:val="0"/>
        <w:spacing w:before="0" w:after="0"/>
        <w:jc w:val="center"/>
        <w:rPr>
          <w:rFonts w:ascii="Times New Roman;serif" w:hAnsi="Times New Roman;serif"/>
          <w:b/>
          <w:sz w:val="48"/>
        </w:rPr>
      </w:pPr>
      <w:r>
        <w:rPr>
          <w:rFonts w:ascii="Times New Roman;serif" w:hAnsi="Times New Roman;serif"/>
          <w:b/>
          <w:sz w:val="48"/>
        </w:rPr>
        <w:t>Definitive Healthcare Corp.</w:t>
      </w:r>
    </w:p>
    <w:p>
      <w:pPr>
        <w:pStyle w:val="TextBody"/>
        <w:bidi w:val="0"/>
        <w:spacing w:before="0" w:after="0"/>
        <w:jc w:val="center"/>
        <w:rPr>
          <w:rFonts w:ascii="Times New Roman;serif" w:hAnsi="Times New Roman;serif"/>
          <w:b/>
          <w:sz w:val="15"/>
        </w:rPr>
      </w:pPr>
      <w:r>
        <w:rPr>
          <w:rFonts w:ascii="Times New Roman;serif" w:hAnsi="Times New Roman;serif"/>
          <w:b/>
          <w:sz w:val="15"/>
        </w:rPr>
        <w:t>(Exact name of Registrant as Specified in Its Charter)</w:t>
      </w:r>
    </w:p>
    <w:tbl>
      <w:tblPr>
        <w:tblW w:w="5703" w:type="dxa"/>
        <w:jc w:val="left"/>
        <w:tblInd w:w="0" w:type="dxa"/>
        <w:tblLayout w:type="fixed"/>
        <w:tblCellMar>
          <w:top w:w="28" w:type="dxa"/>
          <w:left w:w="28" w:type="dxa"/>
          <w:bottom w:w="28" w:type="dxa"/>
          <w:right w:w="28" w:type="dxa"/>
        </w:tblCellMar>
      </w:tblPr>
      <w:tblGrid>
        <w:gridCol w:w="1231"/>
        <w:gridCol w:w="3136"/>
        <w:gridCol w:w="1336"/>
      </w:tblGrid>
      <w:tr>
        <w:trPr/>
        <w:tc>
          <w:tcPr>
            <w:tcW w:w="1231"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5703"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Commission File Number 1-40815</w:t>
            </w:r>
          </w:p>
        </w:tc>
      </w:tr>
      <w:tr>
        <w:trPr/>
        <w:tc>
          <w:tcPr>
            <w:tcW w:w="12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1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31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86-3988281</w:t>
            </w:r>
          </w:p>
        </w:tc>
      </w:tr>
      <w:tr>
        <w:trPr/>
        <w:tc>
          <w:tcPr>
            <w:tcW w:w="12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(State</w:t>
              <w:br/>
              <w:t>of Incorporation)</w:t>
            </w:r>
          </w:p>
        </w:tc>
        <w:tc>
          <w:tcPr>
            <w:tcW w:w="31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(IRS Employer</w:t>
              <w:br/>
              <w:t>Identification No.)</w:t>
            </w:r>
          </w:p>
        </w:tc>
      </w:tr>
      <w:tr>
        <w:trPr/>
        <w:tc>
          <w:tcPr>
            <w:tcW w:w="12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1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492 Old Connecticut Path, Suite 401</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1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Framingham, Massachusetts</w:t>
            </w:r>
            <w:r>
              <w:rPr>
                <w:rFonts w:ascii="Times New Roman" w:hAnsi="Times New Roman"/>
                <w:sz w:val="20"/>
              </w:rPr>
              <w:t xml:space="preserve"> </w:t>
            </w:r>
            <w:r>
              <w:rPr>
                <w:rFonts w:ascii="Times New Roman;serif" w:hAnsi="Times New Roman;serif"/>
                <w:b/>
                <w:sz w:val="20"/>
              </w:rPr>
              <w:t>01701</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1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15"/>
              </w:rPr>
              <w:t>(Address of Principal Executive Offices)</w:t>
            </w:r>
            <w:r>
              <w:rPr>
                <w:rFonts w:ascii="Times New Roman" w:hAnsi="Times New Roman"/>
                <w:sz w:val="20"/>
              </w:rPr>
              <w:t xml:space="preserve">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bl>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283"/>
              <w:jc w:val="left"/>
              <w:rPr>
                <w:sz w:val="4"/>
                <w:szCs w:val="4"/>
              </w:rPr>
            </w:pPr>
            <w:r>
              <w:rPr>
                <w:sz w:val="4"/>
                <w:szCs w:val="4"/>
              </w:rPr>
            </w:r>
          </w:p>
        </w:tc>
      </w:tr>
      <w:tr>
        <w:trPr/>
        <w:tc>
          <w:tcPr>
            <w:tcW w:w="35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508</w:t>
            </w:r>
            <w:r>
              <w:rPr>
                <w:rFonts w:ascii="Times New Roman" w:hAnsi="Times New Roman"/>
                <w:sz w:val="20"/>
              </w:rPr>
              <w:t xml:space="preserve"> </w:t>
            </w:r>
            <w:r>
              <w:rPr>
                <w:rFonts w:ascii="Times New Roman;serif" w:hAnsi="Times New Roman;serif"/>
                <w:b/>
                <w:sz w:val="20"/>
              </w:rPr>
              <w:t>720-4224</w:t>
            </w:r>
          </w:p>
        </w:tc>
      </w:tr>
      <w:tr>
        <w:trPr/>
        <w:tc>
          <w:tcPr>
            <w:tcW w:w="35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Registrant’s telephone number, including area code</w:t>
            </w:r>
          </w:p>
        </w:tc>
      </w:tr>
    </w:tbl>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Not Applicable</w:t>
            </w:r>
          </w:p>
        </w:tc>
      </w:tr>
    </w:tbl>
    <w:p>
      <w:pPr>
        <w:pStyle w:val="TextBody"/>
        <w:bidi w:val="0"/>
        <w:spacing w:before="0" w:after="0"/>
        <w:jc w:val="center"/>
        <w:rPr>
          <w:rFonts w:ascii="Times New Roman;serif" w:hAnsi="Times New Roman;serif"/>
          <w:b/>
          <w:sz w:val="15"/>
        </w:rPr>
      </w:pPr>
      <w:r>
        <w:rPr>
          <w:rFonts w:ascii="Times New Roman;serif" w:hAnsi="Times New Roman;serif"/>
          <w:b/>
          <w:sz w:val="15"/>
        </w:rPr>
        <w:t>(Former Name or Former Address, if Changed Since Last Report)</w:t>
      </w:r>
    </w:p>
    <w:p>
      <w:pPr>
        <w:pStyle w:val="TextBody"/>
        <w:bidi w:val="0"/>
        <w:spacing w:before="200" w:after="12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w:t>
      </w:r>
      <w:r>
        <w:rPr>
          <w:rFonts w:ascii="Times New Roman" w:hAnsi="Times New Roman"/>
          <w:sz w:val="20"/>
        </w:rPr>
        <w:t xml:space="preserve"> </w:t>
      </w:r>
    </w:p>
    <w:p>
      <w:pPr>
        <w:pStyle w:val="TextBody"/>
        <w:bidi w:val="0"/>
        <w:spacing w:before="0" w:after="60"/>
        <w:jc w:val="left"/>
        <w:rPr/>
      </w:pPr>
      <w:r>
        <w:rPr/>
        <w:t xml:space="preserve">☐ </w:t>
      </w:r>
      <w:r>
        <w:rPr>
          <w:rFonts w:ascii="Times New Roman;serif" w:hAnsi="Times New Roman;serif"/>
          <w:b w:val="false"/>
          <w:sz w:val="20"/>
        </w:rPr>
        <w:t>Written communications pursuant to Rule 425 under the Securities Act (17 CFR 230.425)</w:t>
      </w:r>
    </w:p>
    <w:p>
      <w:pPr>
        <w:pStyle w:val="TextBody"/>
        <w:bidi w:val="0"/>
        <w:spacing w:before="0" w:after="60"/>
        <w:jc w:val="left"/>
        <w:rPr/>
      </w:pPr>
      <w:r>
        <w:rPr/>
        <w:t xml:space="preserve">☐ </w:t>
      </w:r>
      <w:r>
        <w:rPr>
          <w:rFonts w:ascii="Times New Roman;serif" w:hAnsi="Times New Roman;serif"/>
          <w:b w:val="false"/>
          <w:sz w:val="20"/>
        </w:rPr>
        <w:t>Soliciting material pursuant to Rule 14a-12 under the Exchange Act (17 CFR 240.14a-12)</w:t>
      </w:r>
    </w:p>
    <w:p>
      <w:pPr>
        <w:pStyle w:val="TextBody"/>
        <w:bidi w:val="0"/>
        <w:spacing w:before="0" w:after="60"/>
        <w:jc w:val="left"/>
        <w:rPr/>
      </w:pPr>
      <w:r>
        <w:rPr/>
        <w:t xml:space="preserve">☐ </w:t>
      </w:r>
      <w:r>
        <w:rPr>
          <w:rFonts w:ascii="Times New Roman;serif" w:hAnsi="Times New Roman;serif"/>
          <w:b w:val="false"/>
          <w:sz w:val="20"/>
        </w:rPr>
        <w:t>Pre-commencement communications pursuant to Rule 14d-2(b) under the Exchange Act (17 CFR 240.14d-2(b))</w:t>
      </w:r>
    </w:p>
    <w:p>
      <w:pPr>
        <w:pStyle w:val="TextBody"/>
        <w:bidi w:val="0"/>
        <w:spacing w:before="0" w:after="60"/>
        <w:jc w:val="left"/>
        <w:rPr/>
      </w:pPr>
      <w:r>
        <w:rPr/>
        <w:t xml:space="preserve">☐ </w:t>
      </w:r>
      <w:r>
        <w:rPr>
          <w:rFonts w:ascii="Times New Roman;serif" w:hAnsi="Times New Roman;serif"/>
          <w:b w:val="false"/>
          <w:sz w:val="20"/>
        </w:rPr>
        <w:t>Pre-commencement communications pursuant to Rule 13e-4(c) under the Exchange Act (17 CFR 240.13e-4(c))</w:t>
      </w:r>
    </w:p>
    <w:p>
      <w:pPr>
        <w:pStyle w:val="TextBody"/>
        <w:bidi w:val="0"/>
        <w:spacing w:before="160" w:after="160"/>
        <w:jc w:val="left"/>
        <w:rPr>
          <w:rFonts w:ascii="Times New Roman;serif" w:hAnsi="Times New Roman;serif"/>
          <w:b w:val="false"/>
          <w:sz w:val="20"/>
        </w:rPr>
      </w:pPr>
      <w:r>
        <w:rPr>
          <w:rFonts w:ascii="Times New Roman;serif" w:hAnsi="Times New Roman;serif"/>
          <w:b w:val="false"/>
          <w:sz w:val="20"/>
        </w:rPr>
        <w:t>Securities registered pursuant to Section 12(b) of the Act:</w:t>
      </w:r>
    </w:p>
    <w:tbl>
      <w:tblPr>
        <w:tblW w:w="7586" w:type="dxa"/>
        <w:jc w:val="left"/>
        <w:tblInd w:w="0" w:type="dxa"/>
        <w:tblLayout w:type="fixed"/>
        <w:tblCellMar>
          <w:top w:w="28" w:type="dxa"/>
          <w:left w:w="28" w:type="dxa"/>
          <w:bottom w:w="28" w:type="dxa"/>
          <w:right w:w="28" w:type="dxa"/>
        </w:tblCellMar>
      </w:tblPr>
      <w:tblGrid>
        <w:gridCol w:w="3601"/>
        <w:gridCol w:w="109"/>
        <w:gridCol w:w="646"/>
        <w:gridCol w:w="109"/>
        <w:gridCol w:w="3121"/>
      </w:tblGrid>
      <w:tr>
        <w:trPr/>
        <w:tc>
          <w:tcPr>
            <w:tcW w:w="3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Title of Each Class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Trading</w:t>
              <w:br/>
              <w:t>Symbol</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2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Class A Common Stock, $0.001 par value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DH</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The NASDAQ Stock Market LLC</w:t>
            </w:r>
          </w:p>
        </w:tc>
      </w:tr>
    </w:tbl>
    <w:p>
      <w:pPr>
        <w:pStyle w:val="TextBody"/>
        <w:bidi w:val="0"/>
        <w:spacing w:before="160" w:after="0"/>
        <w:jc w:val="left"/>
        <w:rPr>
          <w:rFonts w:ascii="Times New Roman" w:hAnsi="Times New Roman"/>
          <w:sz w:val="20"/>
        </w:rPr>
      </w:pPr>
      <w:r>
        <w:rPr>
          <w:rFonts w:ascii="Times New Roman;serif" w:hAnsi="Times New Roman;serif"/>
          <w:b w:val="false"/>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sz w:val="20"/>
        </w:rPr>
        <w:t xml:space="preserve"> </w:t>
      </w:r>
    </w:p>
    <w:p>
      <w:pPr>
        <w:pStyle w:val="TextBody"/>
        <w:bidi w:val="0"/>
        <w:spacing w:before="160" w:after="0"/>
        <w:jc w:val="lef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w:t>
      </w:r>
    </w:p>
    <w:p>
      <w:pPr>
        <w:pStyle w:val="TextBody"/>
        <w:bidi w:val="0"/>
        <w:spacing w:before="16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240" w:after="240"/>
        <w:jc w:val="left"/>
        <w:rPr>
          <w:rFonts w:ascii="Times New Roman" w:hAnsi="Times New Roman"/>
          <w:sz w:val="20"/>
        </w:rPr>
      </w:pPr>
      <w:r>
        <w:rPr>
          <w:rFonts w:ascii="Times New Roman;serif" w:hAnsi="Times New Roman;serif"/>
          <w:b w:val="false"/>
          <w:sz w:val="2"/>
        </w:rPr>
        <w:br/>
      </w:r>
      <w:r>
        <w:rPr>
          <w:rFonts w:ascii="Times New Roman" w:hAnsi="Times New Roman"/>
          <w:sz w:val="20"/>
        </w:rPr>
        <w:t> </w:t>
      </w:r>
    </w:p>
    <w:p>
      <w:pPr>
        <w:pStyle w:val="HorizontalLine"/>
        <w:pBdr>
          <w:bottom w:val="double" w:sz="2" w:space="0" w:color="808080"/>
        </w:pBdr>
        <w:bidi w:val="0"/>
        <w:spacing w:before="0" w:after="283"/>
        <w:jc w:val="left"/>
        <w:rPr/>
      </w:pPr>
      <w:r>
        <w:rPr/>
      </w:r>
    </w:p>
    <w:p>
      <w:pPr>
        <w:pStyle w:val="TextBody"/>
        <w:bidi w:val="0"/>
        <w:spacing w:before="240" w:after="240"/>
        <w:jc w:val="both"/>
        <w:rPr>
          <w:rFonts w:ascii="Times New Roman;serif" w:hAnsi="Times New Roman;serif"/>
          <w:b/>
          <w:sz w:val="20"/>
        </w:rPr>
      </w:pPr>
      <w:r>
        <w:rPr>
          <w:rFonts w:ascii="Times New Roman;serif" w:hAnsi="Times New Roman;serif"/>
          <w:b/>
          <w:sz w:val="20"/>
        </w:rPr>
        <w:t>Item 2.02 Results of Operations and Financial Condition.</w:t>
      </w:r>
    </w:p>
    <w:p>
      <w:pPr>
        <w:pStyle w:val="TextBody"/>
        <w:bidi w:val="0"/>
        <w:spacing w:before="0" w:after="120"/>
        <w:jc w:val="both"/>
        <w:rPr>
          <w:rFonts w:ascii="Times New Roman" w:hAnsi="Times New Roman"/>
          <w:sz w:val="20"/>
        </w:rPr>
      </w:pPr>
      <w:r>
        <w:rPr>
          <w:rFonts w:ascii="Times New Roman;serif" w:hAnsi="Times New Roman;serif"/>
          <w:b w:val="false"/>
          <w:sz w:val="20"/>
        </w:rPr>
        <w:t>On August 14, 2023, Definitive Healthcare Corp. (the “Company”) issued a press release announcing its financial results for the second quarter ended June 30, 2023. A copy of the press release is furnished as Exhibit 99.1 to this Current Report on Form 8-K and is incorporated by reference herein.</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The information furnished in this Item 2.02 on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regardless of any general incorporation language in such filing.</w:t>
      </w:r>
    </w:p>
    <w:p>
      <w:pPr>
        <w:pStyle w:val="TextBody"/>
        <w:bidi w:val="0"/>
        <w:spacing w:before="240" w:after="240"/>
        <w:jc w:val="both"/>
        <w:rPr>
          <w:rFonts w:ascii="Times New Roman;serif" w:hAnsi="Times New Roman;serif"/>
          <w:b/>
          <w:sz w:val="20"/>
        </w:rPr>
      </w:pPr>
      <w:r>
        <w:rPr>
          <w:rFonts w:ascii="Times New Roman;serif" w:hAnsi="Times New Roman;serif"/>
          <w:b/>
          <w:sz w:val="20"/>
        </w:rPr>
        <w:t>Item 7.01 Regulation FD Disclosure.</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On August 14, 2023, the Company issued a press release announcing that it had acquired Populi, Inc. effective as of July 21, 2023. Such press release is furnished as Exhibit 99.2 to this Current Report on Form 8-K and is incorporated by reference herein.</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The information furnished in this Item 7.01 on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regardless of any general incorporation language in such filing.</w:t>
      </w:r>
    </w:p>
    <w:p>
      <w:pPr>
        <w:pStyle w:val="TextBody"/>
        <w:bidi w:val="0"/>
        <w:spacing w:before="0" w:after="240"/>
        <w:jc w:val="both"/>
        <w:rPr>
          <w:rFonts w:ascii="Times New Roman;serif" w:hAnsi="Times New Roman;serif"/>
          <w:b/>
          <w:sz w:val="20"/>
        </w:rPr>
      </w:pPr>
      <w:r>
        <w:rPr>
          <w:rFonts w:ascii="Times New Roman;serif" w:hAnsi="Times New Roman;serif"/>
          <w:b/>
          <w:sz w:val="20"/>
        </w:rPr>
        <w:t>Item 9.01 Financial Statements and Exhibits.</w:t>
      </w:r>
    </w:p>
    <w:p>
      <w:pPr>
        <w:pStyle w:val="TextBody"/>
        <w:bidi w:val="0"/>
        <w:spacing w:before="240" w:after="240"/>
        <w:jc w:val="both"/>
        <w:rPr>
          <w:rFonts w:ascii="Times New Roman;serif" w:hAnsi="Times New Roman;serif"/>
          <w:b w:val="false"/>
          <w:sz w:val="20"/>
        </w:rPr>
      </w:pPr>
      <w:r>
        <w:rPr>
          <w:rFonts w:ascii="Times New Roman;serif" w:hAnsi="Times New Roman;serif"/>
          <w:b w:val="false"/>
          <w:sz w:val="20"/>
        </w:rPr>
        <w:t>(d) Exhibits.</w:t>
      </w:r>
    </w:p>
    <w:tbl>
      <w:tblPr>
        <w:tblW w:w="7127" w:type="dxa"/>
        <w:jc w:val="left"/>
        <w:tblInd w:w="0" w:type="dxa"/>
        <w:tblLayout w:type="fixed"/>
        <w:tblCellMar>
          <w:top w:w="28" w:type="dxa"/>
          <w:left w:w="28" w:type="dxa"/>
          <w:bottom w:w="28" w:type="dxa"/>
          <w:right w:w="28" w:type="dxa"/>
        </w:tblCellMar>
      </w:tblPr>
      <w:tblGrid>
        <w:gridCol w:w="481"/>
        <w:gridCol w:w="6646"/>
      </w:tblGrid>
      <w:tr>
        <w:trPr/>
        <w:tc>
          <w:tcPr>
            <w:tcW w:w="481"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99.1</w:t>
            </w:r>
          </w:p>
        </w:tc>
        <w:tc>
          <w:tcPr>
            <w:tcW w:w="66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dh-ex99_1.htm">
              <w:r>
                <w:rPr>
                  <w:rStyle w:val="InternetLink"/>
                  <w:rFonts w:ascii="Times New Roman;serif" w:hAnsi="Times New Roman;serif"/>
                  <w:b w:val="false"/>
                  <w:sz w:val="20"/>
                  <w:u w:val="single"/>
                </w:rPr>
                <w:t>Press Release Dated August 14, 2023 (furnished herewith pursuant to Item 2.02)</w:t>
              </w:r>
            </w:hyperlink>
          </w:p>
        </w:tc>
      </w:tr>
      <w:tr>
        <w:trPr/>
        <w:tc>
          <w:tcPr>
            <w:tcW w:w="4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99.2</w:t>
            </w:r>
          </w:p>
        </w:tc>
        <w:tc>
          <w:tcPr>
            <w:tcW w:w="66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dh-ex99_2.htm">
              <w:r>
                <w:rPr>
                  <w:rStyle w:val="InternetLink"/>
                  <w:rFonts w:ascii="Times New Roman;serif" w:hAnsi="Times New Roman;serif"/>
                  <w:b w:val="false"/>
                  <w:sz w:val="20"/>
                  <w:u w:val="single"/>
                </w:rPr>
                <w:t>Press Release Dated August 14, 2023 (furnished herewith pursuant to Item 7.01)</w:t>
              </w:r>
            </w:hyperlink>
          </w:p>
        </w:tc>
      </w:tr>
      <w:tr>
        <w:trPr/>
        <w:tc>
          <w:tcPr>
            <w:tcW w:w="4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66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SIGNATURES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3150" w:type="dxa"/>
        <w:jc w:val="left"/>
        <w:tblInd w:w="0" w:type="dxa"/>
        <w:tblLayout w:type="fixed"/>
        <w:tblCellMar>
          <w:top w:w="28" w:type="dxa"/>
          <w:left w:w="28" w:type="dxa"/>
          <w:bottom w:w="28" w:type="dxa"/>
          <w:right w:w="28" w:type="dxa"/>
        </w:tblCellMar>
      </w:tblPr>
      <w:tblGrid>
        <w:gridCol w:w="726"/>
        <w:gridCol w:w="2210"/>
        <w:gridCol w:w="214"/>
      </w:tblGrid>
      <w:tr>
        <w:trPr/>
        <w:tc>
          <w:tcPr>
            <w:tcW w:w="72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DEFINITIVE HEALTHCARE CORP.</w:t>
            </w:r>
          </w:p>
        </w:tc>
      </w:tr>
      <w:tr>
        <w:trPr/>
        <w:tc>
          <w:tcPr>
            <w:tcW w:w="7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21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Richard Booth</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221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Richard Booth</w:t>
            </w:r>
          </w:p>
        </w:tc>
        <w:tc>
          <w:tcPr>
            <w:tcW w:w="21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221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c>
          <w:tcPr>
            <w:tcW w:w="21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21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3150" w:type="dxa"/>
            <w:gridSpan w:val="3"/>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14, 2023</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 w:name="dh-ex99_1.htm"/>
      <w:bookmarkStart w:id="3" w:name="ksdhex99_1"/>
      <w:bookmarkEnd w:id="2"/>
      <w:bookmarkEnd w:id="3"/>
      <w:r>
        <w:rPr/>
        <w:t> </w:t>
      </w:r>
      <w:r>
        <w:br w:type="page"/>
      </w:r>
    </w:p>
    <w:p>
      <w:pPr>
        <w:pStyle w:val="TextBody"/>
        <w:bidi w:val="0"/>
        <w:spacing w:before="0" w:after="0"/>
        <w:jc w:val="right"/>
        <w:rPr>
          <w:rFonts w:ascii="Arial;sans-serif" w:hAnsi="Arial;sans-serif"/>
          <w:b/>
          <w:sz w:val="22"/>
        </w:rPr>
      </w:pPr>
      <w:r>
        <w:rPr>
          <w:rFonts w:ascii="Arial;sans-serif" w:hAnsi="Arial;sans-serif"/>
          <w:b/>
          <w:sz w:val="22"/>
        </w:rPr>
        <w:t>Exhibit 99.1</w:t>
      </w:r>
    </w:p>
    <w:p>
      <w:pPr>
        <w:pStyle w:val="TextBody"/>
        <w:bidi w:val="0"/>
        <w:spacing w:before="0" w:after="0"/>
        <w:jc w:val="center"/>
        <w:rPr/>
      </w:pPr>
      <w:r>
        <w:rPr/>
        <w:t> </w:t>
      </w:r>
    </w:p>
    <w:p>
      <w:pPr>
        <w:pStyle w:val="TextBody"/>
        <w:bidi w:val="0"/>
        <w:spacing w:before="0" w:after="120"/>
        <w:jc w:val="center"/>
        <w:rPr>
          <w:rFonts w:ascii="Arial;sans-serif" w:hAnsi="Arial;sans-serif"/>
          <w:b/>
          <w:sz w:val="22"/>
        </w:rPr>
      </w:pPr>
      <w:r>
        <w:rPr>
          <w:rFonts w:ascii="Arial;sans-serif" w:hAnsi="Arial;sans-serif"/>
          <w:b/>
          <w:sz w:val="22"/>
        </w:rPr>
        <w:t>Definitive Healthcare Reports Financial Results for Second Quarter Fiscal Year 2023</w:t>
      </w:r>
    </w:p>
    <w:p>
      <w:pPr>
        <w:pStyle w:val="TextBody"/>
        <w:bidi w:val="0"/>
        <w:spacing w:before="0" w:after="120"/>
        <w:jc w:val="center"/>
        <w:rPr>
          <w:rFonts w:ascii="Arial;sans-serif" w:hAnsi="Arial;sans-serif"/>
          <w:b w:val="false"/>
          <w:i/>
          <w:sz w:val="22"/>
        </w:rPr>
      </w:pPr>
      <w:r>
        <w:rPr>
          <w:rFonts w:ascii="Arial;sans-serif" w:hAnsi="Arial;sans-serif"/>
          <w:b w:val="false"/>
          <w:i/>
          <w:sz w:val="22"/>
        </w:rPr>
        <w:t>Second quarter revenue grew 12% year-over-year to $61.0 million</w:t>
      </w:r>
    </w:p>
    <w:p>
      <w:pPr>
        <w:pStyle w:val="TextBody"/>
        <w:bidi w:val="0"/>
        <w:spacing w:before="0" w:after="120"/>
        <w:jc w:val="left"/>
        <w:rPr>
          <w:rFonts w:ascii="Times New Roman" w:hAnsi="Times New Roman"/>
          <w:sz w:val="20"/>
        </w:rPr>
      </w:pPr>
      <w:r>
        <w:rPr>
          <w:rFonts w:ascii="Arial;sans-serif" w:hAnsi="Arial;sans-serif"/>
          <w:b/>
          <w:sz w:val="22"/>
        </w:rPr>
        <w:t xml:space="preserve">Framingham, MA (August 14, 2023) – </w:t>
      </w:r>
      <w:r>
        <w:rPr>
          <w:rFonts w:ascii="Arial;sans-serif" w:hAnsi="Arial;sans-serif"/>
          <w:b w:val="false"/>
          <w:sz w:val="22"/>
        </w:rPr>
        <w:t>Definitive Healthcare Corp. (“Definitive Healthcare” or the “Company”) (Nasdaq: DH), an industry leader in healthcare commercial intelligence, today announced financial results for the quarter ended June 30, 2023.</w:t>
      </w:r>
    </w:p>
    <w:p>
      <w:pPr>
        <w:pStyle w:val="TextBody"/>
        <w:bidi w:val="0"/>
        <w:spacing w:before="0" w:after="0"/>
        <w:jc w:val="both"/>
        <w:rPr>
          <w:rFonts w:ascii="Arial;sans-serif" w:hAnsi="Arial;sans-serif"/>
          <w:b/>
          <w:sz w:val="22"/>
        </w:rPr>
      </w:pPr>
      <w:r>
        <w:rPr>
          <w:rFonts w:ascii="Arial;sans-serif" w:hAnsi="Arial;sans-serif"/>
          <w:b/>
          <w:sz w:val="22"/>
        </w:rPr>
        <w:t>Second Quarter 2023 Financial Highlights:</w:t>
      </w:r>
    </w:p>
    <w:p>
      <w:pPr>
        <w:pStyle w:val="TextBody"/>
        <w:bidi w:val="0"/>
        <w:spacing w:before="120" w:after="240"/>
        <w:jc w:val="left"/>
        <w:rPr>
          <w:rFonts w:ascii="Arial;sans-serif" w:hAnsi="Arial;sans-serif"/>
          <w:b w:val="false"/>
          <w:i/>
          <w:sz w:val="22"/>
        </w:rPr>
      </w:pPr>
      <w:r>
        <w:rPr>
          <w:rFonts w:ascii="Arial;sans-serif" w:hAnsi="Arial;sans-serif"/>
          <w:b w:val="false"/>
          <w:i/>
          <w:sz w:val="22"/>
        </w:rPr>
        <w:t>Amounts referencing Q2 2022 and trailing twelve-month periods (excluding revenue) are as restated</w:t>
      </w:r>
    </w:p>
    <w:p>
      <w:pPr>
        <w:pStyle w:val="TextBody"/>
        <w:bidi w:val="0"/>
        <w:spacing w:before="120" w:after="0"/>
        <w:jc w:val="left"/>
        <w:rPr/>
      </w:pPr>
      <w:r>
        <w:rPr/>
        <w:t>•</w:t>
      </w:r>
    </w:p>
    <w:p>
      <w:pPr>
        <w:pStyle w:val="TextBody"/>
        <w:bidi w:val="0"/>
        <w:spacing w:before="120" w:after="0"/>
        <w:jc w:val="left"/>
        <w:rPr/>
      </w:pPr>
      <w:r>
        <w:rPr>
          <w:rFonts w:ascii="Arial;sans-serif" w:hAnsi="Arial;sans-serif"/>
          <w:b/>
          <w:sz w:val="22"/>
        </w:rPr>
        <w:t>Revenue</w:t>
      </w:r>
      <w:r>
        <w:rPr/>
        <w:t xml:space="preserve"> </w:t>
      </w:r>
      <w:r>
        <w:rPr>
          <w:rFonts w:ascii="Arial;sans-serif" w:hAnsi="Arial;sans-serif"/>
          <w:b w:val="false"/>
          <w:sz w:val="22"/>
        </w:rPr>
        <w:t>was $61.0 million, an increase of 12% from $54.5 million in Q2 2022.</w:t>
      </w:r>
    </w:p>
    <w:p>
      <w:pPr>
        <w:pStyle w:val="TextBody"/>
        <w:bidi w:val="0"/>
        <w:spacing w:before="0" w:after="0"/>
        <w:jc w:val="both"/>
        <w:rPr/>
      </w:pPr>
      <w:r>
        <w:rPr/>
        <w:t>•</w:t>
      </w:r>
    </w:p>
    <w:p>
      <w:pPr>
        <w:pStyle w:val="TextBody"/>
        <w:bidi w:val="0"/>
        <w:spacing w:before="0" w:after="0"/>
        <w:jc w:val="both"/>
        <w:rPr/>
      </w:pPr>
      <w:r>
        <w:rPr>
          <w:rFonts w:ascii="Arial;sans-serif" w:hAnsi="Arial;sans-serif"/>
          <w:b/>
          <w:sz w:val="22"/>
        </w:rPr>
        <w:t xml:space="preserve">Net loss </w:t>
      </w:r>
      <w:r>
        <w:rPr>
          <w:rFonts w:ascii="Arial;sans-serif" w:hAnsi="Arial;sans-serif"/>
          <w:b w:val="false"/>
          <w:sz w:val="22"/>
        </w:rPr>
        <w:t>was ($11.6) million, or 19% of revenue, compared to ($10.1) million, or 19% of revenue in Q2 2022.</w:t>
      </w:r>
    </w:p>
    <w:p>
      <w:pPr>
        <w:pStyle w:val="TextBody"/>
        <w:bidi w:val="0"/>
        <w:spacing w:before="0" w:after="0"/>
        <w:jc w:val="both"/>
        <w:rPr/>
      </w:pPr>
      <w:r>
        <w:rPr/>
        <w:t>•</w:t>
      </w:r>
    </w:p>
    <w:p>
      <w:pPr>
        <w:pStyle w:val="TextBody"/>
        <w:bidi w:val="0"/>
        <w:spacing w:before="0" w:after="0"/>
        <w:jc w:val="both"/>
        <w:rPr/>
      </w:pPr>
      <w:r>
        <w:rPr>
          <w:rFonts w:ascii="Arial;sans-serif" w:hAnsi="Arial;sans-serif"/>
          <w:b/>
          <w:sz w:val="22"/>
        </w:rPr>
        <w:t xml:space="preserve">Adjusted Net Income </w:t>
      </w:r>
      <w:r>
        <w:rPr>
          <w:rFonts w:ascii="Arial;sans-serif" w:hAnsi="Arial;sans-serif"/>
          <w:b w:val="false"/>
          <w:sz w:val="22"/>
        </w:rPr>
        <w:t>was $12.4 million, compared to $8.8 million in Q2 2022.</w:t>
      </w:r>
    </w:p>
    <w:p>
      <w:pPr>
        <w:pStyle w:val="TextBody"/>
        <w:bidi w:val="0"/>
        <w:spacing w:before="0" w:after="0"/>
        <w:jc w:val="both"/>
        <w:rPr/>
      </w:pPr>
      <w:r>
        <w:rPr/>
        <w:t>•</w:t>
      </w:r>
    </w:p>
    <w:p>
      <w:pPr>
        <w:pStyle w:val="TextBody"/>
        <w:bidi w:val="0"/>
        <w:spacing w:before="0" w:after="0"/>
        <w:jc w:val="both"/>
        <w:rPr/>
      </w:pPr>
      <w:r>
        <w:rPr>
          <w:rFonts w:ascii="Arial;sans-serif" w:hAnsi="Arial;sans-serif"/>
          <w:b/>
          <w:sz w:val="22"/>
        </w:rPr>
        <w:t xml:space="preserve">Adjusted EBITDA </w:t>
      </w:r>
      <w:r>
        <w:rPr>
          <w:rFonts w:ascii="Arial;sans-serif" w:hAnsi="Arial;sans-serif"/>
          <w:b w:val="false"/>
          <w:sz w:val="22"/>
        </w:rPr>
        <w:t>was $17.2 million, or 28% of revenue, compared to $16.3 million, or 30% of revenue in Q2 2022.</w:t>
      </w:r>
    </w:p>
    <w:p>
      <w:pPr>
        <w:pStyle w:val="TextBody"/>
        <w:bidi w:val="0"/>
        <w:spacing w:before="0" w:after="0"/>
        <w:jc w:val="both"/>
        <w:rPr/>
      </w:pPr>
      <w:r>
        <w:rPr/>
        <w:t>•</w:t>
      </w:r>
    </w:p>
    <w:p>
      <w:pPr>
        <w:pStyle w:val="TextBody"/>
        <w:bidi w:val="0"/>
        <w:spacing w:before="0" w:after="0"/>
        <w:jc w:val="both"/>
        <w:rPr/>
      </w:pPr>
      <w:r>
        <w:rPr>
          <w:rFonts w:ascii="Arial;sans-serif" w:hAnsi="Arial;sans-serif"/>
          <w:b/>
          <w:sz w:val="22"/>
        </w:rPr>
        <w:t xml:space="preserve">Cash flow from operations </w:t>
      </w:r>
      <w:r>
        <w:rPr>
          <w:rFonts w:ascii="Arial;sans-serif" w:hAnsi="Arial;sans-serif"/>
          <w:b w:val="false"/>
          <w:sz w:val="22"/>
        </w:rPr>
        <w:t>was $12.0 million in the quarter or 20% of revenue. For the trailing twelve-month period, cash flow from operations was $33.5 million, or 14% of revenue.</w:t>
      </w:r>
    </w:p>
    <w:p>
      <w:pPr>
        <w:pStyle w:val="TextBody"/>
        <w:bidi w:val="0"/>
        <w:spacing w:before="0" w:after="0"/>
        <w:jc w:val="both"/>
        <w:rPr/>
      </w:pPr>
      <w:r>
        <w:rPr/>
        <w:t>•</w:t>
      </w:r>
    </w:p>
    <w:p>
      <w:pPr>
        <w:pStyle w:val="TextBody"/>
        <w:bidi w:val="0"/>
        <w:jc w:val="both"/>
        <w:rPr/>
      </w:pPr>
      <w:r>
        <w:rPr>
          <w:rFonts w:ascii="Arial;sans-serif" w:hAnsi="Arial;sans-serif"/>
          <w:b/>
          <w:sz w:val="22"/>
        </w:rPr>
        <w:t xml:space="preserve">Unlevered free cash flow </w:t>
      </w:r>
      <w:r>
        <w:rPr>
          <w:rFonts w:ascii="Arial;sans-serif" w:hAnsi="Arial;sans-serif"/>
          <w:b w:val="false"/>
          <w:sz w:val="22"/>
        </w:rPr>
        <w:t>was $18.9 million in the quarter, or 31% of revenue. For the trailing twelve-month period, unlevered free cash flow was $52.5 million, or 22% of revenue.</w:t>
      </w:r>
    </w:p>
    <w:p>
      <w:pPr>
        <w:pStyle w:val="TextBody"/>
        <w:bidi w:val="0"/>
        <w:spacing w:before="240" w:after="0"/>
        <w:jc w:val="left"/>
        <w:rPr/>
      </w:pPr>
      <w:r>
        <w:rPr/>
        <w:t>“</w:t>
      </w:r>
      <w:r>
        <w:rPr>
          <w:rFonts w:ascii="Arial;sans-serif" w:hAnsi="Arial;sans-serif"/>
          <w:b w:val="false"/>
          <w:sz w:val="22"/>
        </w:rPr>
        <w:t>Our second quarter revenue and adjusted EBITDA were in-line with our expectations. Our ability to continue delivering on our goal of balanced growth and profitability in a difficult economy is a reminder of the inherent value of our commercial intelligence platform and the efficiency of our business model,” said Robert Musslewhite, CEO of Definitive Healthcare. “Our performance in the quarter was driven by new and existing customer wins in each of our target markets. We continue to see solid demand generation and are having an increasing number of strategic conversations with customers about their long-term investment priorities.”</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Arial;sans-serif" w:hAnsi="Arial;sans-serif"/>
          <w:b/>
          <w:sz w:val="22"/>
        </w:rPr>
      </w:pPr>
      <w:r>
        <w:rPr>
          <w:rFonts w:ascii="Arial;sans-serif" w:hAnsi="Arial;sans-serif"/>
          <w:b/>
          <w:sz w:val="22"/>
        </w:rPr>
        <w:t>Restatement of Previously Issued Financial Statements</w:t>
      </w:r>
    </w:p>
    <w:p>
      <w:pPr>
        <w:pStyle w:val="TextBody"/>
        <w:bidi w:val="0"/>
        <w:spacing w:before="120" w:after="0"/>
        <w:jc w:val="left"/>
        <w:rPr>
          <w:rFonts w:ascii="Arial;sans-serif" w:hAnsi="Arial;sans-serif"/>
          <w:b w:val="false"/>
          <w:sz w:val="22"/>
        </w:rPr>
      </w:pPr>
      <w:r>
        <w:rPr>
          <w:rFonts w:ascii="Arial;sans-serif" w:hAnsi="Arial;sans-serif"/>
          <w:b w:val="false"/>
          <w:sz w:val="22"/>
        </w:rPr>
        <w:t>On August 1, 2023, the Company filed an 8-K with the Securities and Exchange Commission (“SEC”) announcing that previously issued audited consolidated financial statements as of December 31, 2022 and 2021 and for the years ended December 31, 2022, 2021 and 2020, included in the Company’s Annual Report on Form 10-K for the year ended December 31, 2022 (the “2022 Annual Report”), and the Company’s unaudited condensed consolidated financial statements included in the Quarterly Reports on Form 10-Q for the quarterly periods within those years (“Historical Quarterly Reports”), as well as the unaudited condensed consolidated financial statements included in the Company’s Quarterly Report on Form 10-Q for the quarter ended March 31, 2023 (the “Q1 2023 Quarterly Report” and, together with the 2022 Annual Report and the Historical Quarterly Reports, the “Reports” and all financial statements included in the Reports, collectively the “Affected Financials”), should no longer be relied upon. Similarly, related press releases, shareholder communications, investor presentations or other communications describing relevant portions of the Affected Financials should no longer be relied upon. The restatement was necessary to correct material misstatements related to the collection of sales taxes from customers and resulted in the Company recording an aggregate increase to previously reported general and administrative expense of $8.5 million through March 31, 2023, with an offset to accrued expenses. The Company expects to make adjustments to the sales tax liability in future periods as and if it obtains any waivers of interest and penalties or other benefits from its voluntary disclosures and as and if it obtains additional documentation from customers supporting exemption from sales tax. On August 14, 2023, the Company filed Amendment No. 1 on Form 10-K/A to our Annual Report on Form 10-K for the year ended December 31, 2022 ("2022 Form 10-K/A”) and Amendment No. 1 on Form 10-Q/A to our Quarterly Report on Form 10-Q for the quarter ended March 31, 2023 ("Q1 2023 Form 10-Q/A”) to restate the Affected Financials. The Company has taken certain remedial actions and plans to continue to enhance controls over sales taxes. Additional information can be found in the 2022 Form 10-K/A and Q1 2023 Form 10-Q/A filed with the SEC on August 14, 2023.</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Arial;sans-serif" w:hAnsi="Arial;sans-serif"/>
          <w:b/>
          <w:sz w:val="22"/>
        </w:rPr>
      </w:pPr>
      <w:r>
        <w:rPr>
          <w:rFonts w:ascii="Arial;sans-serif" w:hAnsi="Arial;sans-serif"/>
          <w:b/>
          <w:sz w:val="22"/>
        </w:rPr>
        <w:t>Recent Business and Operating Highlights:</w:t>
      </w:r>
    </w:p>
    <w:p>
      <w:pPr>
        <w:pStyle w:val="TextBody"/>
        <w:bidi w:val="0"/>
        <w:spacing w:before="120" w:after="0"/>
        <w:jc w:val="both"/>
        <w:rPr>
          <w:rFonts w:ascii="Arial;sans-serif" w:hAnsi="Arial;sans-serif"/>
          <w:b/>
          <w:sz w:val="22"/>
        </w:rPr>
      </w:pPr>
      <w:r>
        <w:rPr>
          <w:rFonts w:ascii="Arial;sans-serif" w:hAnsi="Arial;sans-serif"/>
          <w:b/>
          <w:sz w:val="22"/>
        </w:rPr>
        <w:t>Customer Wins</w:t>
      </w:r>
    </w:p>
    <w:p>
      <w:pPr>
        <w:pStyle w:val="TextBody"/>
        <w:bidi w:val="0"/>
        <w:spacing w:before="120" w:after="0"/>
        <w:jc w:val="left"/>
        <w:rPr>
          <w:rFonts w:ascii="Arial;sans-serif" w:hAnsi="Arial;sans-serif"/>
          <w:b w:val="false"/>
          <w:sz w:val="22"/>
        </w:rPr>
      </w:pPr>
      <w:r>
        <w:rPr>
          <w:rFonts w:ascii="Arial;sans-serif" w:hAnsi="Arial;sans-serif"/>
          <w:b w:val="false"/>
          <w:sz w:val="22"/>
        </w:rPr>
        <w:t>In the second quarter, Definitive Healthcare grew its enterprise client base by 8% year-over-year, ending the quarter with 527 enterprise customers, defined as those customers with more than one hundred thousand dollars in annual recurring revenue. Significant customer wins included:</w:t>
      </w:r>
    </w:p>
    <w:p>
      <w:pPr>
        <w:pStyle w:val="TextBody"/>
        <w:bidi w:val="0"/>
        <w:spacing w:before="120" w:after="240"/>
        <w:jc w:val="both"/>
        <w:rPr/>
      </w:pPr>
      <w:r>
        <w:rPr/>
        <w:t>•</w:t>
      </w:r>
    </w:p>
    <w:p>
      <w:pPr>
        <w:pStyle w:val="TextBody"/>
        <w:bidi w:val="0"/>
        <w:spacing w:before="120" w:after="240"/>
        <w:jc w:val="both"/>
        <w:rPr>
          <w:rFonts w:ascii="Arial;sans-serif" w:hAnsi="Arial;sans-serif"/>
          <w:b w:val="false"/>
          <w:sz w:val="22"/>
        </w:rPr>
      </w:pPr>
      <w:r>
        <w:rPr>
          <w:rFonts w:ascii="Arial;sans-serif" w:hAnsi="Arial;sans-serif"/>
          <w:b w:val="false"/>
          <w:sz w:val="22"/>
        </w:rPr>
        <w:t>A global immunology company chose Definitive Healthcare for a multi-year enterprise contract to profile Key Opinion Leaders across multiple separate disease states using the Atlas AI tools that were introduced in Q1. This client will leverage claims-based specialty analysis, expert ranking, and KOL industry collaborations to rank KOL’s based on a proprietary mix of clinical and scientific activity and drive greater efficiency for its medical affairs team.</w:t>
      </w:r>
    </w:p>
    <w:p>
      <w:pPr>
        <w:pStyle w:val="TextBody"/>
        <w:bidi w:val="0"/>
        <w:spacing w:before="120" w:after="240"/>
        <w:jc w:val="both"/>
        <w:rPr/>
      </w:pPr>
      <w:r>
        <w:rPr/>
        <w:t>•</w:t>
      </w:r>
    </w:p>
    <w:p>
      <w:pPr>
        <w:pStyle w:val="TextBody"/>
        <w:bidi w:val="0"/>
        <w:spacing w:before="120" w:after="240"/>
        <w:jc w:val="both"/>
        <w:rPr>
          <w:rFonts w:ascii="Arial;sans-serif" w:hAnsi="Arial;sans-serif"/>
          <w:b w:val="false"/>
          <w:sz w:val="22"/>
        </w:rPr>
      </w:pPr>
      <w:r>
        <w:rPr>
          <w:rFonts w:ascii="Arial;sans-serif" w:hAnsi="Arial;sans-serif"/>
          <w:b w:val="false"/>
          <w:sz w:val="22"/>
        </w:rPr>
        <w:t>A Spanish multinational pharmaceutical and chemical manufacturer signed a 3-year contract to gain better visibility into their market share and spot trends and opportunities in real time. Definitive Healthcare will allow this company to easily identify the providers treating relevant patients and to track those providers back to the clinics, group practices, and IDN’s with whom they are affiliated. In addition, by leveraging the new integration capabilities that were introduced in the first quarter of this year, this company will put this powerful data in the hands of their front-line employees to drive their daily efforts.</w:t>
      </w:r>
    </w:p>
    <w:p>
      <w:pPr>
        <w:pStyle w:val="TextBody"/>
        <w:bidi w:val="0"/>
        <w:spacing w:before="120" w:after="240"/>
        <w:jc w:val="both"/>
        <w:rPr/>
      </w:pPr>
      <w:r>
        <w:rPr/>
        <w:t>•</w:t>
      </w:r>
    </w:p>
    <w:p>
      <w:pPr>
        <w:pStyle w:val="TextBody"/>
        <w:bidi w:val="0"/>
        <w:spacing w:before="120" w:after="240"/>
        <w:jc w:val="both"/>
        <w:rPr/>
      </w:pPr>
      <w:r>
        <w:rPr>
          <w:rFonts w:ascii="Arial;sans-serif" w:hAnsi="Arial;sans-serif"/>
          <w:b w:val="false"/>
          <w:sz w:val="22"/>
        </w:rPr>
        <w:t>A global on</w:t>
      </w:r>
      <w:r>
        <w:rPr/>
        <w:noBreakHyphen/>
      </w:r>
      <w:r>
        <w:rPr>
          <w:rFonts w:ascii="Arial;sans-serif" w:hAnsi="Arial;sans-serif"/>
          <w:b w:val="false"/>
          <w:sz w:val="22"/>
        </w:rPr>
        <w:t>demand financial and human capital software provider signed an enterprise agreement to integrate physician data from the Atlas Dataset into their Salesforce.com instance. This company intends to use the Atlas Dataset as its single-source-of-truth as it increases its focus on the healthcare vertical. With the Atlas Dataset, this company can size and segment their total market opportunity and build an integrated sales and marketing strategy, all while reducing the time and effort associated with de-duping, updating, and maintaining key account and contact data.</w:t>
      </w:r>
    </w:p>
    <w:p>
      <w:pPr>
        <w:pStyle w:val="TextBody"/>
        <w:bidi w:val="0"/>
        <w:spacing w:before="120" w:after="240"/>
        <w:jc w:val="both"/>
        <w:rPr/>
      </w:pPr>
      <w:r>
        <w:rPr/>
        <w:t>•</w:t>
      </w:r>
    </w:p>
    <w:p>
      <w:pPr>
        <w:pStyle w:val="TextBody"/>
        <w:bidi w:val="0"/>
        <w:spacing w:before="120" w:after="240"/>
        <w:jc w:val="both"/>
        <w:rPr>
          <w:rFonts w:ascii="Arial;sans-serif" w:hAnsi="Arial;sans-serif"/>
          <w:b w:val="false"/>
          <w:sz w:val="22"/>
        </w:rPr>
      </w:pPr>
      <w:r>
        <w:rPr>
          <w:rFonts w:ascii="Arial;sans-serif" w:hAnsi="Arial;sans-serif"/>
          <w:b w:val="false"/>
          <w:sz w:val="22"/>
        </w:rPr>
        <w:t>A large biotech focused on developing and commercializing biopharmaceuticals for rare diseases driven by genetic causes purchased the Passport Planning and Performance Suite. This company plans to use Passport to help monitor and report upon a Risk Evaluation and Mitigation Strategy study for a drug currently in development and to develop a comprehensive patient journey and Real-World Evidence plan.</w:t>
      </w:r>
    </w:p>
    <w:p>
      <w:pPr>
        <w:pStyle w:val="TextBody"/>
        <w:bidi w:val="0"/>
        <w:spacing w:before="120" w:after="240"/>
        <w:jc w:val="both"/>
        <w:rPr/>
      </w:pPr>
      <w:r>
        <w:rPr/>
        <w:t>•</w:t>
      </w:r>
    </w:p>
    <w:p>
      <w:pPr>
        <w:pStyle w:val="TextBody"/>
        <w:bidi w:val="0"/>
        <w:spacing w:before="120" w:after="240"/>
        <w:jc w:val="both"/>
        <w:rPr>
          <w:rFonts w:ascii="Arial;sans-serif" w:hAnsi="Arial;sans-serif"/>
          <w:b w:val="false"/>
          <w:sz w:val="22"/>
        </w:rPr>
      </w:pPr>
      <w:r>
        <w:rPr>
          <w:rFonts w:ascii="Arial;sans-serif" w:hAnsi="Arial;sans-serif"/>
          <w:b w:val="false"/>
          <w:sz w:val="22"/>
        </w:rPr>
        <w:t>A nonprofit organization that provides reproductive healthcare and education in the United States signed a multi-year enterprise deal. This organization plans to use the Atlas Reference and Affiliation Dataset in combination with the Atlas All-Payor Claims and Latitude Reporting Suite to better understand where it can and should expand its services, based on the distance that patients travel for care and the services provided by existing OB/GYNs in that region. In addition, the organization will utilize Definitive Healthcare solutions to identify care deserts, or areas where there is limited or no access to prenatal and maternal care.</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Arial;sans-serif" w:hAnsi="Arial;sans-serif"/>
          <w:b/>
          <w:sz w:val="22"/>
        </w:rPr>
        <w:t>Innovation</w:t>
      </w:r>
      <w:r>
        <w:rPr>
          <w:rFonts w:ascii="Times New Roman" w:hAnsi="Times New Roman"/>
          <w:sz w:val="20"/>
        </w:rPr>
        <w:t xml:space="preserve"> </w:t>
      </w:r>
    </w:p>
    <w:p>
      <w:pPr>
        <w:pStyle w:val="TextBody"/>
        <w:bidi w:val="0"/>
        <w:spacing w:before="120" w:after="0"/>
        <w:jc w:val="left"/>
        <w:rPr>
          <w:rFonts w:ascii="Arial;sans-serif" w:hAnsi="Arial;sans-serif"/>
          <w:b w:val="false"/>
          <w:sz w:val="22"/>
        </w:rPr>
      </w:pPr>
      <w:r>
        <w:rPr>
          <w:rFonts w:ascii="Arial;sans-serif" w:hAnsi="Arial;sans-serif"/>
          <w:b w:val="false"/>
          <w:sz w:val="22"/>
        </w:rPr>
        <w:t>Today, the Company made two significant announcements that further expand its competitive differentiation.</w:t>
      </w:r>
    </w:p>
    <w:p>
      <w:pPr>
        <w:pStyle w:val="TextBody"/>
        <w:bidi w:val="0"/>
        <w:spacing w:before="120" w:after="0"/>
        <w:jc w:val="left"/>
        <w:rPr>
          <w:rFonts w:ascii="Arial;sans-serif" w:hAnsi="Arial;sans-serif"/>
          <w:b w:val="false"/>
          <w:sz w:val="22"/>
        </w:rPr>
      </w:pPr>
      <w:r>
        <w:rPr>
          <w:rFonts w:ascii="Arial;sans-serif" w:hAnsi="Arial;sans-serif"/>
          <w:b w:val="false"/>
          <w:sz w:val="22"/>
        </w:rPr>
        <w:t>First, Definitive Healthcare announced its acquisition of Populi, a provider-focused data and analytics company that works with healthcare organizations to optimize physician relationships, reduce network leakage, and expand market share. This acquisition furthers Definitive Healthcare’s commitment to leadership in the healthcare commercial intelligence market across the entire healthcare ecosystem, including life sciences, providers, and diversified industries.</w:t>
      </w:r>
    </w:p>
    <w:p>
      <w:pPr>
        <w:pStyle w:val="TextBody"/>
        <w:bidi w:val="0"/>
        <w:spacing w:before="120" w:after="0"/>
        <w:jc w:val="left"/>
        <w:rPr>
          <w:rFonts w:ascii="Times New Roman" w:hAnsi="Times New Roman"/>
          <w:sz w:val="20"/>
        </w:rPr>
      </w:pPr>
      <w:r>
        <w:rPr>
          <w:rFonts w:ascii="Arial;sans-serif" w:hAnsi="Arial;sans-serif"/>
          <w:b w:val="false"/>
          <w:sz w:val="22"/>
        </w:rPr>
        <w:t>The Populi acquisition will deepen Definitive Healthcare’s value to its provider clients, helping them drive growth and expansion with the addition of powerful analytics and visualizations that are utilized across multiple departments and functions. To learn more about Populi, visit https://www.definitivehc.com/populi.</w:t>
      </w:r>
      <w:r>
        <w:rPr>
          <w:rFonts w:ascii="Times New Roman" w:hAnsi="Times New Roman"/>
          <w:sz w:val="20"/>
        </w:rPr>
        <w:t xml:space="preserve"> </w:t>
      </w:r>
    </w:p>
    <w:p>
      <w:pPr>
        <w:pStyle w:val="TextBody"/>
        <w:bidi w:val="0"/>
        <w:spacing w:before="120" w:after="0"/>
        <w:jc w:val="left"/>
        <w:rPr>
          <w:rFonts w:ascii="Arial;sans-serif" w:hAnsi="Arial;sans-serif"/>
          <w:b w:val="false"/>
          <w:sz w:val="22"/>
        </w:rPr>
      </w:pPr>
      <w:r>
        <w:rPr>
          <w:rFonts w:ascii="Arial;sans-serif" w:hAnsi="Arial;sans-serif"/>
          <w:b w:val="false"/>
          <w:sz w:val="22"/>
        </w:rPr>
        <w:t>Second, Definitive Healthcare announced a significant expansion to the technology installation data within the Atlas Dataset. In the coming months, we expect that the Atlas Technology Install Dataset will receive updates to more than 1.5 million technology installations for hospitals, health systems, ambulatory surgery centers, and physician groups. With this new data, overall coverage of technology installs by vendors is expected to increase by nearly 10% and technology installs by products by over 20%. Clients will benefit from accurate intelligence on hospital, physician, and ambulatory surgery center usage of technology across 15 primary categories such as clinical systems, electronic health records (EHR), health information management (HIM), human resources, and more.</w:t>
      </w:r>
    </w:p>
    <w:p>
      <w:pPr>
        <w:pStyle w:val="TextBody"/>
        <w:bidi w:val="0"/>
        <w:spacing w:before="120" w:after="0"/>
        <w:jc w:val="left"/>
        <w:rPr>
          <w:rFonts w:ascii="Arial;sans-serif" w:hAnsi="Arial;sans-serif"/>
          <w:b w:val="false"/>
          <w:sz w:val="22"/>
        </w:rPr>
      </w:pPr>
      <w:r>
        <w:rPr>
          <w:rFonts w:ascii="Arial;sans-serif" w:hAnsi="Arial;sans-serif"/>
          <w:b w:val="false"/>
          <w:sz w:val="22"/>
        </w:rPr>
        <w:t>In addition to better data on confirmed technology installations, Definitive Healthcare has also added a “signal score strength,” which provides intelligence on installations that are not confirmed but that Definitive Healthcare’s proprietary data-science algorithms have inferred as installations.</w:t>
      </w:r>
    </w:p>
    <w:p>
      <w:pPr>
        <w:pStyle w:val="TextBody"/>
        <w:bidi w:val="0"/>
        <w:spacing w:before="0" w:after="0"/>
        <w:jc w:val="left"/>
        <w:rPr/>
      </w:pPr>
      <w:r>
        <w:rPr/>
        <w:t> </w:t>
      </w:r>
    </w:p>
    <w:p>
      <w:pPr>
        <w:pStyle w:val="TextBody"/>
        <w:bidi w:val="0"/>
        <w:spacing w:before="0" w:after="0"/>
        <w:jc w:val="left"/>
        <w:rPr>
          <w:rFonts w:ascii="Arial;sans-serif" w:hAnsi="Arial;sans-serif"/>
          <w:b/>
          <w:sz w:val="22"/>
        </w:rPr>
      </w:pPr>
      <w:r>
        <w:rPr>
          <w:rFonts w:ascii="Arial;sans-serif" w:hAnsi="Arial;sans-serif"/>
          <w:b/>
          <w:sz w:val="22"/>
        </w:rPr>
        <w:t>Restructuring</w:t>
      </w:r>
    </w:p>
    <w:p>
      <w:pPr>
        <w:pStyle w:val="TextBody"/>
        <w:bidi w:val="0"/>
        <w:spacing w:before="120" w:after="0"/>
        <w:jc w:val="left"/>
        <w:rPr>
          <w:rFonts w:ascii="Arial;sans-serif" w:hAnsi="Arial;sans-serif"/>
          <w:b w:val="false"/>
          <w:sz w:val="22"/>
        </w:rPr>
      </w:pPr>
      <w:r>
        <w:rPr>
          <w:rFonts w:ascii="Arial;sans-serif" w:hAnsi="Arial;sans-serif"/>
          <w:b w:val="false"/>
          <w:sz w:val="22"/>
        </w:rPr>
        <w:t>On July 27, 2023, the Company committed to a restructuring plan (the “Plan”) intended to reduce operating costs, improve operating margins, and continue advancing its ongoing commitment to profitable growth. The Plan, which the Company expects to be substantially complete by the end of the third quarter of 2023, provides for a reduction of its current workforce by 42 people, or approximately 4 percent of its total workforce.</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Arial;sans-serif" w:hAnsi="Arial;sans-serif"/>
          <w:b/>
          <w:sz w:val="22"/>
        </w:rPr>
      </w:pPr>
      <w:r>
        <w:rPr>
          <w:rFonts w:ascii="Arial;sans-serif" w:hAnsi="Arial;sans-serif"/>
          <w:b/>
          <w:sz w:val="22"/>
        </w:rPr>
        <w:t>Business Outlook</w:t>
      </w:r>
    </w:p>
    <w:p>
      <w:pPr>
        <w:pStyle w:val="TextBody"/>
        <w:bidi w:val="0"/>
        <w:spacing w:before="120" w:after="0"/>
        <w:jc w:val="left"/>
        <w:rPr>
          <w:rFonts w:ascii="Arial;sans-serif" w:hAnsi="Arial;sans-serif"/>
          <w:b w:val="false"/>
          <w:sz w:val="22"/>
        </w:rPr>
      </w:pPr>
      <w:r>
        <w:rPr>
          <w:rFonts w:ascii="Arial;sans-serif" w:hAnsi="Arial;sans-serif"/>
          <w:b w:val="false"/>
          <w:sz w:val="22"/>
        </w:rPr>
        <w:t>Based on information as of August 14, 2023, the Company is issuing the following financial guidance. This guidance includes the dilutive effect of the acquisition of Populi and assumes no change in external conditions.</w:t>
      </w:r>
    </w:p>
    <w:p>
      <w:pPr>
        <w:pStyle w:val="TextBody"/>
        <w:bidi w:val="0"/>
        <w:spacing w:before="120" w:after="0"/>
        <w:jc w:val="both"/>
        <w:rPr>
          <w:rFonts w:ascii="Arial;sans-serif" w:hAnsi="Arial;sans-serif"/>
          <w:b/>
          <w:sz w:val="22"/>
        </w:rPr>
      </w:pPr>
      <w:r>
        <w:rPr>
          <w:rFonts w:ascii="Arial;sans-serif" w:hAnsi="Arial;sans-serif"/>
          <w:b/>
          <w:sz w:val="22"/>
        </w:rPr>
        <w:t>Third Quarter 2023:</w:t>
      </w:r>
    </w:p>
    <w:p>
      <w:pPr>
        <w:pStyle w:val="TextBody"/>
        <w:bidi w:val="0"/>
        <w:spacing w:before="120" w:after="0"/>
        <w:jc w:val="both"/>
        <w:rPr/>
      </w:pPr>
      <w:r>
        <w:rPr/>
        <w:t>•</w:t>
      </w:r>
    </w:p>
    <w:p>
      <w:pPr>
        <w:pStyle w:val="TextBody"/>
        <w:bidi w:val="0"/>
        <w:spacing w:before="120" w:after="0"/>
        <w:jc w:val="both"/>
        <w:rPr/>
      </w:pPr>
      <w:r>
        <w:rPr>
          <w:rFonts w:ascii="Arial;sans-serif" w:hAnsi="Arial;sans-serif"/>
          <w:b/>
          <w:sz w:val="22"/>
        </w:rPr>
        <w:t>Revenue</w:t>
      </w:r>
      <w:r>
        <w:rPr/>
        <w:t xml:space="preserve"> </w:t>
      </w:r>
      <w:r>
        <w:rPr>
          <w:rFonts w:ascii="Arial;sans-serif" w:hAnsi="Arial;sans-serif"/>
          <w:b w:val="false"/>
          <w:sz w:val="22"/>
        </w:rPr>
        <w:t>is expected to be in the range of $63.0 – $64.5 million, a 10-12% increase year over year.</w:t>
      </w:r>
    </w:p>
    <w:p>
      <w:pPr>
        <w:pStyle w:val="TextBody"/>
        <w:bidi w:val="0"/>
        <w:spacing w:before="0" w:after="0"/>
        <w:jc w:val="both"/>
        <w:rPr/>
      </w:pPr>
      <w:r>
        <w:rPr/>
        <w:t>•</w:t>
      </w:r>
    </w:p>
    <w:p>
      <w:pPr>
        <w:pStyle w:val="TextBody"/>
        <w:bidi w:val="0"/>
        <w:spacing w:before="0" w:after="0"/>
        <w:jc w:val="both"/>
        <w:rPr/>
      </w:pPr>
      <w:r>
        <w:rPr>
          <w:rFonts w:ascii="Arial;sans-serif" w:hAnsi="Arial;sans-serif"/>
          <w:b/>
          <w:sz w:val="22"/>
        </w:rPr>
        <w:t>Adjusted Operating Income</w:t>
      </w:r>
      <w:r>
        <w:rPr/>
        <w:t xml:space="preserve"> </w:t>
      </w:r>
      <w:r>
        <w:rPr>
          <w:rFonts w:ascii="Arial;sans-serif" w:hAnsi="Arial;sans-serif"/>
          <w:b w:val="false"/>
          <w:sz w:val="22"/>
        </w:rPr>
        <w:t>is expected to be in the range of $16.0 – $17.0 million.</w:t>
      </w:r>
    </w:p>
    <w:p>
      <w:pPr>
        <w:pStyle w:val="TextBody"/>
        <w:bidi w:val="0"/>
        <w:spacing w:before="0" w:after="0"/>
        <w:jc w:val="both"/>
        <w:rPr/>
      </w:pPr>
      <w:r>
        <w:rPr/>
        <w:t>•</w:t>
      </w:r>
    </w:p>
    <w:p>
      <w:pPr>
        <w:pStyle w:val="TextBody"/>
        <w:bidi w:val="0"/>
        <w:spacing w:before="0" w:after="0"/>
        <w:jc w:val="both"/>
        <w:rPr/>
      </w:pPr>
      <w:r>
        <w:rPr>
          <w:rFonts w:ascii="Arial;sans-serif" w:hAnsi="Arial;sans-serif"/>
          <w:b/>
          <w:sz w:val="22"/>
        </w:rPr>
        <w:t>Adjusted EBITDA</w:t>
      </w:r>
      <w:r>
        <w:rPr/>
        <w:t xml:space="preserve"> </w:t>
      </w:r>
      <w:r>
        <w:rPr>
          <w:rFonts w:ascii="Arial;sans-serif" w:hAnsi="Arial;sans-serif"/>
          <w:b w:val="false"/>
          <w:sz w:val="22"/>
        </w:rPr>
        <w:t>is expected to be in the range of $17.5 – $18.5 million.</w:t>
      </w:r>
    </w:p>
    <w:p>
      <w:pPr>
        <w:pStyle w:val="TextBody"/>
        <w:bidi w:val="0"/>
        <w:spacing w:before="0" w:after="0"/>
        <w:jc w:val="left"/>
        <w:rPr/>
      </w:pPr>
      <w:r>
        <w:rPr/>
        <w:t>•</w:t>
      </w:r>
    </w:p>
    <w:p>
      <w:pPr>
        <w:pStyle w:val="TextBody"/>
        <w:bidi w:val="0"/>
        <w:spacing w:before="0" w:after="0"/>
        <w:jc w:val="left"/>
        <w:rPr/>
      </w:pPr>
      <w:r>
        <w:rPr>
          <w:rFonts w:ascii="Arial;sans-serif" w:hAnsi="Arial;sans-serif"/>
          <w:b/>
          <w:sz w:val="22"/>
        </w:rPr>
        <w:t>Adjusted Net Income</w:t>
      </w:r>
      <w:r>
        <w:rPr/>
        <w:t xml:space="preserve"> </w:t>
      </w:r>
      <w:r>
        <w:rPr>
          <w:rFonts w:ascii="Arial;sans-serif" w:hAnsi="Arial;sans-serif"/>
          <w:b w:val="false"/>
          <w:sz w:val="22"/>
        </w:rPr>
        <w:t>is expected to be $9.5 – $10.5 million.</w:t>
      </w:r>
    </w:p>
    <w:p>
      <w:pPr>
        <w:pStyle w:val="TextBody"/>
        <w:bidi w:val="0"/>
        <w:spacing w:before="0" w:after="0"/>
        <w:jc w:val="left"/>
        <w:rPr/>
      </w:pPr>
      <w:r>
        <w:rPr/>
        <w:t>•</w:t>
      </w:r>
    </w:p>
    <w:p>
      <w:pPr>
        <w:pStyle w:val="TextBody"/>
        <w:bidi w:val="0"/>
        <w:jc w:val="left"/>
        <w:rPr/>
      </w:pPr>
      <w:r>
        <w:rPr>
          <w:rFonts w:ascii="Arial;sans-serif" w:hAnsi="Arial;sans-serif"/>
          <w:b/>
          <w:sz w:val="22"/>
        </w:rPr>
        <w:t xml:space="preserve">Adjusted Net Income Per Diluted Share </w:t>
      </w:r>
      <w:r>
        <w:rPr>
          <w:rFonts w:ascii="Arial;sans-serif" w:hAnsi="Arial;sans-serif"/>
          <w:b w:val="false"/>
          <w:sz w:val="22"/>
        </w:rPr>
        <w:t>is expected to be $0.05 – $0.07 per share on approximately 156.9 million weighted-average shares outstanding.</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Arial;sans-serif" w:hAnsi="Arial;sans-serif"/>
          <w:b/>
          <w:sz w:val="22"/>
        </w:rPr>
        <w:t>Full Year 2023:</w:t>
      </w:r>
      <w:r>
        <w:rPr>
          <w:rFonts w:ascii="Times New Roman" w:hAnsi="Times New Roman"/>
          <w:sz w:val="20"/>
        </w:rPr>
        <w:t xml:space="preserve"> </w:t>
      </w:r>
      <w:r>
        <w:rPr>
          <w:rFonts w:ascii="Arial;sans-serif" w:hAnsi="Arial;sans-serif"/>
          <w:b w:val="false"/>
          <w:sz w:val="22"/>
        </w:rPr>
        <w:t>Based on current macroeconomic conditions and business trends, we expect revenue will be in the lower half of our existing revenue range. We expect profitability will be in the upper half of our existing profitability guidance ranges. That full-year guidance is as follows.</w:t>
      </w:r>
    </w:p>
    <w:p>
      <w:pPr>
        <w:pStyle w:val="TextBody"/>
        <w:bidi w:val="0"/>
        <w:spacing w:before="120" w:after="0"/>
        <w:jc w:val="both"/>
        <w:rPr/>
      </w:pPr>
      <w:r>
        <w:rPr/>
        <w:t>•</w:t>
      </w:r>
    </w:p>
    <w:p>
      <w:pPr>
        <w:pStyle w:val="TextBody"/>
        <w:bidi w:val="0"/>
        <w:spacing w:before="120" w:after="0"/>
        <w:jc w:val="both"/>
        <w:rPr/>
      </w:pPr>
      <w:r>
        <w:rPr>
          <w:rFonts w:ascii="Arial;sans-serif" w:hAnsi="Arial;sans-serif"/>
          <w:b/>
          <w:sz w:val="22"/>
        </w:rPr>
        <w:t>Revenue</w:t>
      </w:r>
      <w:r>
        <w:rPr/>
        <w:t xml:space="preserve"> </w:t>
      </w:r>
      <w:r>
        <w:rPr>
          <w:rFonts w:ascii="Arial;sans-serif" w:hAnsi="Arial;sans-serif"/>
          <w:b w:val="false"/>
          <w:sz w:val="22"/>
        </w:rPr>
        <w:t>is expected to be in the range of $249.0 – $255.0 million, up 12% – 15% from prior year.</w:t>
      </w:r>
    </w:p>
    <w:p>
      <w:pPr>
        <w:pStyle w:val="TextBody"/>
        <w:bidi w:val="0"/>
        <w:spacing w:before="0" w:after="0"/>
        <w:jc w:val="both"/>
        <w:rPr/>
      </w:pPr>
      <w:r>
        <w:rPr/>
        <w:t>•</w:t>
      </w:r>
    </w:p>
    <w:p>
      <w:pPr>
        <w:pStyle w:val="TextBody"/>
        <w:bidi w:val="0"/>
        <w:spacing w:before="0" w:after="0"/>
        <w:jc w:val="both"/>
        <w:rPr/>
      </w:pPr>
      <w:r>
        <w:rPr>
          <w:rFonts w:ascii="Arial;sans-serif" w:hAnsi="Arial;sans-serif"/>
          <w:b/>
          <w:sz w:val="22"/>
        </w:rPr>
        <w:t>Adjusted Operating Income</w:t>
      </w:r>
      <w:r>
        <w:rPr/>
        <w:t xml:space="preserve"> </w:t>
      </w:r>
      <w:r>
        <w:rPr>
          <w:rFonts w:ascii="Arial;sans-serif" w:hAnsi="Arial;sans-serif"/>
          <w:b w:val="false"/>
          <w:sz w:val="22"/>
        </w:rPr>
        <w:t>is expected to be in the range of $61.5 – $65.5 million.</w:t>
      </w:r>
    </w:p>
    <w:p>
      <w:pPr>
        <w:pStyle w:val="TextBody"/>
        <w:bidi w:val="0"/>
        <w:spacing w:before="0" w:after="0"/>
        <w:jc w:val="both"/>
        <w:rPr/>
      </w:pPr>
      <w:r>
        <w:rPr/>
        <w:t>•</w:t>
      </w:r>
    </w:p>
    <w:p>
      <w:pPr>
        <w:pStyle w:val="TextBody"/>
        <w:bidi w:val="0"/>
        <w:spacing w:before="0" w:after="0"/>
        <w:jc w:val="both"/>
        <w:rPr/>
      </w:pPr>
      <w:r>
        <w:rPr>
          <w:rFonts w:ascii="Arial;sans-serif" w:hAnsi="Arial;sans-serif"/>
          <w:b/>
          <w:sz w:val="22"/>
        </w:rPr>
        <w:t>Adjusted EBITDA</w:t>
      </w:r>
      <w:r>
        <w:rPr/>
        <w:t xml:space="preserve"> </w:t>
      </w:r>
      <w:r>
        <w:rPr>
          <w:rFonts w:ascii="Arial;sans-serif" w:hAnsi="Arial;sans-serif"/>
          <w:b w:val="false"/>
          <w:sz w:val="22"/>
        </w:rPr>
        <w:t>is expected to be in the range of $67.0 – $71.0 million.</w:t>
      </w:r>
    </w:p>
    <w:p>
      <w:pPr>
        <w:pStyle w:val="TextBody"/>
        <w:bidi w:val="0"/>
        <w:spacing w:before="0" w:after="0"/>
        <w:jc w:val="left"/>
        <w:rPr/>
      </w:pPr>
      <w:r>
        <w:rPr/>
        <w:t>•</w:t>
      </w:r>
    </w:p>
    <w:p>
      <w:pPr>
        <w:pStyle w:val="TextBody"/>
        <w:bidi w:val="0"/>
        <w:spacing w:before="0" w:after="0"/>
        <w:jc w:val="left"/>
        <w:rPr/>
      </w:pPr>
      <w:r>
        <w:rPr>
          <w:rFonts w:ascii="Arial;sans-serif" w:hAnsi="Arial;sans-serif"/>
          <w:b/>
          <w:sz w:val="22"/>
        </w:rPr>
        <w:t>Adjusted Net Income</w:t>
      </w:r>
      <w:r>
        <w:rPr/>
        <w:t xml:space="preserve"> </w:t>
      </w:r>
      <w:r>
        <w:rPr>
          <w:rFonts w:ascii="Arial;sans-serif" w:hAnsi="Arial;sans-serif"/>
          <w:b w:val="false"/>
          <w:sz w:val="22"/>
        </w:rPr>
        <w:t>is expected to be $30.0 – $34.0 million.</w:t>
      </w:r>
    </w:p>
    <w:p>
      <w:pPr>
        <w:pStyle w:val="TextBody"/>
        <w:bidi w:val="0"/>
        <w:spacing w:before="0" w:after="0"/>
        <w:jc w:val="left"/>
        <w:rPr/>
      </w:pPr>
      <w:r>
        <w:rPr/>
        <w:t>•</w:t>
      </w:r>
    </w:p>
    <w:p>
      <w:pPr>
        <w:pStyle w:val="TextBody"/>
        <w:bidi w:val="0"/>
        <w:jc w:val="left"/>
        <w:rPr/>
      </w:pPr>
      <w:r>
        <w:rPr>
          <w:rFonts w:ascii="Arial;sans-serif" w:hAnsi="Arial;sans-serif"/>
          <w:b/>
          <w:sz w:val="22"/>
        </w:rPr>
        <w:t xml:space="preserve">Adjusted Net Income Per Diluted Share </w:t>
      </w:r>
      <w:r>
        <w:rPr>
          <w:rFonts w:ascii="Arial;sans-serif" w:hAnsi="Arial;sans-serif"/>
          <w:b w:val="false"/>
          <w:sz w:val="22"/>
        </w:rPr>
        <w:t>is expected to be $0.19 – $0.23 per share on approximately 155.4 million weighted-average shares outstanding.</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Arial;sans-serif" w:hAnsi="Arial;sans-serif"/>
          <w:b/>
          <w:sz w:val="22"/>
        </w:rPr>
      </w:pPr>
      <w:r>
        <w:rPr>
          <w:rFonts w:ascii="Arial;sans-serif" w:hAnsi="Arial;sans-serif"/>
          <w:b/>
          <w:sz w:val="22"/>
        </w:rPr>
        <w:t>Conference Call Information</w:t>
      </w:r>
    </w:p>
    <w:p>
      <w:pPr>
        <w:pStyle w:val="TextBody"/>
        <w:bidi w:val="0"/>
        <w:spacing w:before="120" w:after="0"/>
        <w:jc w:val="left"/>
        <w:rPr>
          <w:rFonts w:ascii="Arial;sans-serif" w:hAnsi="Arial;sans-serif"/>
          <w:b w:val="false"/>
          <w:sz w:val="22"/>
        </w:rPr>
      </w:pPr>
      <w:r>
        <w:rPr>
          <w:rFonts w:ascii="Arial;sans-serif" w:hAnsi="Arial;sans-serif"/>
          <w:b w:val="false"/>
          <w:sz w:val="22"/>
        </w:rPr>
        <w:t>Definitive Healthcare will host a conference call on August 14, 2023, at 5:00 p.m. (Eastern Time) to discuss the Company's full financial results and current business outlook. Participants may access the call at 1-877-358-7298 or 1-848-488-9244. Shortly after the conclusion of the call, a replay of this conference call will be available through September 13, 2023 at 1-800-645-7964 or 1-757-849-6722. The replay passcode is 1765#. A live audio webcast of the event will be available on the Definitive Healthcare’s Investor Relations website at https://ir.definitivehc.com/.</w:t>
      </w:r>
    </w:p>
    <w:p>
      <w:pPr>
        <w:pStyle w:val="TextBody"/>
        <w:bidi w:val="0"/>
        <w:spacing w:before="360" w:after="0"/>
        <w:jc w:val="left"/>
        <w:rPr>
          <w:rFonts w:ascii="Arial;sans-serif" w:hAnsi="Arial;sans-serif"/>
          <w:b/>
          <w:sz w:val="22"/>
        </w:rPr>
      </w:pPr>
      <w:r>
        <w:rPr>
          <w:rFonts w:ascii="Arial;sans-serif" w:hAnsi="Arial;sans-serif"/>
          <w:b/>
          <w:sz w:val="22"/>
        </w:rPr>
        <w:t>About Definitive Healthcare</w:t>
      </w:r>
    </w:p>
    <w:p>
      <w:pPr>
        <w:pStyle w:val="TextBody"/>
        <w:bidi w:val="0"/>
        <w:spacing w:before="120" w:after="0"/>
        <w:jc w:val="left"/>
        <w:rPr>
          <w:rFonts w:ascii="Arial;sans-serif" w:hAnsi="Arial;sans-serif"/>
          <w:b w:val="false"/>
          <w:sz w:val="22"/>
        </w:rPr>
      </w:pPr>
      <w:r>
        <w:rPr>
          <w:rFonts w:ascii="Arial;sans-serif" w:hAnsi="Arial;sans-serif"/>
          <w:b w:val="false"/>
          <w:sz w:val="22"/>
        </w:rPr>
        <w:t>At Definitive Healthcare, our passion is to transform data, analytics and expertise into healthcare commercial intelligence. We help clients uncover the right markets, opportunities and people, so they can shape tomorrow’s healthcare industry. Our SaaS platform creates new paths to commercial success in the healthcare market, so companies can identify where to go next. Learn more at definitivehc.com.</w:t>
      </w:r>
    </w:p>
    <w:p>
      <w:pPr>
        <w:pStyle w:val="TextBody"/>
        <w:bidi w:val="0"/>
        <w:spacing w:before="240" w:after="0"/>
        <w:jc w:val="both"/>
        <w:rPr>
          <w:rFonts w:ascii="Arial;sans-serif" w:hAnsi="Arial;sans-serif"/>
          <w:b/>
          <w:sz w:val="22"/>
        </w:rPr>
      </w:pPr>
      <w:r>
        <w:rPr>
          <w:rFonts w:ascii="Arial;sans-serif" w:hAnsi="Arial;sans-serif"/>
          <w:b/>
          <w:sz w:val="22"/>
        </w:rPr>
        <w:t>Forward-Looking Statements</w:t>
      </w:r>
    </w:p>
    <w:p>
      <w:pPr>
        <w:pStyle w:val="TextBody"/>
        <w:bidi w:val="0"/>
        <w:spacing w:before="120" w:after="0"/>
        <w:jc w:val="left"/>
        <w:rPr>
          <w:rFonts w:ascii="Times New Roman" w:hAnsi="Times New Roman"/>
          <w:sz w:val="20"/>
        </w:rPr>
      </w:pPr>
      <w:r>
        <w:rPr>
          <w:rFonts w:ascii="Arial;sans-serif" w:hAnsi="Arial;sans-serif"/>
          <w:b w:val="false"/>
          <w:i/>
          <w:sz w:val="22"/>
        </w:rPr>
        <w:t>This press release includes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“should,” “may,” “anticipates,” “intends,” “plans,” “seeks,” “believes,” “estimates,” “expects”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our expectation that we will make adjustments to the sales tax liability in future periods as and if we obtain additional sales tax exemption certificates from customers and any benefits from our voluntary disclosures, the expected benefits from the acquisition of Populi, the assumptions underlying our internal restructuring activities and the expected benefits to be achieved therefrom, the market, industry and macroeconomic environment, our business, growth strategies, product development efforts and future expenses, customer growth and statements reflecting our expectations about our ability to execute on our strategic plans, achieve future growth and profitability and achieve our financial goals.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Arial;sans-serif" w:hAnsi="Arial;sans-serif"/>
          <w:b w:val="false"/>
          <w:i/>
          <w:sz w:val="22"/>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changes in the effects of the restatement on our financial statements or financial results; our ability to obtain additional sales tax exemption certificates from customers; our ability to obtain any waivers of interest and penalties or other benefits from our voluntary disclosures; our inability to realize expected business or financial benefits from acquisitions and the risk that our acquisitions or investments could prove difficult to integrate, disrupt our business, dilute stockholder value and adversely affect our business, financial condition and results of operations; our inability to achieve the anticipated cost savings, operating efficiencies or other benefits of our internal restructuring activities, the war between Russia and Ukraine, global geopolitical tension and worsening macroeconomic conditions; actual or potential changes in international, national, regional and local economic, business and financial conditions, including recessions, inflation, rising interest rates, volatility in the capital markets and related market uncertainty; the impact of worsening macroeconomic conditions on our new and existing customers; our inability to acquire new customers and generate additional revenue from existing customers; our inability to generate sales of subscriptions to our platform or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risk that our recent growth rates may not be indicative of our future growth; the inability to achieve or sustain profitability in the future compared to historical levels as we increase investments in our business; the loss of our access to our data providers; the failure to respond to advances in healthcare commercial intelligence; an inability to attract new customers and expand subscriptions of current customers; the risk of cyber-attacks and security vulnerabilities; litigation, investigations or other legal, governmental or regulatory actions; the possibility that our security measures are breached or unauthorized access to data is otherwise obtained; the risk that additional material weaknesses or significant deficiencies that will occur in the future; and the risks of being required to collecting sales or other related taxes for subscriptions to our platform in jurisdictions where we have not historically done so.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i/>
          <w:sz w:val="22"/>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i/>
          <w:sz w:val="22"/>
        </w:rPr>
        <w:t>For additional discussion of factors that could impact our operational and financial results, refer to our Quarterly Report on Form 10-Q for the three months ended June 30, 2023 that will be filed following this earnings release, our 2022 Form 10-K/A and our Q1 2023 Form 10-Q/A, as well as our Current Reports on Form 8-K and other subsequent SEC filings, which are or will be available on the Investor Relations page of our website at ir.definitivehc.com and on the SEC website at www.sec.gov.</w:t>
      </w:r>
      <w:r>
        <w:rPr>
          <w:rFonts w:ascii="Times New Roman" w:hAnsi="Times New Roman"/>
          <w:sz w:val="20"/>
        </w:rPr>
        <w:t xml:space="preserve"> </w:t>
      </w:r>
    </w:p>
    <w:p>
      <w:pPr>
        <w:pStyle w:val="TextBody"/>
        <w:bidi w:val="0"/>
        <w:spacing w:before="120" w:after="0"/>
        <w:jc w:val="left"/>
        <w:rPr>
          <w:rFonts w:ascii="Arial;sans-serif" w:hAnsi="Arial;sans-serif"/>
          <w:b w:val="false"/>
          <w:i/>
          <w:sz w:val="22"/>
        </w:rPr>
      </w:pPr>
      <w:r>
        <w:rPr>
          <w:rFonts w:ascii="Arial;sans-serif" w:hAnsi="Arial;sans-serif"/>
          <w:b w:val="false"/>
          <w:i/>
          <w:sz w:val="22"/>
        </w:rPr>
        <w:t>All information in this press release speaks only as of the date on which it is made. We undertake no obligation to publicly update this information, whether as a result of new information, future developments or otherwise, except as may be required by law.</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Arial;sans-serif" w:hAnsi="Arial;sans-serif"/>
          <w:b/>
          <w:sz w:val="22"/>
        </w:rPr>
      </w:pPr>
      <w:r>
        <w:rPr>
          <w:rFonts w:ascii="Arial;sans-serif" w:hAnsi="Arial;sans-serif"/>
          <w:b/>
          <w:sz w:val="22"/>
        </w:rPr>
        <w:t>Website</w:t>
      </w:r>
    </w:p>
    <w:p>
      <w:pPr>
        <w:pStyle w:val="TextBody"/>
        <w:bidi w:val="0"/>
        <w:spacing w:before="120" w:after="0"/>
        <w:jc w:val="left"/>
        <w:rPr>
          <w:rFonts w:ascii="Times New Roman" w:hAnsi="Times New Roman"/>
          <w:sz w:val="20"/>
        </w:rPr>
      </w:pPr>
      <w:r>
        <w:rPr>
          <w:rFonts w:ascii="Arial;sans-serif" w:hAnsi="Arial;sans-serif"/>
          <w:b w:val="false"/>
          <w:i/>
          <w:sz w:val="22"/>
        </w:rPr>
        <w:t>Definitive Healthcare intends to use its website as a distribution channel of material company information. Financial and other important information regarding the Company is routinely posted on and accessible through the Company’s website at https://www.definitivehc.com/. Accordingly, you should monitor the investor relations portion of our website at https://ir.definitivehc.com/</w:t>
      </w:r>
      <w:r>
        <w:rPr>
          <w:rFonts w:ascii="Times New Roman" w:hAnsi="Times New Roman"/>
          <w:sz w:val="20"/>
        </w:rPr>
        <w:t xml:space="preserve"> </w:t>
      </w:r>
      <w:r>
        <w:rPr>
          <w:rFonts w:ascii="Arial;sans-serif" w:hAnsi="Arial;sans-serif"/>
          <w:b w:val="false"/>
          <w:i/>
          <w:sz w:val="22"/>
        </w:rPr>
        <w:t>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page at https://ir.definitivehc.com/.</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Times New Roman" w:hAnsi="Times New Roman"/>
          <w:sz w:val="20"/>
        </w:rPr>
      </w:pPr>
      <w:r>
        <w:rPr>
          <w:rFonts w:ascii="Arial;sans-serif" w:hAnsi="Arial;sans-serif"/>
          <w:b/>
          <w:sz w:val="22"/>
        </w:rPr>
        <w:t>Non-GAAP Financial Measures</w:t>
      </w:r>
      <w:r>
        <w:rPr>
          <w:rFonts w:ascii="Times New Roman" w:hAnsi="Times New Roman"/>
          <w:sz w:val="20"/>
        </w:rPr>
        <w:t xml:space="preserve"> </w:t>
      </w:r>
    </w:p>
    <w:p>
      <w:pPr>
        <w:pStyle w:val="TextBody"/>
        <w:bidi w:val="0"/>
        <w:spacing w:before="120" w:after="0"/>
        <w:jc w:val="left"/>
        <w:rPr>
          <w:rFonts w:ascii="Arial;sans-serif" w:hAnsi="Arial;sans-serif"/>
          <w:b w:val="false"/>
          <w:i/>
          <w:sz w:val="22"/>
        </w:rPr>
      </w:pPr>
      <w:r>
        <w:rPr>
          <w:rFonts w:ascii="Arial;sans-serif" w:hAnsi="Arial;sans-serif"/>
          <w:b w:val="false"/>
          <w:i/>
          <w:sz w:val="22"/>
        </w:rPr>
        <w:t>We have presented supplemental non-GAAP financial measures as part of this earnings release. We believe that these supplemental non-GAAP financial measures are useful to investors because they allow for an evaluation of the Company with a focus on the performance of its core operations, including providing meaningful comparisons of financial results to historical periods and to the financial results of peer and competitor companies. A reconciliation of GAAP to Non-GAAP results has been provided in the financial statement tables included at the end of this press release.</w:t>
      </w:r>
    </w:p>
    <w:p>
      <w:pPr>
        <w:pStyle w:val="TextBody"/>
        <w:bidi w:val="0"/>
        <w:spacing w:before="120" w:after="0"/>
        <w:jc w:val="left"/>
        <w:rPr>
          <w:rFonts w:ascii="Times New Roman" w:hAnsi="Times New Roman"/>
          <w:sz w:val="20"/>
        </w:rPr>
      </w:pPr>
      <w:r>
        <w:rPr>
          <w:rFonts w:ascii="Arial;sans-serif" w:hAnsi="Arial;sans-serif"/>
          <w:b w:val="false"/>
          <w:i/>
          <w:sz w:val="22"/>
        </w:rPr>
        <w:t>We refer to Unlevered Free Cash Flow, Adjusted EBITDA, Adjusted EBITDA Margin, Adjusted Gross Profit, Adjusted Gross Margin, Adjusted Operating Income, and Adjusted Net Income as non-GAAP financial measures. These non-GAAP financial measures are not prepared in accordance with generally accepted accounting principles in the U.S., (“GAAP”). These are supplemental financial measures of our performance and should not be considered substitutes for net (loss) income, gross profit, gross margin, or any other measure derived in accordance with GAAP.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i/>
          <w:sz w:val="22"/>
        </w:rPr>
        <w:t>We define Unlevered Free Cash Flow as net cash provided from operating activities less purchases of property, equipment and other assets, plus cash interest expense, and cash payments related to transaction, integration, and restructuring related expenses, earnouts, and other non-recurring items. Unlevered Free Cash Flow does not represent residual cash flow available for discretionary expenditures since, among other things, we have mandatory debt service requirements.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i/>
          <w:sz w:val="22"/>
        </w:rPr>
        <w:t>We define EBITDA as earnings before debt-related costs, including interest expense, net and loss on extinguishment of debt, income taxes and depreciation and amortization. Adjusted EBITDA is defined as EBITDA adjusted to exclude certain items of a significant or unusual nature, including other income and expense, equity-based compensation, transaction, integration, and restructuring expenses and other non-recurring expenses. Adjusted EBITDA Margin is defined as Adjusted EBITDA as a percentage of revenue. Adjusted EBITDA and Adjusted EBITDA Margin are key metrics used by management and our board of directors to assess the profitability of our operations. We believe that Adjusted EBITDA and Adjusted EBITDA Margin provide useful measures to investors to assess our operating performance because these metrics eliminate non-recurring and unusual items and non-cash expenses, which we do not consider indicative of ongoing operational performance. We believe that these metrics are helpful to investors in measuring the profitability of our operations on a consolidated level.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i/>
          <w:sz w:val="22"/>
        </w:rPr>
        <w:t>We define Adjusted Gross Profit as revenue less cost of revenue (excluding acquisition-related depreciation and amortization and equity compensation costs) and Adjusted Gross Margin means Adjusted Gross Profit as a percentage of revenue. Adjusted Gross Profit differs from gross profit, in that gross profit includes acquisition-related depreciation and amortization expense and equity compensation costs. Adjusted Gross Profit and Adjusted Gross Margin are key metrics used by management and our board of directors to assess our operations. We exclude acquisition-related depreciation and amortization expenses as they have no direct correlation to the cost of operating our business on an ongoing basis. A small quantity of equity-based compensation is included in cost of revenue in accordance with GAAP but is excluded from our Adjusted Gross Profit calculations due to its non-cash nature.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i/>
          <w:sz w:val="22"/>
        </w:rPr>
        <w:t>We define Adjusted Operating Income as income (loss) from operations plus acquisition related amortization, equity-based compensation, transaction, integration, and restructuring expenses and other non-recurring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i/>
          <w:sz w:val="22"/>
        </w:rPr>
        <w:t>We define Adjusted Net Income as Adjusted Operating Income less interest expense, net, other expense, net, excluding TRA liability remeasurement expense and recurring income tax expense including the incremental tax effects of adjustments to arrive at Adjusted Operating Income. We define Adjusted Net Income Per Diluted Share as Adjusted Net Income divided by diluted outstanding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i/>
          <w:sz w:val="22"/>
        </w:rPr>
        <w:t>Our use of these non-GAAP terms may vary from the use of similar terms by other companies in our industry and accordingly may not be comparable to similarly titled measures used by other companies and are not measures of performance calculated in accordance with GAAP. Our presentation of these non-GAAP financial measures are intended as supplemental measures of our performance that are not required by, or presented in accordance with, GAAP. These non-GAAP financial measures should not be considered as alternatives to</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Arial;sans-serif" w:hAnsi="Arial;sans-serif"/>
          <w:b w:val="false"/>
          <w:i/>
          <w:sz w:val="22"/>
        </w:rPr>
        <w:t>(loss) income from operations, net (loss) income, gross profit, gross margin, earnings per share or any other performance measures derived in accordance with GAAP, or as measures of operating cash flows or liquidity.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i/>
          <w:sz w:val="22"/>
        </w:rPr>
        <w:t>We do not provide a quantitative reconciliation of the forward-looking non-GAAP financial measures included in this press release to the most directly comparable GAAP measures due to the high variability and difficulty to predict certain items excluded from these non-GAAP financial measures; in particular, the effects of equity-based compensation expense, taxes and amounts under the tax receivable agreement, deferred tax assets and deferred tax liabilities, and transaction, integration, and restructuring expenses. We expect the variability of these excluded items may have a significant, and potentially unpredictable, impact on our future GAAP financial results.</w:t>
      </w:r>
      <w:r>
        <w:rPr>
          <w:rFonts w:ascii="Times New Roman" w:hAnsi="Times New Roman"/>
          <w:sz w:val="20"/>
        </w:rPr>
        <w:t xml:space="preserve"> </w:t>
      </w:r>
    </w:p>
    <w:p>
      <w:pPr>
        <w:pStyle w:val="TextBody"/>
        <w:bidi w:val="0"/>
        <w:spacing w:before="120" w:after="0"/>
        <w:jc w:val="left"/>
        <w:rPr>
          <w:rFonts w:ascii="Arial;sans-serif" w:hAnsi="Arial;sans-serif"/>
          <w:b w:val="false"/>
          <w:i/>
          <w:sz w:val="22"/>
        </w:rPr>
      </w:pPr>
      <w:r>
        <w:rPr>
          <w:rFonts w:ascii="Arial;sans-serif" w:hAnsi="Arial;sans-serif"/>
          <w:b w:val="false"/>
          <w:i/>
          <w:sz w:val="22"/>
        </w:rPr>
        <w:t>In evaluating our non-GAAP financial measures, you should be aware that in the future we may incur expenses similar to those eliminated in these presentations.</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Arial;sans-serif" w:hAnsi="Arial;sans-serif"/>
          <w:b/>
          <w:sz w:val="22"/>
        </w:rPr>
        <w:t>Investor Contact:</w:t>
      </w:r>
      <w:r>
        <w:rPr>
          <w:rFonts w:ascii="Times New Roman" w:hAnsi="Times New Roman"/>
          <w:sz w:val="20"/>
        </w:rPr>
        <w:t xml:space="preserve"> </w:t>
      </w:r>
    </w:p>
    <w:p>
      <w:pPr>
        <w:pStyle w:val="TextBody"/>
        <w:bidi w:val="0"/>
        <w:spacing w:before="0" w:after="0"/>
        <w:jc w:val="left"/>
        <w:rPr>
          <w:rFonts w:ascii="Arial;sans-serif" w:hAnsi="Arial;sans-serif"/>
          <w:b w:val="false"/>
          <w:sz w:val="22"/>
        </w:rPr>
      </w:pPr>
      <w:r>
        <w:rPr>
          <w:rFonts w:ascii="Arial;sans-serif" w:hAnsi="Arial;sans-serif"/>
          <w:b w:val="false"/>
          <w:sz w:val="22"/>
        </w:rPr>
        <w:t>Brian Denyeau</w:t>
      </w:r>
    </w:p>
    <w:p>
      <w:pPr>
        <w:pStyle w:val="TextBody"/>
        <w:bidi w:val="0"/>
        <w:spacing w:before="0" w:after="0"/>
        <w:jc w:val="left"/>
        <w:rPr>
          <w:rFonts w:ascii="Times New Roman" w:hAnsi="Times New Roman"/>
          <w:sz w:val="20"/>
        </w:rPr>
      </w:pPr>
      <w:r>
        <w:rPr>
          <w:rFonts w:ascii="Arial;sans-serif" w:hAnsi="Arial;sans-serif"/>
          <w:b w:val="false"/>
          <w:sz w:val="22"/>
        </w:rPr>
        <w:t>ICR for Definitive Healthcare</w:t>
      </w:r>
      <w:r>
        <w:rPr>
          <w:rFonts w:ascii="Times New Roman" w:hAnsi="Times New Roman"/>
          <w:sz w:val="20"/>
        </w:rPr>
        <w:t xml:space="preserve"> </w:t>
      </w:r>
    </w:p>
    <w:p>
      <w:pPr>
        <w:pStyle w:val="TextBody"/>
        <w:bidi w:val="0"/>
        <w:spacing w:before="0" w:after="0"/>
        <w:jc w:val="left"/>
        <w:rPr>
          <w:rFonts w:ascii="Arial;sans-serif" w:hAnsi="Arial;sans-serif"/>
          <w:b w:val="false"/>
          <w:sz w:val="22"/>
          <w:u w:val="single"/>
        </w:rPr>
      </w:pPr>
      <w:r>
        <w:rPr>
          <w:rFonts w:ascii="Arial;sans-serif" w:hAnsi="Arial;sans-serif"/>
          <w:b w:val="false"/>
          <w:sz w:val="22"/>
          <w:u w:val="single"/>
        </w:rPr>
        <w:t>brian.denyeau@icrinc.com</w:t>
      </w:r>
    </w:p>
    <w:p>
      <w:pPr>
        <w:pStyle w:val="TextBody"/>
        <w:bidi w:val="0"/>
        <w:spacing w:before="0" w:after="0"/>
        <w:jc w:val="left"/>
        <w:rPr>
          <w:rFonts w:ascii="Arial;sans-serif" w:hAnsi="Arial;sans-serif"/>
          <w:b w:val="false"/>
          <w:sz w:val="22"/>
        </w:rPr>
      </w:pPr>
      <w:r>
        <w:rPr>
          <w:rFonts w:ascii="Arial;sans-serif" w:hAnsi="Arial;sans-serif"/>
          <w:b w:val="false"/>
          <w:sz w:val="22"/>
        </w:rPr>
        <w:t>646-277-1251</w:t>
      </w:r>
    </w:p>
    <w:p>
      <w:pPr>
        <w:pStyle w:val="TextBody"/>
        <w:bidi w:val="0"/>
        <w:spacing w:before="240" w:after="0"/>
        <w:jc w:val="left"/>
        <w:rPr>
          <w:rFonts w:ascii="Times New Roman" w:hAnsi="Times New Roman"/>
          <w:sz w:val="20"/>
        </w:rPr>
      </w:pPr>
      <w:r>
        <w:rPr>
          <w:rFonts w:ascii="Arial;sans-serif" w:hAnsi="Arial;sans-serif"/>
          <w:b/>
          <w:sz w:val="22"/>
        </w:rPr>
        <w:t>Media Contact:</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Arial;sans-serif" w:hAnsi="Arial;sans-serif"/>
          <w:b w:val="false"/>
          <w:sz w:val="22"/>
        </w:rPr>
        <w:t xml:space="preserve">Danielle Johns </w:t>
        <w:br/>
      </w:r>
      <w:r>
        <w:rPr>
          <w:rFonts w:ascii="Arial;sans-serif" w:hAnsi="Arial;sans-serif"/>
          <w:b w:val="false"/>
          <w:sz w:val="22"/>
          <w:u w:val="single"/>
        </w:rPr>
        <w:t>djohns@definitivehc.com</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center"/>
        <w:rPr/>
      </w:pPr>
      <w:r>
        <w:rPr/>
        <w:t> </w:t>
      </w:r>
    </w:p>
    <w:tbl>
      <w:tblPr>
        <w:tblW w:w="10205" w:type="dxa"/>
        <w:jc w:val="left"/>
        <w:tblInd w:w="0" w:type="dxa"/>
        <w:tblLayout w:type="fixed"/>
        <w:tblCellMar>
          <w:top w:w="28" w:type="dxa"/>
          <w:left w:w="28" w:type="dxa"/>
          <w:bottom w:w="28" w:type="dxa"/>
          <w:right w:w="28" w:type="dxa"/>
        </w:tblCellMar>
      </w:tblPr>
      <w:tblGrid>
        <w:gridCol w:w="6579"/>
        <w:gridCol w:w="246"/>
        <w:gridCol w:w="211"/>
        <w:gridCol w:w="931"/>
        <w:gridCol w:w="166"/>
        <w:gridCol w:w="246"/>
        <w:gridCol w:w="228"/>
        <w:gridCol w:w="1006"/>
        <w:gridCol w:w="592"/>
      </w:tblGrid>
      <w:tr>
        <w:trPr/>
        <w:tc>
          <w:tcPr>
            <w:tcW w:w="65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9613" w:type="dxa"/>
            <w:gridSpan w:val="8"/>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Definitive Healthcare Corp.</w:t>
            </w:r>
          </w:p>
        </w:tc>
        <w:tc>
          <w:tcPr>
            <w:tcW w:w="592" w:type="dxa"/>
            <w:tcBorders/>
            <w:vAlign w:val="center"/>
          </w:tcPr>
          <w:p>
            <w:pPr>
              <w:pStyle w:val="TableContents"/>
              <w:bidi w:val="0"/>
              <w:spacing w:before="0" w:after="0"/>
              <w:ind w:left="0" w:right="0" w:hanging="0"/>
              <w:jc w:val="center"/>
              <w:rPr/>
            </w:pPr>
            <w:r>
              <w:rPr/>
              <w:t> </w:t>
            </w:r>
          </w:p>
        </w:tc>
      </w:tr>
      <w:tr>
        <w:trPr/>
        <w:tc>
          <w:tcPr>
            <w:tcW w:w="9613" w:type="dxa"/>
            <w:gridSpan w:val="8"/>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Condensed Consolidated Balance Sheets</w:t>
            </w:r>
          </w:p>
        </w:tc>
        <w:tc>
          <w:tcPr>
            <w:tcW w:w="592" w:type="dxa"/>
            <w:tcBorders/>
            <w:vAlign w:val="center"/>
          </w:tcPr>
          <w:p>
            <w:pPr>
              <w:pStyle w:val="TableContents"/>
              <w:bidi w:val="0"/>
              <w:spacing w:before="0" w:after="0"/>
              <w:ind w:left="0" w:right="0" w:hanging="0"/>
              <w:jc w:val="center"/>
              <w:rPr/>
            </w:pPr>
            <w:r>
              <w:rPr/>
              <w:t> </w:t>
            </w:r>
          </w:p>
        </w:tc>
      </w:tr>
      <w:tr>
        <w:trPr/>
        <w:tc>
          <w:tcPr>
            <w:tcW w:w="9613" w:type="dxa"/>
            <w:gridSpan w:val="8"/>
            <w:tcBorders/>
            <w:vAlign w:val="center"/>
          </w:tcPr>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(amounts in thousands, except number of shares and par value; unaudited)</w:t>
            </w:r>
          </w:p>
        </w:tc>
        <w:tc>
          <w:tcPr>
            <w:tcW w:w="592" w:type="dxa"/>
            <w:tcBorders/>
            <w:vAlign w:val="center"/>
          </w:tcPr>
          <w:p>
            <w:pPr>
              <w:pStyle w:val="TableContents"/>
              <w:bidi w:val="0"/>
              <w:spacing w:before="0" w:after="0"/>
              <w:ind w:left="0" w:right="0" w:hanging="0"/>
              <w:jc w:val="center"/>
              <w:rPr/>
            </w:pPr>
            <w:r>
              <w:rPr/>
              <w:t> </w:t>
            </w:r>
          </w:p>
        </w:tc>
      </w:tr>
      <w:tr>
        <w:trPr/>
        <w:tc>
          <w:tcPr>
            <w:tcW w:w="6579"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1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34" w:type="dxa"/>
            <w:gridSpan w:val="2"/>
            <w:tcBorders/>
            <w:vAlign w:val="center"/>
          </w:tcPr>
          <w:p>
            <w:pPr>
              <w:pStyle w:val="TableContents"/>
              <w:bidi w:val="0"/>
              <w:spacing w:before="0" w:after="0"/>
              <w:ind w:left="0" w:right="0" w:hanging="0"/>
              <w:jc w:val="center"/>
              <w:rPr/>
            </w:pPr>
            <w:r>
              <w:rPr/>
              <w:t> </w:t>
            </w:r>
          </w:p>
        </w:tc>
        <w:tc>
          <w:tcPr>
            <w:tcW w:w="592" w:type="dxa"/>
            <w:tcBorders/>
            <w:vAlign w:val="center"/>
          </w:tcPr>
          <w:p>
            <w:pPr>
              <w:pStyle w:val="TableContents"/>
              <w:bidi w:val="0"/>
              <w:spacing w:before="0" w:after="0"/>
              <w:ind w:left="0" w:right="0" w:hanging="0"/>
              <w:jc w:val="center"/>
              <w:rPr/>
            </w:pPr>
            <w:r>
              <w:rPr/>
              <w:t> </w:t>
            </w:r>
          </w:p>
        </w:tc>
      </w:tr>
      <w:tr>
        <w:trPr/>
        <w:tc>
          <w:tcPr>
            <w:tcW w:w="6579"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234"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592" w:type="dxa"/>
            <w:tcBorders/>
            <w:vAlign w:val="center"/>
          </w:tcPr>
          <w:p>
            <w:pPr>
              <w:pStyle w:val="TableContents"/>
              <w:bidi w:val="0"/>
              <w:spacing w:before="0" w:after="0"/>
              <w:ind w:left="0" w:right="0" w:hanging="0"/>
              <w:jc w:val="center"/>
              <w:rPr/>
            </w:pPr>
            <w:r>
              <w:rPr/>
              <w:t> </w:t>
            </w:r>
          </w:p>
        </w:tc>
      </w:tr>
      <w:tr>
        <w:trPr/>
        <w:tc>
          <w:tcPr>
            <w:tcW w:w="6579"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3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57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246" w:type="dxa"/>
            <w:tcBorders/>
            <w:vAlign w:val="center"/>
          </w:tcPr>
          <w:p>
            <w:pPr>
              <w:pStyle w:val="TableContents"/>
              <w:bidi w:val="0"/>
              <w:spacing w:before="0" w:after="0"/>
              <w:ind w:left="0" w:right="0" w:firstLine="100"/>
              <w:jc w:val="left"/>
              <w:rPr/>
            </w:pPr>
            <w:r>
              <w:rPr/>
              <w:t> </w:t>
            </w:r>
          </w:p>
        </w:tc>
        <w:tc>
          <w:tcPr>
            <w:tcW w:w="1142" w:type="dxa"/>
            <w:gridSpan w:val="2"/>
            <w:tcBorders/>
            <w:vAlign w:val="center"/>
          </w:tcPr>
          <w:p>
            <w:pPr>
              <w:pStyle w:val="TableContents"/>
              <w:bidi w:val="0"/>
              <w:spacing w:before="0" w:after="0"/>
              <w:ind w:left="10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34" w:type="dxa"/>
            <w:gridSpan w:val="2"/>
            <w:tcBorders/>
            <w:vAlign w:val="center"/>
          </w:tcPr>
          <w:p>
            <w:pPr>
              <w:pStyle w:val="TableContents"/>
              <w:bidi w:val="0"/>
              <w:spacing w:before="0" w:after="0"/>
              <w:ind w:left="100" w:right="0" w:hanging="0"/>
              <w:jc w:val="left"/>
              <w:rPr/>
            </w:pPr>
            <w:r>
              <w:rPr/>
              <w:t> </w:t>
            </w:r>
          </w:p>
        </w:tc>
        <w:tc>
          <w:tcPr>
            <w:tcW w:w="592" w:type="dxa"/>
            <w:tcBorders/>
            <w:vAlign w:val="center"/>
          </w:tcPr>
          <w:p>
            <w:pPr>
              <w:pStyle w:val="TableContents"/>
              <w:bidi w:val="0"/>
              <w:spacing w:before="0" w:after="0"/>
              <w:ind w:left="0" w:right="0" w:hanging="0"/>
              <w:jc w:val="left"/>
              <w:rPr/>
            </w:pPr>
            <w:r>
              <w:rPr/>
              <w:t> </w:t>
            </w:r>
          </w:p>
        </w:tc>
      </w:tr>
      <w:tr>
        <w:trPr/>
        <w:tc>
          <w:tcPr>
            <w:tcW w:w="65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2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283"/>
              <w:ind w:left="0" w:right="0" w:hanging="0"/>
              <w:jc w:val="left"/>
              <w:rPr>
                <w:sz w:val="4"/>
                <w:szCs w:val="4"/>
              </w:rPr>
            </w:pPr>
            <w:r>
              <w:rPr>
                <w:sz w:val="4"/>
                <w:szCs w:val="4"/>
              </w:rPr>
            </w:r>
          </w:p>
        </w:tc>
        <w:tc>
          <w:tcPr>
            <w:tcW w:w="16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1234" w:type="dxa"/>
            <w:gridSpan w:val="2"/>
            <w:tcBorders/>
            <w:vAlign w:val="center"/>
          </w:tcPr>
          <w:p>
            <w:pPr>
              <w:pStyle w:val="TableContents"/>
              <w:bidi w:val="0"/>
              <w:spacing w:before="0" w:after="283"/>
              <w:ind w:left="0" w:right="0" w:firstLine="100"/>
              <w:jc w:val="left"/>
              <w:rPr>
                <w:sz w:val="4"/>
                <w:szCs w:val="4"/>
              </w:rPr>
            </w:pPr>
            <w:r>
              <w:rPr>
                <w:sz w:val="4"/>
                <w:szCs w:val="4"/>
              </w:rPr>
            </w:r>
          </w:p>
        </w:tc>
        <w:tc>
          <w:tcPr>
            <w:tcW w:w="592" w:type="dxa"/>
            <w:tcBorders/>
            <w:vAlign w:val="center"/>
          </w:tcPr>
          <w:p>
            <w:pPr>
              <w:pStyle w:val="TableContents"/>
              <w:bidi w:val="0"/>
              <w:spacing w:before="0" w:after="0"/>
              <w:ind w:left="0" w:right="0" w:firstLine="200"/>
              <w:jc w:val="left"/>
              <w:rPr/>
            </w:pPr>
            <w:r>
              <w:rPr/>
              <w:t> </w:t>
            </w:r>
          </w:p>
        </w:tc>
      </w:tr>
      <w:tr>
        <w:trPr/>
        <w:tc>
          <w:tcPr>
            <w:tcW w:w="65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132,385</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146,934</w:t>
            </w:r>
          </w:p>
        </w:tc>
        <w:tc>
          <w:tcPr>
            <w:tcW w:w="592" w:type="dxa"/>
            <w:tcBorders/>
            <w:vAlign w:val="center"/>
          </w:tcPr>
          <w:p>
            <w:pPr>
              <w:pStyle w:val="TableContents"/>
              <w:bidi w:val="0"/>
              <w:spacing w:before="0" w:after="0"/>
              <w:ind w:left="0" w:right="0" w:firstLine="200"/>
              <w:jc w:val="left"/>
              <w:rPr/>
            </w:pPr>
            <w:r>
              <w:rPr/>
              <w:t> </w:t>
            </w:r>
          </w:p>
        </w:tc>
      </w:tr>
      <w:tr>
        <w:trPr/>
        <w:tc>
          <w:tcPr>
            <w:tcW w:w="65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218,515</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184,939</w:t>
            </w:r>
          </w:p>
        </w:tc>
        <w:tc>
          <w:tcPr>
            <w:tcW w:w="592" w:type="dxa"/>
            <w:tcBorders/>
            <w:vAlign w:val="center"/>
          </w:tcPr>
          <w:p>
            <w:pPr>
              <w:pStyle w:val="TableContents"/>
              <w:bidi w:val="0"/>
              <w:spacing w:before="0" w:after="0"/>
              <w:ind w:left="0" w:right="0" w:firstLine="200"/>
              <w:jc w:val="left"/>
              <w:rPr/>
            </w:pPr>
            <w:r>
              <w:rPr/>
              <w:t> </w:t>
            </w:r>
          </w:p>
        </w:tc>
      </w:tr>
      <w:tr>
        <w:trPr/>
        <w:tc>
          <w:tcPr>
            <w:tcW w:w="65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44,519</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58,799</w:t>
            </w:r>
          </w:p>
        </w:tc>
        <w:tc>
          <w:tcPr>
            <w:tcW w:w="592" w:type="dxa"/>
            <w:tcBorders/>
            <w:vAlign w:val="center"/>
          </w:tcPr>
          <w:p>
            <w:pPr>
              <w:pStyle w:val="TableContents"/>
              <w:bidi w:val="0"/>
              <w:spacing w:before="0" w:after="0"/>
              <w:ind w:left="0" w:right="0" w:firstLine="200"/>
              <w:jc w:val="left"/>
              <w:rPr/>
            </w:pPr>
            <w:r>
              <w:rPr/>
              <w:t> </w:t>
            </w:r>
          </w:p>
        </w:tc>
      </w:tr>
      <w:tr>
        <w:trPr/>
        <w:tc>
          <w:tcPr>
            <w:tcW w:w="65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13,734</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12,686</w:t>
            </w:r>
          </w:p>
        </w:tc>
        <w:tc>
          <w:tcPr>
            <w:tcW w:w="592" w:type="dxa"/>
            <w:tcBorders/>
            <w:vAlign w:val="center"/>
          </w:tcPr>
          <w:p>
            <w:pPr>
              <w:pStyle w:val="TableContents"/>
              <w:bidi w:val="0"/>
              <w:spacing w:before="0" w:after="0"/>
              <w:ind w:left="0" w:right="0" w:firstLine="200"/>
              <w:jc w:val="left"/>
              <w:rPr/>
            </w:pPr>
            <w:r>
              <w:rPr/>
              <w:t> </w:t>
            </w:r>
          </w:p>
        </w:tc>
      </w:tr>
      <w:tr>
        <w:trPr/>
        <w:tc>
          <w:tcPr>
            <w:tcW w:w="65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deferred contract costs</w:t>
            </w:r>
          </w:p>
        </w:tc>
        <w:tc>
          <w:tcPr>
            <w:tcW w:w="2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10,387</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579"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current assets</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421,042</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413,745</w:t>
            </w:r>
          </w:p>
        </w:tc>
        <w:tc>
          <w:tcPr>
            <w:tcW w:w="592" w:type="dxa"/>
            <w:tcBorders/>
            <w:vAlign w:val="center"/>
          </w:tcPr>
          <w:p>
            <w:pPr>
              <w:pStyle w:val="TableContents"/>
              <w:bidi w:val="0"/>
              <w:spacing w:before="0" w:after="0"/>
              <w:ind w:left="0" w:right="0" w:hanging="0"/>
              <w:jc w:val="left"/>
              <w:rPr/>
            </w:pPr>
            <w:r>
              <w:rPr/>
              <w:t> </w:t>
            </w:r>
          </w:p>
        </w:tc>
      </w:tr>
      <w:tr>
        <w:trPr/>
        <w:tc>
          <w:tcPr>
            <w:tcW w:w="65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4,488</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4,464</w:t>
            </w:r>
          </w:p>
        </w:tc>
        <w:tc>
          <w:tcPr>
            <w:tcW w:w="592" w:type="dxa"/>
            <w:tcBorders/>
            <w:vAlign w:val="center"/>
          </w:tcPr>
          <w:p>
            <w:pPr>
              <w:pStyle w:val="TableContents"/>
              <w:bidi w:val="0"/>
              <w:spacing w:before="0" w:after="0"/>
              <w:ind w:left="0" w:right="0" w:hanging="0"/>
              <w:jc w:val="left"/>
              <w:rPr/>
            </w:pPr>
            <w:r>
              <w:rPr/>
              <w:t> </w:t>
            </w:r>
          </w:p>
        </w:tc>
      </w:tr>
      <w:tr>
        <w:trPr/>
        <w:tc>
          <w:tcPr>
            <w:tcW w:w="65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 net</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8,697</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9,681</w:t>
            </w:r>
          </w:p>
        </w:tc>
        <w:tc>
          <w:tcPr>
            <w:tcW w:w="592" w:type="dxa"/>
            <w:tcBorders/>
            <w:vAlign w:val="center"/>
          </w:tcPr>
          <w:p>
            <w:pPr>
              <w:pStyle w:val="TableContents"/>
              <w:bidi w:val="0"/>
              <w:spacing w:before="0" w:after="0"/>
              <w:ind w:left="0" w:right="0" w:hanging="0"/>
              <w:jc w:val="left"/>
              <w:rPr/>
            </w:pPr>
            <w:r>
              <w:rPr/>
              <w:t> </w:t>
            </w:r>
          </w:p>
        </w:tc>
      </w:tr>
      <w:tr>
        <w:trPr/>
        <w:tc>
          <w:tcPr>
            <w:tcW w:w="65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3,938</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4,683</w:t>
            </w:r>
          </w:p>
        </w:tc>
        <w:tc>
          <w:tcPr>
            <w:tcW w:w="592" w:type="dxa"/>
            <w:tcBorders/>
            <w:vAlign w:val="center"/>
          </w:tcPr>
          <w:p>
            <w:pPr>
              <w:pStyle w:val="TableContents"/>
              <w:bidi w:val="0"/>
              <w:spacing w:before="0" w:after="0"/>
              <w:ind w:left="0" w:right="0" w:hanging="0"/>
              <w:jc w:val="left"/>
              <w:rPr/>
            </w:pPr>
            <w:r>
              <w:rPr/>
              <w:t> </w:t>
            </w:r>
          </w:p>
        </w:tc>
      </w:tr>
      <w:tr>
        <w:trPr/>
        <w:tc>
          <w:tcPr>
            <w:tcW w:w="65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contract costs, net of current portion</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16,171</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14,596</w:t>
            </w:r>
          </w:p>
        </w:tc>
        <w:tc>
          <w:tcPr>
            <w:tcW w:w="592" w:type="dxa"/>
            <w:tcBorders/>
            <w:vAlign w:val="center"/>
          </w:tcPr>
          <w:p>
            <w:pPr>
              <w:pStyle w:val="TableContents"/>
              <w:bidi w:val="0"/>
              <w:spacing w:before="0" w:after="0"/>
              <w:ind w:left="0" w:right="0" w:hanging="0"/>
              <w:jc w:val="left"/>
              <w:rPr/>
            </w:pPr>
            <w:r>
              <w:rPr/>
              <w:t> </w:t>
            </w:r>
          </w:p>
        </w:tc>
      </w:tr>
      <w:tr>
        <w:trPr/>
        <w:tc>
          <w:tcPr>
            <w:tcW w:w="65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325,794</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350,722</w:t>
            </w:r>
          </w:p>
        </w:tc>
        <w:tc>
          <w:tcPr>
            <w:tcW w:w="592" w:type="dxa"/>
            <w:tcBorders/>
            <w:vAlign w:val="center"/>
          </w:tcPr>
          <w:p>
            <w:pPr>
              <w:pStyle w:val="TableContents"/>
              <w:bidi w:val="0"/>
              <w:spacing w:before="0" w:after="0"/>
              <w:ind w:left="0" w:right="0" w:hanging="0"/>
              <w:jc w:val="left"/>
              <w:rPr/>
            </w:pPr>
            <w:r>
              <w:rPr/>
              <w:t> </w:t>
            </w:r>
          </w:p>
        </w:tc>
      </w:tr>
      <w:tr>
        <w:trPr/>
        <w:tc>
          <w:tcPr>
            <w:tcW w:w="65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2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1,324,733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1,324,733</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579"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assets</w:t>
            </w:r>
          </w:p>
        </w:tc>
        <w:tc>
          <w:tcPr>
            <w:tcW w:w="2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2,104,863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2,122,624</w:t>
            </w:r>
          </w:p>
        </w:tc>
        <w:tc>
          <w:tcPr>
            <w:tcW w:w="5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7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Equity</w:t>
            </w:r>
          </w:p>
        </w:tc>
        <w:tc>
          <w:tcPr>
            <w:tcW w:w="2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234" w:type="dxa"/>
            <w:gridSpan w:val="2"/>
            <w:tcBorders/>
            <w:vAlign w:val="center"/>
          </w:tcPr>
          <w:p>
            <w:pPr>
              <w:pStyle w:val="TableContents"/>
              <w:bidi w:val="0"/>
              <w:spacing w:before="0" w:after="0"/>
              <w:ind w:left="0" w:right="0" w:hanging="0"/>
              <w:jc w:val="left"/>
              <w:rPr/>
            </w:pPr>
            <w:r>
              <w:rPr/>
              <w:t> </w:t>
            </w:r>
          </w:p>
        </w:tc>
        <w:tc>
          <w:tcPr>
            <w:tcW w:w="592" w:type="dxa"/>
            <w:tcBorders/>
            <w:vAlign w:val="center"/>
          </w:tcPr>
          <w:p>
            <w:pPr>
              <w:pStyle w:val="TableContents"/>
              <w:bidi w:val="0"/>
              <w:spacing w:before="0" w:after="0"/>
              <w:ind w:left="0" w:right="0" w:hanging="0"/>
              <w:jc w:val="left"/>
              <w:rPr/>
            </w:pPr>
            <w:r>
              <w:rPr/>
              <w:t> </w:t>
            </w:r>
          </w:p>
        </w:tc>
      </w:tr>
      <w:tr>
        <w:trPr/>
        <w:tc>
          <w:tcPr>
            <w:tcW w:w="65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2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234" w:type="dxa"/>
            <w:gridSpan w:val="2"/>
            <w:tcBorders/>
            <w:vAlign w:val="center"/>
          </w:tcPr>
          <w:p>
            <w:pPr>
              <w:pStyle w:val="TableContents"/>
              <w:bidi w:val="0"/>
              <w:spacing w:before="0" w:after="0"/>
              <w:ind w:left="0" w:right="0" w:hanging="0"/>
              <w:jc w:val="left"/>
              <w:rPr/>
            </w:pPr>
            <w:r>
              <w:rPr/>
              <w:t> </w:t>
            </w:r>
          </w:p>
        </w:tc>
        <w:tc>
          <w:tcPr>
            <w:tcW w:w="592" w:type="dxa"/>
            <w:tcBorders/>
            <w:vAlign w:val="center"/>
          </w:tcPr>
          <w:p>
            <w:pPr>
              <w:pStyle w:val="TableContents"/>
              <w:bidi w:val="0"/>
              <w:spacing w:before="0" w:after="0"/>
              <w:ind w:left="0" w:right="0" w:firstLine="200"/>
              <w:jc w:val="left"/>
              <w:rPr/>
            </w:pPr>
            <w:r>
              <w:rPr/>
              <w:t> </w:t>
            </w:r>
          </w:p>
        </w:tc>
      </w:tr>
      <w:tr>
        <w:trPr/>
        <w:tc>
          <w:tcPr>
            <w:tcW w:w="65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3,650</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3,948</w:t>
            </w:r>
          </w:p>
        </w:tc>
        <w:tc>
          <w:tcPr>
            <w:tcW w:w="592" w:type="dxa"/>
            <w:tcBorders/>
            <w:vAlign w:val="center"/>
          </w:tcPr>
          <w:p>
            <w:pPr>
              <w:pStyle w:val="TableContents"/>
              <w:bidi w:val="0"/>
              <w:spacing w:before="0" w:after="0"/>
              <w:ind w:left="0" w:right="0" w:firstLine="200"/>
              <w:jc w:val="left"/>
              <w:rPr/>
            </w:pPr>
            <w:r>
              <w:rPr/>
              <w:t> </w:t>
            </w:r>
          </w:p>
        </w:tc>
      </w:tr>
      <w:tr>
        <w:trPr/>
        <w:tc>
          <w:tcPr>
            <w:tcW w:w="65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33,238</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26,855</w:t>
            </w:r>
          </w:p>
        </w:tc>
        <w:tc>
          <w:tcPr>
            <w:tcW w:w="592" w:type="dxa"/>
            <w:tcBorders/>
            <w:vAlign w:val="center"/>
          </w:tcPr>
          <w:p>
            <w:pPr>
              <w:pStyle w:val="TableContents"/>
              <w:bidi w:val="0"/>
              <w:spacing w:before="0" w:after="0"/>
              <w:ind w:left="0" w:right="0" w:firstLine="200"/>
              <w:jc w:val="left"/>
              <w:rPr/>
            </w:pPr>
            <w:r>
              <w:rPr/>
              <w:t> </w:t>
            </w:r>
          </w:p>
        </w:tc>
      </w:tr>
      <w:tr>
        <w:trPr/>
        <w:tc>
          <w:tcPr>
            <w:tcW w:w="65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deferred revenue</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97,495</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99,692</w:t>
            </w:r>
          </w:p>
        </w:tc>
        <w:tc>
          <w:tcPr>
            <w:tcW w:w="592" w:type="dxa"/>
            <w:tcBorders/>
            <w:vAlign w:val="center"/>
          </w:tcPr>
          <w:p>
            <w:pPr>
              <w:pStyle w:val="TableContents"/>
              <w:bidi w:val="0"/>
              <w:spacing w:before="0" w:after="0"/>
              <w:ind w:left="0" w:right="0" w:firstLine="200"/>
              <w:jc w:val="left"/>
              <w:rPr/>
            </w:pPr>
            <w:r>
              <w:rPr/>
              <w:t> </w:t>
            </w:r>
          </w:p>
        </w:tc>
      </w:tr>
      <w:tr>
        <w:trPr/>
        <w:tc>
          <w:tcPr>
            <w:tcW w:w="65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term loan</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12,031</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8,594</w:t>
            </w:r>
          </w:p>
        </w:tc>
        <w:tc>
          <w:tcPr>
            <w:tcW w:w="592" w:type="dxa"/>
            <w:tcBorders/>
            <w:vAlign w:val="center"/>
          </w:tcPr>
          <w:p>
            <w:pPr>
              <w:pStyle w:val="TableContents"/>
              <w:bidi w:val="0"/>
              <w:spacing w:before="0" w:after="0"/>
              <w:ind w:left="0" w:right="0" w:firstLine="200"/>
              <w:jc w:val="left"/>
              <w:rPr/>
            </w:pPr>
            <w:r>
              <w:rPr/>
              <w:t> </w:t>
            </w:r>
          </w:p>
        </w:tc>
      </w:tr>
      <w:tr>
        <w:trPr/>
        <w:tc>
          <w:tcPr>
            <w:tcW w:w="65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operating lease liabilities</w:t>
            </w:r>
          </w:p>
        </w:tc>
        <w:tc>
          <w:tcPr>
            <w:tcW w:w="2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1,521</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579"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current liabilities</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148,127</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140,610</w:t>
            </w:r>
          </w:p>
        </w:tc>
        <w:tc>
          <w:tcPr>
            <w:tcW w:w="592" w:type="dxa"/>
            <w:tcBorders/>
            <w:vAlign w:val="center"/>
          </w:tcPr>
          <w:p>
            <w:pPr>
              <w:pStyle w:val="TableContents"/>
              <w:bidi w:val="0"/>
              <w:spacing w:before="0" w:after="0"/>
              <w:ind w:left="0" w:right="0" w:hanging="0"/>
              <w:jc w:val="left"/>
              <w:rPr/>
            </w:pPr>
            <w:r>
              <w:rPr/>
              <w:t> </w:t>
            </w:r>
          </w:p>
        </w:tc>
      </w:tr>
      <w:tr>
        <w:trPr/>
        <w:tc>
          <w:tcPr>
            <w:tcW w:w="65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 term liabilities:</w:t>
            </w:r>
          </w:p>
        </w:tc>
        <w:tc>
          <w:tcPr>
            <w:tcW w:w="2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234" w:type="dxa"/>
            <w:gridSpan w:val="2"/>
            <w:tcBorders/>
            <w:vAlign w:val="center"/>
          </w:tcPr>
          <w:p>
            <w:pPr>
              <w:pStyle w:val="TableContents"/>
              <w:bidi w:val="0"/>
              <w:spacing w:before="0" w:after="0"/>
              <w:ind w:left="0" w:right="0" w:hanging="0"/>
              <w:jc w:val="left"/>
              <w:rPr/>
            </w:pPr>
            <w:r>
              <w:rPr/>
              <w:t> </w:t>
            </w:r>
          </w:p>
        </w:tc>
        <w:tc>
          <w:tcPr>
            <w:tcW w:w="592" w:type="dxa"/>
            <w:tcBorders/>
            <w:vAlign w:val="center"/>
          </w:tcPr>
          <w:p>
            <w:pPr>
              <w:pStyle w:val="TableContents"/>
              <w:bidi w:val="0"/>
              <w:spacing w:before="0" w:after="0"/>
              <w:ind w:left="0" w:right="0" w:firstLine="200"/>
              <w:jc w:val="left"/>
              <w:rPr/>
            </w:pPr>
            <w:r>
              <w:rPr/>
              <w:t> </w:t>
            </w:r>
          </w:p>
        </w:tc>
      </w:tr>
      <w:tr>
        <w:trPr/>
        <w:tc>
          <w:tcPr>
            <w:tcW w:w="65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 net of current portion</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w:t>
            </w:r>
          </w:p>
        </w:tc>
        <w:tc>
          <w:tcPr>
            <w:tcW w:w="592" w:type="dxa"/>
            <w:tcBorders/>
            <w:vAlign w:val="center"/>
          </w:tcPr>
          <w:p>
            <w:pPr>
              <w:pStyle w:val="TableContents"/>
              <w:bidi w:val="0"/>
              <w:spacing w:before="0" w:after="0"/>
              <w:ind w:left="0" w:right="0" w:firstLine="200"/>
              <w:jc w:val="left"/>
              <w:rPr/>
            </w:pPr>
            <w:r>
              <w:rPr/>
              <w:t> </w:t>
            </w:r>
          </w:p>
        </w:tc>
      </w:tr>
      <w:tr>
        <w:trPr/>
        <w:tc>
          <w:tcPr>
            <w:tcW w:w="65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Term loan, net of current portion</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249,166</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255,765</w:t>
            </w:r>
          </w:p>
        </w:tc>
        <w:tc>
          <w:tcPr>
            <w:tcW w:w="592" w:type="dxa"/>
            <w:tcBorders/>
            <w:vAlign w:val="center"/>
          </w:tcPr>
          <w:p>
            <w:pPr>
              <w:pStyle w:val="TableContents"/>
              <w:bidi w:val="0"/>
              <w:spacing w:before="0" w:after="0"/>
              <w:ind w:left="0" w:right="0" w:firstLine="200"/>
              <w:jc w:val="left"/>
              <w:rPr/>
            </w:pPr>
            <w:r>
              <w:rPr/>
              <w:t> </w:t>
            </w:r>
          </w:p>
        </w:tc>
      </w:tr>
      <w:tr>
        <w:trPr/>
        <w:tc>
          <w:tcPr>
            <w:tcW w:w="65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 net of current portion</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9,004</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9,969</w:t>
            </w:r>
          </w:p>
        </w:tc>
        <w:tc>
          <w:tcPr>
            <w:tcW w:w="592" w:type="dxa"/>
            <w:tcBorders/>
            <w:vAlign w:val="center"/>
          </w:tcPr>
          <w:p>
            <w:pPr>
              <w:pStyle w:val="TableContents"/>
              <w:bidi w:val="0"/>
              <w:spacing w:before="0" w:after="0"/>
              <w:ind w:left="0" w:right="0" w:firstLine="200"/>
              <w:jc w:val="left"/>
              <w:rPr/>
            </w:pPr>
            <w:r>
              <w:rPr/>
              <w:t> </w:t>
            </w:r>
          </w:p>
        </w:tc>
      </w:tr>
      <w:tr>
        <w:trPr/>
        <w:tc>
          <w:tcPr>
            <w:tcW w:w="65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Tax receivable agreements liability, net of current portion</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163,298</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155,111</w:t>
            </w:r>
          </w:p>
        </w:tc>
        <w:tc>
          <w:tcPr>
            <w:tcW w:w="592" w:type="dxa"/>
            <w:tcBorders/>
            <w:vAlign w:val="center"/>
          </w:tcPr>
          <w:p>
            <w:pPr>
              <w:pStyle w:val="TableContents"/>
              <w:bidi w:val="0"/>
              <w:spacing w:before="0" w:after="0"/>
              <w:ind w:left="0" w:right="0" w:firstLine="200"/>
              <w:jc w:val="left"/>
              <w:rPr/>
            </w:pPr>
            <w:r>
              <w:rPr/>
              <w:t> </w:t>
            </w:r>
          </w:p>
        </w:tc>
      </w:tr>
      <w:tr>
        <w:trPr/>
        <w:tc>
          <w:tcPr>
            <w:tcW w:w="65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tax liabilities</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78,569</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75,737</w:t>
            </w:r>
          </w:p>
        </w:tc>
        <w:tc>
          <w:tcPr>
            <w:tcW w:w="592" w:type="dxa"/>
            <w:tcBorders/>
            <w:vAlign w:val="center"/>
          </w:tcPr>
          <w:p>
            <w:pPr>
              <w:pStyle w:val="TableContents"/>
              <w:bidi w:val="0"/>
              <w:spacing w:before="0" w:after="0"/>
              <w:ind w:left="0" w:right="0" w:firstLine="200"/>
              <w:jc w:val="left"/>
              <w:rPr/>
            </w:pPr>
            <w:r>
              <w:rPr/>
              <w:t> </w:t>
            </w:r>
          </w:p>
        </w:tc>
      </w:tr>
      <w:tr>
        <w:trPr/>
        <w:tc>
          <w:tcPr>
            <w:tcW w:w="65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2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3,251</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579"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liabilities</w:t>
            </w:r>
          </w:p>
        </w:tc>
        <w:tc>
          <w:tcPr>
            <w:tcW w:w="2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649,404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640,679</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579" w:type="dxa"/>
            <w:tcBorders/>
            <w:vAlign w:val="center"/>
          </w:tcPr>
          <w:p>
            <w:pPr>
              <w:pStyle w:val="TableContents"/>
              <w:bidi w:val="0"/>
              <w:spacing w:before="0" w:after="0"/>
              <w:ind w:left="40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234" w:type="dxa"/>
            <w:gridSpan w:val="2"/>
            <w:tcBorders/>
            <w:vAlign w:val="center"/>
          </w:tcPr>
          <w:p>
            <w:pPr>
              <w:pStyle w:val="TableContents"/>
              <w:bidi w:val="0"/>
              <w:spacing w:before="0" w:after="0"/>
              <w:ind w:left="0" w:right="0" w:hanging="0"/>
              <w:jc w:val="left"/>
              <w:rPr/>
            </w:pPr>
            <w:r>
              <w:rPr/>
              <w:t> </w:t>
            </w:r>
          </w:p>
        </w:tc>
        <w:tc>
          <w:tcPr>
            <w:tcW w:w="592" w:type="dxa"/>
            <w:tcBorders/>
            <w:vAlign w:val="center"/>
          </w:tcPr>
          <w:p>
            <w:pPr>
              <w:pStyle w:val="TableContents"/>
              <w:bidi w:val="0"/>
              <w:spacing w:before="0" w:after="0"/>
              <w:ind w:left="0" w:right="0" w:hanging="0"/>
              <w:jc w:val="left"/>
              <w:rPr/>
            </w:pPr>
            <w:r>
              <w:rPr/>
              <w:t> </w:t>
            </w:r>
          </w:p>
        </w:tc>
      </w:tr>
      <w:tr>
        <w:trPr/>
        <w:tc>
          <w:tcPr>
            <w:tcW w:w="657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Equity:</w:t>
            </w:r>
          </w:p>
        </w:tc>
        <w:tc>
          <w:tcPr>
            <w:tcW w:w="2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234" w:type="dxa"/>
            <w:gridSpan w:val="2"/>
            <w:tcBorders/>
            <w:vAlign w:val="center"/>
          </w:tcPr>
          <w:p>
            <w:pPr>
              <w:pStyle w:val="TableContents"/>
              <w:bidi w:val="0"/>
              <w:spacing w:before="0" w:after="0"/>
              <w:ind w:left="0" w:right="0" w:hanging="0"/>
              <w:jc w:val="left"/>
              <w:rPr/>
            </w:pPr>
            <w:r>
              <w:rPr/>
              <w:t> </w:t>
            </w:r>
          </w:p>
        </w:tc>
        <w:tc>
          <w:tcPr>
            <w:tcW w:w="592" w:type="dxa"/>
            <w:tcBorders/>
            <w:vAlign w:val="center"/>
          </w:tcPr>
          <w:p>
            <w:pPr>
              <w:pStyle w:val="TableContents"/>
              <w:bidi w:val="0"/>
              <w:spacing w:before="0" w:after="0"/>
              <w:ind w:left="0" w:right="0" w:firstLine="200"/>
              <w:jc w:val="left"/>
              <w:rPr/>
            </w:pPr>
            <w:r>
              <w:rPr/>
              <w:t> </w:t>
            </w:r>
          </w:p>
        </w:tc>
      </w:tr>
      <w:tr>
        <w:trPr/>
        <w:tc>
          <w:tcPr>
            <w:tcW w:w="65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Class A Common Stock, par value $0.001, 600,000,000 shares authorized, 113,085,164 and 105,138,273 shares issued and outstanding at June 30, 2023 and December 31, 2022, respectively</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592" w:type="dxa"/>
            <w:tcBorders/>
            <w:vAlign w:val="center"/>
          </w:tcPr>
          <w:p>
            <w:pPr>
              <w:pStyle w:val="TableContents"/>
              <w:bidi w:val="0"/>
              <w:spacing w:before="0" w:after="0"/>
              <w:ind w:left="0" w:right="0" w:firstLine="200"/>
              <w:jc w:val="left"/>
              <w:rPr/>
            </w:pPr>
            <w:r>
              <w:rPr/>
              <w:t> </w:t>
            </w:r>
          </w:p>
        </w:tc>
      </w:tr>
      <w:tr>
        <w:trPr/>
        <w:tc>
          <w:tcPr>
            <w:tcW w:w="65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Class B Common Stock, par value $0.00001, 65,000,000 shares authorized, 42,861,612 and 41,548,822 shares issued and outstanding, respectively, at June 30, 2023, and 50,433,101 and 48,923,952 shares issued and outstanding, respectively at December 31, 2022</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592" w:type="dxa"/>
            <w:tcBorders/>
            <w:vAlign w:val="center"/>
          </w:tcPr>
          <w:p>
            <w:pPr>
              <w:pStyle w:val="TableContents"/>
              <w:bidi w:val="0"/>
              <w:spacing w:before="0" w:after="0"/>
              <w:ind w:left="0" w:right="0" w:firstLine="200"/>
              <w:jc w:val="left"/>
              <w:rPr/>
            </w:pPr>
            <w:r>
              <w:rPr/>
              <w:t> </w:t>
            </w:r>
          </w:p>
        </w:tc>
      </w:tr>
      <w:tr>
        <w:trPr/>
        <w:tc>
          <w:tcPr>
            <w:tcW w:w="65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1,050,714</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970,207</w:t>
            </w:r>
          </w:p>
        </w:tc>
        <w:tc>
          <w:tcPr>
            <w:tcW w:w="592" w:type="dxa"/>
            <w:tcBorders/>
            <w:vAlign w:val="center"/>
          </w:tcPr>
          <w:p>
            <w:pPr>
              <w:pStyle w:val="TableContents"/>
              <w:bidi w:val="0"/>
              <w:spacing w:before="0" w:after="0"/>
              <w:ind w:left="0" w:right="0" w:firstLine="200"/>
              <w:jc w:val="left"/>
              <w:rPr/>
            </w:pPr>
            <w:r>
              <w:rPr/>
              <w:t> </w:t>
            </w:r>
          </w:p>
        </w:tc>
      </w:tr>
      <w:tr>
        <w:trPr/>
        <w:tc>
          <w:tcPr>
            <w:tcW w:w="65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income</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3,252</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3,668</w:t>
            </w:r>
          </w:p>
        </w:tc>
        <w:tc>
          <w:tcPr>
            <w:tcW w:w="592" w:type="dxa"/>
            <w:tcBorders/>
            <w:vAlign w:val="center"/>
          </w:tcPr>
          <w:p>
            <w:pPr>
              <w:pStyle w:val="TableContents"/>
              <w:bidi w:val="0"/>
              <w:spacing w:before="0" w:after="0"/>
              <w:ind w:left="0" w:right="0" w:firstLine="200"/>
              <w:jc w:val="left"/>
              <w:rPr/>
            </w:pPr>
            <w:r>
              <w:rPr/>
              <w:t> </w:t>
            </w:r>
          </w:p>
        </w:tc>
      </w:tr>
      <w:tr>
        <w:trPr/>
        <w:tc>
          <w:tcPr>
            <w:tcW w:w="65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(25,062</w:t>
            </w:r>
          </w:p>
        </w:tc>
        <w:tc>
          <w:tcPr>
            <w:tcW w:w="59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5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Noncontrolling interests</w:t>
            </w:r>
          </w:p>
        </w:tc>
        <w:tc>
          <w:tcPr>
            <w:tcW w:w="2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447,071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533,027</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57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equity</w:t>
            </w:r>
          </w:p>
        </w:tc>
        <w:tc>
          <w:tcPr>
            <w:tcW w:w="2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1,455,459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1,481,945</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579"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liabilities and equity</w:t>
            </w:r>
          </w:p>
        </w:tc>
        <w:tc>
          <w:tcPr>
            <w:tcW w:w="2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2,104,863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2,122,624</w:t>
            </w:r>
          </w:p>
        </w:tc>
        <w:tc>
          <w:tcPr>
            <w:tcW w:w="5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pPr>
      <w:r>
        <w:rPr/>
        <w:t> </w:t>
      </w:r>
    </w:p>
    <w:tbl>
      <w:tblPr>
        <w:tblW w:w="10342" w:type="dxa"/>
        <w:jc w:val="left"/>
        <w:tblInd w:w="0" w:type="dxa"/>
        <w:tblLayout w:type="fixed"/>
        <w:tblCellMar>
          <w:top w:w="28" w:type="dxa"/>
          <w:left w:w="28" w:type="dxa"/>
          <w:bottom w:w="28" w:type="dxa"/>
          <w:right w:w="28" w:type="dxa"/>
        </w:tblCellMar>
      </w:tblPr>
      <w:tblGrid>
        <w:gridCol w:w="2551"/>
        <w:gridCol w:w="246"/>
        <w:gridCol w:w="211"/>
        <w:gridCol w:w="1141"/>
        <w:gridCol w:w="266"/>
        <w:gridCol w:w="246"/>
        <w:gridCol w:w="211"/>
        <w:gridCol w:w="1036"/>
        <w:gridCol w:w="266"/>
        <w:gridCol w:w="246"/>
        <w:gridCol w:w="211"/>
        <w:gridCol w:w="1141"/>
        <w:gridCol w:w="266"/>
        <w:gridCol w:w="246"/>
        <w:gridCol w:w="211"/>
        <w:gridCol w:w="1036"/>
        <w:gridCol w:w="811"/>
      </w:tblGrid>
      <w:tr>
        <w:trPr/>
        <w:tc>
          <w:tcPr>
            <w:tcW w:w="25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9531" w:type="dxa"/>
            <w:gridSpan w:val="1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Definitive Healthcare Corp.</w:t>
            </w:r>
          </w:p>
        </w:tc>
        <w:tc>
          <w:tcPr>
            <w:tcW w:w="811" w:type="dxa"/>
            <w:tcBorders/>
            <w:vAlign w:val="center"/>
          </w:tcPr>
          <w:p>
            <w:pPr>
              <w:pStyle w:val="TableContents"/>
              <w:bidi w:val="0"/>
              <w:spacing w:before="0" w:after="0"/>
              <w:ind w:left="0" w:right="0" w:hanging="0"/>
              <w:jc w:val="center"/>
              <w:rPr/>
            </w:pPr>
            <w:r>
              <w:rPr/>
              <w:t> </w:t>
            </w:r>
          </w:p>
        </w:tc>
      </w:tr>
      <w:tr>
        <w:trPr/>
        <w:tc>
          <w:tcPr>
            <w:tcW w:w="9531" w:type="dxa"/>
            <w:gridSpan w:val="1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Condensed Consolidated Statements of Operations</w:t>
            </w:r>
          </w:p>
        </w:tc>
        <w:tc>
          <w:tcPr>
            <w:tcW w:w="811" w:type="dxa"/>
            <w:tcBorders/>
            <w:vAlign w:val="center"/>
          </w:tcPr>
          <w:p>
            <w:pPr>
              <w:pStyle w:val="TableContents"/>
              <w:bidi w:val="0"/>
              <w:spacing w:before="0" w:after="0"/>
              <w:ind w:left="0" w:right="0" w:hanging="0"/>
              <w:jc w:val="center"/>
              <w:rPr/>
            </w:pPr>
            <w:r>
              <w:rPr/>
              <w:t> </w:t>
            </w:r>
          </w:p>
        </w:tc>
      </w:tr>
      <w:tr>
        <w:trPr/>
        <w:tc>
          <w:tcPr>
            <w:tcW w:w="9531" w:type="dxa"/>
            <w:gridSpan w:val="16"/>
            <w:tcBorders/>
            <w:vAlign w:val="center"/>
          </w:tcPr>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(amounts in thousands, except share amounts and per share data; unaudited)</w:t>
            </w:r>
          </w:p>
        </w:tc>
        <w:tc>
          <w:tcPr>
            <w:tcW w:w="811" w:type="dxa"/>
            <w:tcBorders/>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r>
      <w:tr>
        <w:trPr/>
        <w:tc>
          <w:tcPr>
            <w:tcW w:w="2551"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31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31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352" w:type="dxa"/>
            <w:gridSpan w:val="2"/>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4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6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352" w:type="dxa"/>
            <w:gridSpan w:val="2"/>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4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811" w:type="dxa"/>
            <w:tcBorders/>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Revenue</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60,957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54,548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120,158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104,672</w:t>
            </w:r>
          </w:p>
        </w:tc>
        <w:tc>
          <w:tcPr>
            <w:tcW w:w="811" w:type="dxa"/>
            <w:tcBorders/>
            <w:vAlign w:val="center"/>
          </w:tcPr>
          <w:p>
            <w:pPr>
              <w:pStyle w:val="TableContents"/>
              <w:bidi w:val="0"/>
              <w:spacing w:before="0" w:after="0"/>
              <w:ind w:left="0" w:right="0" w:hanging="0"/>
              <w:jc w:val="left"/>
              <w:rPr/>
            </w:pPr>
            <w:r>
              <w:rPr/>
              <w:t> </w:t>
            </w:r>
          </w:p>
        </w:tc>
      </w:tr>
      <w:tr>
        <w:trPr/>
        <w:tc>
          <w:tcPr>
            <w:tcW w:w="25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Cost of revenue:</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81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0" w:right="0" w:firstLine="500"/>
              <w:jc w:val="left"/>
              <w:rPr>
                <w:rFonts w:ascii="Times New Roman" w:hAnsi="Times New Roman"/>
                <w:sz w:val="20"/>
              </w:rPr>
            </w:pPr>
            <w:r>
              <w:rPr>
                <w:rFonts w:ascii="Times New Roman;serif" w:hAnsi="Times New Roman;serif"/>
                <w:b w:val="false"/>
                <w:sz w:val="20"/>
              </w:rPr>
              <w:t xml:space="preserve">Cost of revenue exclusive of amortization </w:t>
            </w:r>
            <w:r>
              <w:rPr>
                <w:rFonts w:ascii="Times New Roman;serif" w:hAnsi="Times New Roman;serif"/>
                <w:b w:val="false"/>
                <w:sz w:val="13"/>
              </w:rPr>
              <w:t>(1)</w:t>
            </w:r>
          </w:p>
        </w:tc>
        <w:tc>
          <w:tcPr>
            <w:tcW w:w="2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8,078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6,198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16,630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12,148</w:t>
            </w:r>
          </w:p>
        </w:tc>
        <w:tc>
          <w:tcPr>
            <w:tcW w:w="81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Amortization</w:t>
            </w:r>
          </w:p>
        </w:tc>
        <w:tc>
          <w:tcPr>
            <w:tcW w:w="246" w:type="dxa"/>
            <w:tcBorders/>
            <w:vAlign w:val="center"/>
          </w:tcPr>
          <w:p>
            <w:pPr>
              <w:pStyle w:val="TableContents"/>
              <w:bidi w:val="0"/>
              <w:spacing w:before="0" w:after="0"/>
              <w:ind w:left="5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10,958</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2551" w:type="dxa"/>
            <w:tcBorders/>
            <w:vAlign w:val="center"/>
          </w:tcPr>
          <w:p>
            <w:pPr>
              <w:pStyle w:val="TableContents"/>
              <w:bidi w:val="0"/>
              <w:spacing w:before="0" w:after="0"/>
              <w:ind w:left="0" w:right="0" w:firstLine="1200"/>
              <w:jc w:val="left"/>
              <w:rPr>
                <w:rFonts w:ascii="Times New Roman;serif" w:hAnsi="Times New Roman;serif"/>
                <w:b w:val="false"/>
                <w:sz w:val="20"/>
              </w:rPr>
            </w:pPr>
            <w:r>
              <w:rPr>
                <w:rFonts w:ascii="Times New Roman;serif" w:hAnsi="Times New Roman;serif"/>
                <w:b w:val="false"/>
                <w:sz w:val="20"/>
              </w:rPr>
              <w:t>Gross profit</w:t>
            </w:r>
          </w:p>
        </w:tc>
        <w:tc>
          <w:tcPr>
            <w:tcW w:w="246" w:type="dxa"/>
            <w:tcBorders/>
            <w:vAlign w:val="center"/>
          </w:tcPr>
          <w:p>
            <w:pPr>
              <w:pStyle w:val="TableContents"/>
              <w:bidi w:val="0"/>
              <w:spacing w:before="0" w:after="0"/>
              <w:ind w:left="1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49,789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42,770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97,084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81,566</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Operating expenses:</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81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0" w:right="0" w:firstLine="500"/>
              <w:jc w:val="left"/>
              <w:rPr>
                <w:rFonts w:ascii="Times New Roman" w:hAnsi="Times New Roman"/>
                <w:sz w:val="20"/>
              </w:rPr>
            </w:pPr>
            <w:r>
              <w:rPr>
                <w:rFonts w:ascii="Times New Roman;serif" w:hAnsi="Times New Roman;serif"/>
                <w:b w:val="false"/>
                <w:sz w:val="20"/>
              </w:rPr>
              <w:t xml:space="preserve">Sales and marketing </w:t>
            </w:r>
            <w:r>
              <w:rPr>
                <w:rFonts w:ascii="Times New Roman;serif" w:hAnsi="Times New Roman;serif"/>
                <w:b w:val="false"/>
                <w:sz w:val="13"/>
              </w:rPr>
              <w:t>(1)</w:t>
            </w:r>
          </w:p>
        </w:tc>
        <w:tc>
          <w:tcPr>
            <w:tcW w:w="2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24,702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23,585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48,125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44,878</w:t>
            </w:r>
          </w:p>
        </w:tc>
        <w:tc>
          <w:tcPr>
            <w:tcW w:w="81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0" w:right="0" w:firstLine="500"/>
              <w:jc w:val="left"/>
              <w:rPr>
                <w:rFonts w:ascii="Times New Roman" w:hAnsi="Times New Roman"/>
                <w:sz w:val="20"/>
              </w:rPr>
            </w:pPr>
            <w:r>
              <w:rPr>
                <w:rFonts w:ascii="Times New Roman;serif" w:hAnsi="Times New Roman;serif"/>
                <w:b w:val="false"/>
                <w:sz w:val="20"/>
              </w:rPr>
              <w:t xml:space="preserve">Product development </w:t>
            </w:r>
            <w:r>
              <w:rPr>
                <w:rFonts w:ascii="Times New Roman;serif" w:hAnsi="Times New Roman;serif"/>
                <w:b w:val="false"/>
                <w:sz w:val="13"/>
              </w:rPr>
              <w:t>(1)</w:t>
            </w:r>
          </w:p>
        </w:tc>
        <w:tc>
          <w:tcPr>
            <w:tcW w:w="2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10,229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8,706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20,113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15,556</w:t>
            </w:r>
          </w:p>
        </w:tc>
        <w:tc>
          <w:tcPr>
            <w:tcW w:w="81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0" w:right="0" w:firstLine="500"/>
              <w:jc w:val="left"/>
              <w:rPr>
                <w:rFonts w:ascii="Times New Roman" w:hAnsi="Times New Roman"/>
                <w:sz w:val="20"/>
              </w:rPr>
            </w:pPr>
            <w:r>
              <w:rPr>
                <w:rFonts w:ascii="Times New Roman;serif" w:hAnsi="Times New Roman;serif"/>
                <w:b w:val="false"/>
                <w:sz w:val="20"/>
              </w:rPr>
              <w:t xml:space="preserve">General and administrative </w:t>
            </w:r>
            <w:r>
              <w:rPr>
                <w:rFonts w:ascii="Times New Roman;serif" w:hAnsi="Times New Roman;serif"/>
                <w:b w:val="false"/>
                <w:sz w:val="13"/>
              </w:rPr>
              <w:t>(1)</w:t>
            </w:r>
          </w:p>
        </w:tc>
        <w:tc>
          <w:tcPr>
            <w:tcW w:w="2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13,670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10,056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27,749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21,091</w:t>
            </w:r>
          </w:p>
        </w:tc>
        <w:tc>
          <w:tcPr>
            <w:tcW w:w="81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Depreciation and amortization</w:t>
            </w:r>
          </w:p>
        </w:tc>
        <w:tc>
          <w:tcPr>
            <w:tcW w:w="2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9,688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10,194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19,278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20,068</w:t>
            </w:r>
          </w:p>
        </w:tc>
        <w:tc>
          <w:tcPr>
            <w:tcW w:w="81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Transaction, integration, and restructuring expenses</w:t>
            </w:r>
          </w:p>
        </w:tc>
        <w:tc>
          <w:tcPr>
            <w:tcW w:w="246" w:type="dxa"/>
            <w:tcBorders/>
            <w:vAlign w:val="center"/>
          </w:tcPr>
          <w:p>
            <w:pPr>
              <w:pStyle w:val="TableContents"/>
              <w:bidi w:val="0"/>
              <w:spacing w:before="0" w:after="0"/>
              <w:ind w:left="5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3,417</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551" w:type="dxa"/>
            <w:tcBorders/>
            <w:vAlign w:val="center"/>
          </w:tcPr>
          <w:p>
            <w:pPr>
              <w:pStyle w:val="TableContents"/>
              <w:bidi w:val="0"/>
              <w:spacing w:before="0" w:after="0"/>
              <w:ind w:left="0" w:right="0" w:firstLine="800"/>
              <w:jc w:val="left"/>
              <w:rPr>
                <w:rFonts w:ascii="Times New Roman;serif" w:hAnsi="Times New Roman;serif"/>
                <w:b w:val="false"/>
                <w:sz w:val="20"/>
              </w:rPr>
            </w:pPr>
            <w:r>
              <w:rPr>
                <w:rFonts w:ascii="Times New Roman;serif" w:hAnsi="Times New Roman;serif"/>
                <w:b w:val="false"/>
                <w:sz w:val="20"/>
              </w:rPr>
              <w:t>Total operating expenses</w:t>
            </w:r>
          </w:p>
        </w:tc>
        <w:tc>
          <w:tcPr>
            <w:tcW w:w="246" w:type="dxa"/>
            <w:tcBorders/>
            <w:vAlign w:val="center"/>
          </w:tcPr>
          <w:p>
            <w:pPr>
              <w:pStyle w:val="TableContents"/>
              <w:bidi w:val="0"/>
              <w:spacing w:before="0" w:after="0"/>
              <w:ind w:left="8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61,860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54,648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121,426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105,010</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2551" w:type="dxa"/>
            <w:tcBorders/>
            <w:vAlign w:val="center"/>
          </w:tcPr>
          <w:p>
            <w:pPr>
              <w:pStyle w:val="TableContents"/>
              <w:bidi w:val="0"/>
              <w:spacing w:before="0" w:after="0"/>
              <w:ind w:left="0" w:right="0" w:firstLine="1200"/>
              <w:jc w:val="left"/>
              <w:rPr>
                <w:rFonts w:ascii="Times New Roman;serif" w:hAnsi="Times New Roman;serif"/>
                <w:b w:val="false"/>
                <w:sz w:val="20"/>
              </w:rPr>
            </w:pPr>
            <w:r>
              <w:rPr>
                <w:rFonts w:ascii="Times New Roman;serif" w:hAnsi="Times New Roman;serif"/>
                <w:b w:val="false"/>
                <w:sz w:val="20"/>
              </w:rPr>
              <w:t>Loss from operations</w:t>
            </w:r>
          </w:p>
        </w:tc>
        <w:tc>
          <w:tcPr>
            <w:tcW w:w="246" w:type="dxa"/>
            <w:tcBorders/>
            <w:vAlign w:val="center"/>
          </w:tcPr>
          <w:p>
            <w:pPr>
              <w:pStyle w:val="TableContents"/>
              <w:bidi w:val="0"/>
              <w:spacing w:before="0" w:after="0"/>
              <w:ind w:left="1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(12,071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(11,878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(24,342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(23,444</w:t>
            </w:r>
          </w:p>
        </w:tc>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expense, net</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81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Interest (expense) income, net</w:t>
            </w:r>
          </w:p>
        </w:tc>
        <w:tc>
          <w:tcPr>
            <w:tcW w:w="2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(4,464</w:t>
            </w:r>
          </w:p>
        </w:tc>
        <w:tc>
          <w:tcPr>
            <w:tcW w:w="8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Other (expense) income, net</w:t>
            </w:r>
          </w:p>
        </w:tc>
        <w:tc>
          <w:tcPr>
            <w:tcW w:w="2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4,088</w:t>
            </w:r>
          </w:p>
        </w:tc>
        <w:tc>
          <w:tcPr>
            <w:tcW w:w="811" w:type="dxa"/>
            <w:tcBorders/>
            <w:vAlign w:val="center"/>
          </w:tcPr>
          <w:p>
            <w:pPr>
              <w:pStyle w:val="TableContents"/>
              <w:bidi w:val="0"/>
              <w:spacing w:before="0" w:after="0"/>
              <w:ind w:left="0" w:right="0" w:firstLine="400"/>
              <w:jc w:val="left"/>
              <w:rPr/>
            </w:pPr>
            <w:r>
              <w:rPr/>
              <w:t> </w:t>
            </w:r>
          </w:p>
        </w:tc>
      </w:tr>
      <w:tr>
        <w:trPr/>
        <w:tc>
          <w:tcPr>
            <w:tcW w:w="2551"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Total other (expense) income, net</w:t>
            </w:r>
          </w:p>
        </w:tc>
        <w:tc>
          <w:tcPr>
            <w:tcW w:w="246" w:type="dxa"/>
            <w:tcBorders/>
            <w:vAlign w:val="center"/>
          </w:tcPr>
          <w:p>
            <w:pPr>
              <w:pStyle w:val="TableContents"/>
              <w:bidi w:val="0"/>
              <w:spacing w:before="0" w:after="0"/>
              <w:ind w:left="50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1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(1,018</w:t>
            </w:r>
          </w:p>
        </w:tc>
        <w:tc>
          <w:tcPr>
            <w:tcW w:w="2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0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1,523</w:t>
            </w:r>
          </w:p>
        </w:tc>
        <w:tc>
          <w:tcPr>
            <w:tcW w:w="2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1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(5,429</w:t>
            </w:r>
          </w:p>
        </w:tc>
        <w:tc>
          <w:tcPr>
            <w:tcW w:w="2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0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w:t>
            </w:r>
          </w:p>
        </w:tc>
        <w:tc>
          <w:tcPr>
            <w:tcW w:w="8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Net loss before income taxes</w:t>
            </w:r>
          </w:p>
        </w:tc>
        <w:tc>
          <w:tcPr>
            <w:tcW w:w="2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(13,089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(10,355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(29,771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(23,820</w:t>
            </w:r>
          </w:p>
        </w:tc>
        <w:tc>
          <w:tcPr>
            <w:tcW w:w="8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vAlign w:val="center"/>
          </w:tcPr>
          <w:p>
            <w:pPr>
              <w:pStyle w:val="TableContents"/>
              <w:bidi w:val="0"/>
              <w:spacing w:before="0" w:after="0"/>
              <w:ind w:left="0" w:right="0" w:firstLine="800"/>
              <w:jc w:val="left"/>
              <w:rPr>
                <w:rFonts w:ascii="Times New Roman;serif" w:hAnsi="Times New Roman;serif"/>
                <w:b w:val="false"/>
                <w:sz w:val="20"/>
              </w:rPr>
            </w:pPr>
            <w:r>
              <w:rPr>
                <w:rFonts w:ascii="Times New Roman;serif" w:hAnsi="Times New Roman;serif"/>
                <w:b w:val="false"/>
                <w:sz w:val="20"/>
              </w:rPr>
              <w:t>Benefit from income taxes</w:t>
            </w:r>
          </w:p>
        </w:tc>
        <w:tc>
          <w:tcPr>
            <w:tcW w:w="246" w:type="dxa"/>
            <w:tcBorders/>
            <w:vAlign w:val="center"/>
          </w:tcPr>
          <w:p>
            <w:pPr>
              <w:pStyle w:val="TableContents"/>
              <w:bidi w:val="0"/>
              <w:spacing w:before="0" w:after="0"/>
              <w:ind w:left="8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2551" w:type="dxa"/>
            <w:tcBorders/>
            <w:vAlign w:val="center"/>
          </w:tcPr>
          <w:p>
            <w:pPr>
              <w:pStyle w:val="TableContents"/>
              <w:bidi w:val="0"/>
              <w:spacing w:before="0" w:after="0"/>
              <w:ind w:left="0" w:right="0" w:firstLine="1200"/>
              <w:jc w:val="left"/>
              <w:rPr>
                <w:rFonts w:ascii="Times New Roman;serif" w:hAnsi="Times New Roman;serif"/>
                <w:b w:val="false"/>
                <w:sz w:val="20"/>
              </w:rPr>
            </w:pPr>
            <w:r>
              <w:rPr>
                <w:rFonts w:ascii="Times New Roman;serif" w:hAnsi="Times New Roman;serif"/>
                <w:b w:val="false"/>
                <w:sz w:val="20"/>
              </w:rPr>
              <w:t>Net loss</w:t>
            </w:r>
          </w:p>
        </w:tc>
        <w:tc>
          <w:tcPr>
            <w:tcW w:w="246" w:type="dxa"/>
            <w:tcBorders/>
            <w:vAlign w:val="center"/>
          </w:tcPr>
          <w:p>
            <w:pPr>
              <w:pStyle w:val="TableContents"/>
              <w:bidi w:val="0"/>
              <w:spacing w:before="0" w:after="0"/>
              <w:ind w:left="1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(10,142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(27,577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(23,181</w:t>
            </w:r>
          </w:p>
        </w:tc>
        <w:tc>
          <w:tcPr>
            <w:tcW w:w="8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vAlign w:val="center"/>
          </w:tcPr>
          <w:p>
            <w:pPr>
              <w:pStyle w:val="TableContents"/>
              <w:bidi w:val="0"/>
              <w:spacing w:before="0" w:after="0"/>
              <w:ind w:left="0" w:right="0" w:firstLine="1200"/>
              <w:jc w:val="left"/>
              <w:rPr>
                <w:rFonts w:ascii="Times New Roman;serif" w:hAnsi="Times New Roman;serif"/>
                <w:b w:val="false"/>
                <w:sz w:val="20"/>
              </w:rPr>
            </w:pPr>
            <w:r>
              <w:rPr>
                <w:rFonts w:ascii="Times New Roman;serif" w:hAnsi="Times New Roman;serif"/>
                <w:b w:val="false"/>
                <w:sz w:val="20"/>
              </w:rPr>
              <w:t>Less: Net loss attributable to noncontrolling interests</w:t>
            </w:r>
          </w:p>
        </w:tc>
        <w:tc>
          <w:tcPr>
            <w:tcW w:w="246" w:type="dxa"/>
            <w:tcBorders/>
            <w:vAlign w:val="center"/>
          </w:tcPr>
          <w:p>
            <w:pPr>
              <w:pStyle w:val="TableContents"/>
              <w:bidi w:val="0"/>
              <w:spacing w:before="0" w:after="0"/>
              <w:ind w:left="1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(6,948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(9,114</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vAlign w:val="center"/>
          </w:tcPr>
          <w:p>
            <w:pPr>
              <w:pStyle w:val="TableContents"/>
              <w:bidi w:val="0"/>
              <w:spacing w:before="0" w:after="0"/>
              <w:ind w:left="0" w:right="0" w:firstLine="1200"/>
              <w:jc w:val="left"/>
              <w:rPr>
                <w:rFonts w:ascii="Times New Roman;serif" w:hAnsi="Times New Roman;serif"/>
                <w:b w:val="false"/>
                <w:sz w:val="20"/>
              </w:rPr>
            </w:pPr>
            <w:r>
              <w:rPr>
                <w:rFonts w:ascii="Times New Roman;serif" w:hAnsi="Times New Roman;serif"/>
                <w:b w:val="false"/>
                <w:sz w:val="20"/>
              </w:rPr>
              <w:t>Net loss attributable to Definitive Healthcare Corp.</w:t>
            </w:r>
          </w:p>
        </w:tc>
        <w:tc>
          <w:tcPr>
            <w:tcW w:w="246" w:type="dxa"/>
            <w:tcBorders/>
            <w:vAlign w:val="center"/>
          </w:tcPr>
          <w:p>
            <w:pPr>
              <w:pStyle w:val="TableContents"/>
              <w:bidi w:val="0"/>
              <w:spacing w:before="0" w:after="0"/>
              <w:ind w:left="12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(8,566</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(5,486</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(20,629</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(14,067</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vAlign w:val="center"/>
          </w:tcPr>
          <w:p>
            <w:pPr>
              <w:pStyle w:val="TableContents"/>
              <w:bidi w:val="0"/>
              <w:spacing w:before="0" w:after="0"/>
              <w:ind w:left="0" w:right="0" w:firstLine="1200"/>
              <w:jc w:val="left"/>
              <w:rPr>
                <w:rFonts w:ascii="Times New Roman;serif" w:hAnsi="Times New Roman;serif"/>
                <w:b w:val="false"/>
                <w:sz w:val="20"/>
              </w:rPr>
            </w:pPr>
            <w:r>
              <w:rPr>
                <w:rFonts w:ascii="Times New Roman;serif" w:hAnsi="Times New Roman;serif"/>
                <w:b w:val="false"/>
                <w:sz w:val="20"/>
              </w:rPr>
              <w:t>Net loss per share of Class A Common Stock:</w:t>
            </w:r>
          </w:p>
        </w:tc>
        <w:tc>
          <w:tcPr>
            <w:tcW w:w="246" w:type="dxa"/>
            <w:tcBorders/>
            <w:vAlign w:val="center"/>
          </w:tcPr>
          <w:p>
            <w:pPr>
              <w:pStyle w:val="TableContents"/>
              <w:bidi w:val="0"/>
              <w:spacing w:before="0" w:after="0"/>
              <w:ind w:left="1200" w:right="0" w:hanging="0"/>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551" w:type="dxa"/>
            <w:tcBorders/>
            <w:vAlign w:val="center"/>
          </w:tcPr>
          <w:p>
            <w:pPr>
              <w:pStyle w:val="TableContents"/>
              <w:bidi w:val="0"/>
              <w:spacing w:before="0" w:after="0"/>
              <w:ind w:left="0" w:right="0" w:firstLine="1200"/>
              <w:jc w:val="left"/>
              <w:rPr>
                <w:rFonts w:ascii="Times New Roman;serif" w:hAnsi="Times New Roman;serif"/>
                <w:b w:val="false"/>
                <w:sz w:val="20"/>
              </w:rPr>
            </w:pPr>
            <w:r>
              <w:rPr>
                <w:rFonts w:ascii="Times New Roman;serif" w:hAnsi="Times New Roman;serif"/>
                <w:b w:val="false"/>
                <w:sz w:val="20"/>
              </w:rPr>
              <w:t>Basic and diluted</w:t>
            </w:r>
          </w:p>
        </w:tc>
        <w:tc>
          <w:tcPr>
            <w:tcW w:w="246" w:type="dxa"/>
            <w:tcBorders/>
            <w:vAlign w:val="center"/>
          </w:tcPr>
          <w:p>
            <w:pPr>
              <w:pStyle w:val="TableContents"/>
              <w:bidi w:val="0"/>
              <w:spacing w:before="0" w:after="0"/>
              <w:ind w:left="12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(0.08</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(0.19</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(0.14</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Weighted average Class A Common Stock outstanding:</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811" w:type="dxa"/>
            <w:tcBorders/>
            <w:vAlign w:val="center"/>
          </w:tcPr>
          <w:p>
            <w:pPr>
              <w:pStyle w:val="TableContents"/>
              <w:bidi w:val="0"/>
              <w:spacing w:before="0" w:after="0"/>
              <w:ind w:left="0" w:right="0" w:firstLine="400"/>
              <w:jc w:val="left"/>
              <w:rPr/>
            </w:pPr>
            <w:r>
              <w:rPr/>
              <w:t> </w:t>
            </w:r>
          </w:p>
        </w:tc>
      </w:tr>
      <w:tr>
        <w:trPr/>
        <w:tc>
          <w:tcPr>
            <w:tcW w:w="2551" w:type="dxa"/>
            <w:tcBorders/>
            <w:vAlign w:val="center"/>
          </w:tcPr>
          <w:p>
            <w:pPr>
              <w:pStyle w:val="TableContents"/>
              <w:bidi w:val="0"/>
              <w:spacing w:before="0" w:after="0"/>
              <w:ind w:left="0" w:right="0" w:firstLine="800"/>
              <w:jc w:val="left"/>
              <w:rPr>
                <w:rFonts w:ascii="Times New Roman;serif" w:hAnsi="Times New Roman;serif"/>
                <w:b w:val="false"/>
                <w:sz w:val="20"/>
              </w:rPr>
            </w:pPr>
            <w:r>
              <w:rPr>
                <w:rFonts w:ascii="Times New Roman;serif" w:hAnsi="Times New Roman;serif"/>
                <w:b w:val="false"/>
                <w:sz w:val="20"/>
              </w:rPr>
              <w:t>Basic and diluted</w:t>
            </w:r>
          </w:p>
        </w:tc>
        <w:tc>
          <w:tcPr>
            <w:tcW w:w="246" w:type="dxa"/>
            <w:tcBorders/>
            <w:vAlign w:val="center"/>
          </w:tcPr>
          <w:p>
            <w:pPr>
              <w:pStyle w:val="TableContents"/>
              <w:bidi w:val="0"/>
              <w:spacing w:before="0" w:after="0"/>
              <w:ind w:left="8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111,768,782</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99,203,697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110,011,177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98,186,909</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firstLine="20"/>
              <w:jc w:val="left"/>
              <w:rPr/>
            </w:pPr>
            <w:r>
              <w:rPr/>
              <w:t> </w:t>
            </w:r>
          </w:p>
        </w:tc>
      </w:tr>
      <w:tr>
        <w:trPr/>
        <w:tc>
          <w:tcPr>
            <w:tcW w:w="2551" w:type="dxa"/>
            <w:tcBorders/>
            <w:vAlign w:val="center"/>
          </w:tcPr>
          <w:p>
            <w:pPr>
              <w:pStyle w:val="TableContents"/>
              <w:bidi w:val="0"/>
              <w:spacing w:before="0" w:after="0"/>
              <w:ind w:left="0" w:right="0" w:firstLine="20"/>
              <w:jc w:val="left"/>
              <w:rPr/>
            </w:pPr>
            <w:r>
              <w:rPr/>
              <w:t> </w:t>
            </w:r>
          </w:p>
        </w:tc>
        <w:tc>
          <w:tcPr>
            <w:tcW w:w="246" w:type="dxa"/>
            <w:tcBorders/>
            <w:vAlign w:val="center"/>
          </w:tcPr>
          <w:p>
            <w:pPr>
              <w:pStyle w:val="TableContents"/>
              <w:bidi w:val="0"/>
              <w:spacing w:before="0" w:after="0"/>
              <w:ind w:left="20" w:right="0" w:hanging="0"/>
              <w:jc w:val="left"/>
              <w:rPr/>
            </w:pPr>
            <w:r>
              <w:rPr/>
              <w:t> </w:t>
            </w:r>
          </w:p>
        </w:tc>
        <w:tc>
          <w:tcPr>
            <w:tcW w:w="1352" w:type="dxa"/>
            <w:gridSpan w:val="2"/>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47" w:type="dxa"/>
            <w:gridSpan w:val="2"/>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352" w:type="dxa"/>
            <w:gridSpan w:val="2"/>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47" w:type="dxa"/>
            <w:gridSpan w:val="2"/>
            <w:tcBorders/>
            <w:vAlign w:val="center"/>
          </w:tcPr>
          <w:p>
            <w:pPr>
              <w:pStyle w:val="TableContents"/>
              <w:bidi w:val="0"/>
              <w:spacing w:before="0" w:after="0"/>
              <w:ind w:left="0" w:right="0" w:hanging="0"/>
              <w:jc w:val="center"/>
              <w:rPr/>
            </w:pPr>
            <w:r>
              <w:rPr/>
              <w:t> </w:t>
            </w:r>
          </w:p>
        </w:tc>
        <w:tc>
          <w:tcPr>
            <w:tcW w:w="811" w:type="dxa"/>
            <w:tcBorders/>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r>
      <w:tr>
        <w:trPr/>
        <w:tc>
          <w:tcPr>
            <w:tcW w:w="25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w:t>
            </w:r>
            <w:r>
              <w:rPr>
                <w:rFonts w:ascii="Times New Roman;serif" w:hAnsi="Times New Roman;serif"/>
                <w:b w:val="false"/>
                <w:sz w:val="20"/>
              </w:rPr>
              <w:t>Amounts include equity-based compensation expense as follows:</w:t>
            </w:r>
          </w:p>
        </w:tc>
        <w:tc>
          <w:tcPr>
            <w:tcW w:w="2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r>
      <w:tr>
        <w:trPr/>
        <w:tc>
          <w:tcPr>
            <w:tcW w:w="2551"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1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31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center"/>
              <w:rPr/>
            </w:pPr>
            <w:r>
              <w:rPr/>
              <w:t> </w:t>
            </w:r>
          </w:p>
        </w:tc>
      </w:tr>
      <w:tr>
        <w:trPr/>
        <w:tc>
          <w:tcPr>
            <w:tcW w:w="2551" w:type="dxa"/>
            <w:tcBorders/>
            <w:vAlign w:val="center"/>
          </w:tcPr>
          <w:p>
            <w:pPr>
              <w:pStyle w:val="TableContents"/>
              <w:bidi w:val="0"/>
              <w:spacing w:before="0" w:after="0"/>
              <w:ind w:left="0" w:right="0" w:firstLine="1200"/>
              <w:jc w:val="left"/>
              <w:rPr>
                <w:rFonts w:ascii="Times New Roman;serif" w:hAnsi="Times New Roman;serif"/>
                <w:b w:val="false"/>
                <w:sz w:val="20"/>
              </w:rPr>
            </w:pPr>
            <w:r>
              <w:rPr>
                <w:rFonts w:ascii="Times New Roman;serif" w:hAnsi="Times New Roman;serif"/>
                <w:b w:val="false"/>
                <w:sz w:val="20"/>
              </w:rPr>
              <w:t>Cost of revenue</w:t>
            </w:r>
          </w:p>
        </w:tc>
        <w:tc>
          <w:tcPr>
            <w:tcW w:w="246" w:type="dxa"/>
            <w:tcBorders/>
            <w:vAlign w:val="center"/>
          </w:tcPr>
          <w:p>
            <w:pPr>
              <w:pStyle w:val="TableContents"/>
              <w:bidi w:val="0"/>
              <w:spacing w:before="0" w:after="0"/>
              <w:ind w:left="12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w:t>
            </w:r>
          </w:p>
        </w:tc>
        <w:tc>
          <w:tcPr>
            <w:tcW w:w="81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0" w:right="0" w:firstLine="1200"/>
              <w:jc w:val="left"/>
              <w:rPr>
                <w:rFonts w:ascii="Times New Roman;serif" w:hAnsi="Times New Roman;serif"/>
                <w:b w:val="false"/>
                <w:sz w:val="20"/>
              </w:rPr>
            </w:pPr>
            <w:r>
              <w:rPr>
                <w:rFonts w:ascii="Times New Roman;serif" w:hAnsi="Times New Roman;serif"/>
                <w:b w:val="false"/>
                <w:sz w:val="20"/>
              </w:rPr>
              <w:t>Sales and marketing</w:t>
            </w:r>
          </w:p>
        </w:tc>
        <w:tc>
          <w:tcPr>
            <w:tcW w:w="246" w:type="dxa"/>
            <w:tcBorders/>
            <w:vAlign w:val="center"/>
          </w:tcPr>
          <w:p>
            <w:pPr>
              <w:pStyle w:val="TableContents"/>
              <w:bidi w:val="0"/>
              <w:spacing w:before="0" w:after="0"/>
              <w:ind w:left="1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5,056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5,569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8,802</w:t>
            </w:r>
          </w:p>
        </w:tc>
        <w:tc>
          <w:tcPr>
            <w:tcW w:w="81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0" w:right="0" w:firstLine="1200"/>
              <w:jc w:val="left"/>
              <w:rPr>
                <w:rFonts w:ascii="Times New Roman;serif" w:hAnsi="Times New Roman;serif"/>
                <w:b w:val="false"/>
                <w:sz w:val="20"/>
              </w:rPr>
            </w:pPr>
            <w:r>
              <w:rPr>
                <w:rFonts w:ascii="Times New Roman;serif" w:hAnsi="Times New Roman;serif"/>
                <w:b w:val="false"/>
                <w:sz w:val="20"/>
              </w:rPr>
              <w:t>Product development</w:t>
            </w:r>
          </w:p>
        </w:tc>
        <w:tc>
          <w:tcPr>
            <w:tcW w:w="246" w:type="dxa"/>
            <w:tcBorders/>
            <w:vAlign w:val="center"/>
          </w:tcPr>
          <w:p>
            <w:pPr>
              <w:pStyle w:val="TableContents"/>
              <w:bidi w:val="0"/>
              <w:spacing w:before="0" w:after="0"/>
              <w:ind w:left="1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3,130</w:t>
            </w:r>
          </w:p>
        </w:tc>
        <w:tc>
          <w:tcPr>
            <w:tcW w:w="81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0" w:right="0" w:firstLine="1200"/>
              <w:jc w:val="left"/>
              <w:rPr>
                <w:rFonts w:ascii="Times New Roman;serif" w:hAnsi="Times New Roman;serif"/>
                <w:b w:val="false"/>
                <w:sz w:val="20"/>
              </w:rPr>
            </w:pPr>
            <w:r>
              <w:rPr>
                <w:rFonts w:ascii="Times New Roman;serif" w:hAnsi="Times New Roman;serif"/>
                <w:b w:val="false"/>
                <w:sz w:val="20"/>
              </w:rPr>
              <w:t>General and administrative</w:t>
            </w:r>
          </w:p>
        </w:tc>
        <w:tc>
          <w:tcPr>
            <w:tcW w:w="246" w:type="dxa"/>
            <w:tcBorders/>
            <w:vAlign w:val="center"/>
          </w:tcPr>
          <w:p>
            <w:pPr>
              <w:pStyle w:val="TableContents"/>
              <w:bidi w:val="0"/>
              <w:spacing w:before="0" w:after="0"/>
              <w:ind w:left="1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5,828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11,038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3,483</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0" w:right="0" w:firstLine="1200"/>
              <w:jc w:val="left"/>
              <w:rPr>
                <w:rFonts w:ascii="Times New Roman;serif" w:hAnsi="Times New Roman;serif"/>
                <w:b w:val="false"/>
                <w:sz w:val="20"/>
              </w:rPr>
            </w:pPr>
            <w:r>
              <w:rPr>
                <w:rFonts w:ascii="Times New Roman;serif" w:hAnsi="Times New Roman;serif"/>
                <w:b w:val="false"/>
                <w:sz w:val="20"/>
              </w:rPr>
              <w:t>Total equity-based compensation expense</w:t>
            </w:r>
          </w:p>
        </w:tc>
        <w:tc>
          <w:tcPr>
            <w:tcW w:w="246" w:type="dxa"/>
            <w:tcBorders/>
            <w:vAlign w:val="center"/>
          </w:tcPr>
          <w:p>
            <w:pPr>
              <w:pStyle w:val="TableContents"/>
              <w:bidi w:val="0"/>
              <w:spacing w:before="0" w:after="0"/>
              <w:ind w:left="12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12,363</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9,005</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23,491</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15,877</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center"/>
        <w:rPr/>
      </w:pPr>
      <w:r>
        <w:rPr/>
        <w:t> </w:t>
      </w:r>
    </w:p>
    <w:tbl>
      <w:tblPr>
        <w:tblW w:w="10205" w:type="dxa"/>
        <w:jc w:val="left"/>
        <w:tblInd w:w="0" w:type="dxa"/>
        <w:tblLayout w:type="fixed"/>
        <w:tblCellMar>
          <w:top w:w="28" w:type="dxa"/>
          <w:left w:w="28" w:type="dxa"/>
          <w:bottom w:w="28" w:type="dxa"/>
          <w:right w:w="28" w:type="dxa"/>
        </w:tblCellMar>
      </w:tblPr>
      <w:tblGrid>
        <w:gridCol w:w="3033"/>
        <w:gridCol w:w="146"/>
        <w:gridCol w:w="198"/>
        <w:gridCol w:w="698"/>
        <w:gridCol w:w="268"/>
        <w:gridCol w:w="147"/>
        <w:gridCol w:w="208"/>
        <w:gridCol w:w="735"/>
        <w:gridCol w:w="866"/>
        <w:gridCol w:w="246"/>
        <w:gridCol w:w="196"/>
        <w:gridCol w:w="751"/>
        <w:gridCol w:w="266"/>
        <w:gridCol w:w="246"/>
        <w:gridCol w:w="203"/>
        <w:gridCol w:w="782"/>
        <w:gridCol w:w="1216"/>
      </w:tblGrid>
      <w:tr>
        <w:trPr/>
        <w:tc>
          <w:tcPr>
            <w:tcW w:w="3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8989" w:type="dxa"/>
            <w:gridSpan w:val="1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Definitive Healthcare Corp.</w:t>
            </w:r>
          </w:p>
        </w:tc>
        <w:tc>
          <w:tcPr>
            <w:tcW w:w="1216" w:type="dxa"/>
            <w:tcBorders/>
            <w:vAlign w:val="center"/>
          </w:tcPr>
          <w:p>
            <w:pPr>
              <w:pStyle w:val="TableContents"/>
              <w:bidi w:val="0"/>
              <w:spacing w:before="0" w:after="0"/>
              <w:ind w:left="0" w:right="0" w:hanging="0"/>
              <w:jc w:val="center"/>
              <w:rPr/>
            </w:pPr>
            <w:r>
              <w:rPr/>
              <w:t> </w:t>
            </w:r>
          </w:p>
        </w:tc>
      </w:tr>
      <w:tr>
        <w:trPr/>
        <w:tc>
          <w:tcPr>
            <w:tcW w:w="8989" w:type="dxa"/>
            <w:gridSpan w:val="1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Condensed Consolidated Statements of Cash Flows</w:t>
            </w:r>
          </w:p>
        </w:tc>
        <w:tc>
          <w:tcPr>
            <w:tcW w:w="1216" w:type="dxa"/>
            <w:tcBorders/>
            <w:vAlign w:val="center"/>
          </w:tcPr>
          <w:p>
            <w:pPr>
              <w:pStyle w:val="TableContents"/>
              <w:bidi w:val="0"/>
              <w:spacing w:before="0" w:after="0"/>
              <w:ind w:left="0" w:right="0" w:hanging="0"/>
              <w:jc w:val="center"/>
              <w:rPr/>
            </w:pPr>
            <w:r>
              <w:rPr/>
              <w:t> </w:t>
            </w:r>
          </w:p>
        </w:tc>
      </w:tr>
      <w:tr>
        <w:trPr/>
        <w:tc>
          <w:tcPr>
            <w:tcW w:w="8989" w:type="dxa"/>
            <w:gridSpan w:val="16"/>
            <w:tcBorders/>
            <w:vAlign w:val="center"/>
          </w:tcPr>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(amounts in thousands; unaudited)</w:t>
            </w:r>
          </w:p>
        </w:tc>
        <w:tc>
          <w:tcPr>
            <w:tcW w:w="1216" w:type="dxa"/>
            <w:tcBorders/>
            <w:vAlign w:val="center"/>
          </w:tcPr>
          <w:p>
            <w:pPr>
              <w:pStyle w:val="TableContents"/>
              <w:bidi w:val="0"/>
              <w:spacing w:before="0" w:after="0"/>
              <w:ind w:left="0" w:right="0" w:hanging="0"/>
              <w:jc w:val="center"/>
              <w:rPr/>
            </w:pPr>
            <w:r>
              <w:rPr/>
              <w:t> </w:t>
            </w:r>
          </w:p>
        </w:tc>
      </w:tr>
      <w:tr>
        <w:trPr/>
        <w:tc>
          <w:tcPr>
            <w:tcW w:w="303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96" w:type="dxa"/>
            <w:gridSpan w:val="2"/>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943" w:type="dxa"/>
            <w:gridSpan w:val="2"/>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985" w:type="dxa"/>
            <w:gridSpan w:val="2"/>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left"/>
              <w:rPr/>
            </w:pPr>
            <w:r>
              <w:rPr/>
              <w:t> </w:t>
            </w:r>
          </w:p>
        </w:tc>
      </w:tr>
      <w:tr>
        <w:trPr/>
        <w:tc>
          <w:tcPr>
            <w:tcW w:w="303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244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3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96" w:type="dxa"/>
            <w:gridSpan w:val="2"/>
            <w:tcBorders/>
            <w:vAlign w:val="center"/>
          </w:tcPr>
          <w:p>
            <w:pPr>
              <w:pStyle w:val="TableContents"/>
              <w:bidi w:val="0"/>
              <w:spacing w:before="0" w:after="0"/>
              <w:ind w:left="0" w:right="0" w:hanging="0"/>
              <w:jc w:val="center"/>
              <w:rPr/>
            </w:pPr>
            <w:r>
              <w:rPr/>
              <w:t> </w:t>
            </w:r>
          </w:p>
        </w:tc>
        <w:tc>
          <w:tcPr>
            <w:tcW w:w="268" w:type="dxa"/>
            <w:tcBorders/>
            <w:vAlign w:val="center"/>
          </w:tcPr>
          <w:p>
            <w:pPr>
              <w:pStyle w:val="TableContents"/>
              <w:bidi w:val="0"/>
              <w:spacing w:before="0" w:after="0"/>
              <w:ind w:left="0" w:right="0" w:hanging="0"/>
              <w:jc w:val="center"/>
              <w:rPr/>
            </w:pPr>
            <w:r>
              <w:rPr/>
              <w:t> </w:t>
            </w:r>
          </w:p>
        </w:tc>
        <w:tc>
          <w:tcPr>
            <w:tcW w:w="147" w:type="dxa"/>
            <w:tcBorders/>
            <w:vAlign w:val="center"/>
          </w:tcPr>
          <w:p>
            <w:pPr>
              <w:pStyle w:val="TableContents"/>
              <w:bidi w:val="0"/>
              <w:spacing w:before="0" w:after="0"/>
              <w:ind w:left="0" w:right="0" w:hanging="0"/>
              <w:jc w:val="center"/>
              <w:rPr/>
            </w:pPr>
            <w:r>
              <w:rPr/>
              <w:t> </w:t>
            </w:r>
          </w:p>
        </w:tc>
        <w:tc>
          <w:tcPr>
            <w:tcW w:w="943"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86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98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1216" w:type="dxa"/>
            <w:tcBorders/>
            <w:vAlign w:val="center"/>
          </w:tcPr>
          <w:p>
            <w:pPr>
              <w:pStyle w:val="TableContents"/>
              <w:bidi w:val="0"/>
              <w:spacing w:before="0" w:after="0"/>
              <w:ind w:left="0" w:right="0" w:hanging="0"/>
              <w:jc w:val="center"/>
              <w:rPr/>
            </w:pPr>
            <w:r>
              <w:rPr/>
              <w:t> </w:t>
            </w:r>
          </w:p>
        </w:tc>
      </w:tr>
      <w:tr>
        <w:trPr/>
        <w:tc>
          <w:tcPr>
            <w:tcW w:w="303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 w:type="dxa"/>
            <w:tcBorders/>
            <w:vAlign w:val="center"/>
          </w:tcPr>
          <w:p>
            <w:pPr>
              <w:pStyle w:val="TableContents"/>
              <w:bidi w:val="0"/>
              <w:spacing w:before="0" w:after="0"/>
              <w:ind w:left="0" w:right="0" w:hanging="0"/>
              <w:jc w:val="center"/>
              <w:rPr/>
            </w:pPr>
            <w:r>
              <w:rPr/>
              <w:t> </w:t>
            </w:r>
          </w:p>
        </w:tc>
        <w:tc>
          <w:tcPr>
            <w:tcW w:w="94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center"/>
              <w:rPr/>
            </w:pPr>
            <w:r>
              <w:rPr/>
              <w:t> </w:t>
            </w:r>
          </w:p>
        </w:tc>
        <w:tc>
          <w:tcPr>
            <w:tcW w:w="246" w:type="dxa"/>
            <w:tcBorders/>
            <w:vAlign w:val="center"/>
          </w:tcPr>
          <w:p>
            <w:pPr>
              <w:pStyle w:val="TableContents"/>
              <w:bidi w:val="0"/>
              <w:spacing w:before="0" w:after="0"/>
              <w:ind w:left="10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9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33" w:type="dxa"/>
            <w:tcBorders/>
            <w:vAlign w:val="center"/>
          </w:tcPr>
          <w:p>
            <w:pPr>
              <w:pStyle w:val="TableContents"/>
              <w:bidi w:val="0"/>
              <w:spacing w:before="0" w:after="0"/>
              <w:ind w:left="0" w:right="0" w:firstLine="100"/>
              <w:jc w:val="left"/>
              <w:rPr>
                <w:rFonts w:ascii="Times New Roman;serif" w:hAnsi="Times New Roman;serif"/>
                <w:b/>
                <w:sz w:val="17"/>
              </w:rPr>
            </w:pPr>
            <w:r>
              <w:rPr>
                <w:rFonts w:ascii="Times New Roman;serif" w:hAnsi="Times New Roman;serif"/>
                <w:b/>
                <w:sz w:val="17"/>
              </w:rPr>
              <w:t>Cash flows provided by (used in) operating activities:</w:t>
            </w:r>
          </w:p>
        </w:tc>
        <w:tc>
          <w:tcPr>
            <w:tcW w:w="146" w:type="dxa"/>
            <w:tcBorders/>
            <w:vAlign w:val="center"/>
          </w:tcPr>
          <w:p>
            <w:pPr>
              <w:pStyle w:val="TableContents"/>
              <w:bidi w:val="0"/>
              <w:spacing w:before="0" w:after="0"/>
              <w:ind w:left="100" w:right="0" w:hanging="0"/>
              <w:jc w:val="left"/>
              <w:rPr/>
            </w:pPr>
            <w:r>
              <w:rPr/>
              <w:t> </w:t>
            </w:r>
          </w:p>
        </w:tc>
        <w:tc>
          <w:tcPr>
            <w:tcW w:w="896" w:type="dxa"/>
            <w:gridSpan w:val="2"/>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firstLine="100"/>
              <w:jc w:val="right"/>
              <w:rPr/>
            </w:pPr>
            <w:r>
              <w:rPr/>
              <w:t> </w:t>
            </w:r>
          </w:p>
        </w:tc>
        <w:tc>
          <w:tcPr>
            <w:tcW w:w="147" w:type="dxa"/>
            <w:tcBorders/>
            <w:vAlign w:val="center"/>
          </w:tcPr>
          <w:p>
            <w:pPr>
              <w:pStyle w:val="TableContents"/>
              <w:bidi w:val="0"/>
              <w:spacing w:before="0" w:after="0"/>
              <w:ind w:left="100" w:right="0" w:hanging="0"/>
              <w:jc w:val="left"/>
              <w:rPr/>
            </w:pPr>
            <w:r>
              <w:rPr/>
              <w:t> </w:t>
            </w:r>
          </w:p>
        </w:tc>
        <w:tc>
          <w:tcPr>
            <w:tcW w:w="943" w:type="dxa"/>
            <w:gridSpan w:val="2"/>
            <w:tcBorders/>
            <w:vAlign w:val="center"/>
          </w:tcPr>
          <w:p>
            <w:pPr>
              <w:pStyle w:val="TableContents"/>
              <w:bidi w:val="0"/>
              <w:spacing w:before="0" w:after="0"/>
              <w:ind w:left="0" w:right="0" w:hanging="0"/>
              <w:jc w:val="right"/>
              <w:rPr/>
            </w:pPr>
            <w:r>
              <w:rPr/>
              <w:t> </w:t>
            </w:r>
          </w:p>
        </w:tc>
        <w:tc>
          <w:tcPr>
            <w:tcW w:w="86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right"/>
              <w:rPr/>
            </w:pPr>
            <w:r>
              <w:rPr/>
              <w:t> </w:t>
            </w:r>
          </w:p>
        </w:tc>
        <w:tc>
          <w:tcPr>
            <w:tcW w:w="985" w:type="dxa"/>
            <w:gridSpan w:val="2"/>
            <w:tcBorders/>
            <w:vAlign w:val="center"/>
          </w:tcPr>
          <w:p>
            <w:pPr>
              <w:pStyle w:val="TableContents"/>
              <w:bidi w:val="0"/>
              <w:spacing w:before="0" w:after="0"/>
              <w:ind w:left="100" w:right="0" w:hanging="0"/>
              <w:jc w:val="left"/>
              <w:rPr/>
            </w:pPr>
            <w:r>
              <w:rPr/>
              <w:t> </w:t>
            </w:r>
          </w:p>
        </w:tc>
        <w:tc>
          <w:tcPr>
            <w:tcW w:w="1216" w:type="dxa"/>
            <w:tcBorders/>
            <w:vAlign w:val="center"/>
          </w:tcPr>
          <w:p>
            <w:pPr>
              <w:pStyle w:val="TableContents"/>
              <w:bidi w:val="0"/>
              <w:spacing w:before="0" w:after="0"/>
              <w:ind w:left="0" w:right="0" w:firstLine="400"/>
              <w:jc w:val="left"/>
              <w:rPr/>
            </w:pPr>
            <w:r>
              <w:rPr/>
              <w:t> </w:t>
            </w:r>
          </w:p>
        </w:tc>
      </w:tr>
      <w:tr>
        <w:trPr/>
        <w:tc>
          <w:tcPr>
            <w:tcW w:w="3033"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Net loss</w:t>
            </w:r>
          </w:p>
        </w:tc>
        <w:tc>
          <w:tcPr>
            <w:tcW w:w="146" w:type="dxa"/>
            <w:tcBorders/>
            <w:vAlign w:val="center"/>
          </w:tcPr>
          <w:p>
            <w:pPr>
              <w:pStyle w:val="TableContents"/>
              <w:bidi w:val="0"/>
              <w:spacing w:before="0" w:after="0"/>
              <w:ind w:left="500" w:right="0" w:hanging="0"/>
              <w:jc w:val="left"/>
              <w:rPr/>
            </w:pPr>
            <w:r>
              <w:rPr/>
              <w:t> </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(11,605</w:t>
            </w:r>
          </w:p>
        </w:tc>
        <w:tc>
          <w:tcPr>
            <w:tcW w:w="268"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(10,142</w:t>
            </w:r>
          </w:p>
        </w:tc>
        <w:tc>
          <w:tcPr>
            <w:tcW w:w="866" w:type="dxa"/>
            <w:tcBorders/>
            <w:vAlign w:val="center"/>
          </w:tcPr>
          <w:p>
            <w:pPr>
              <w:pStyle w:val="TableContents"/>
              <w:bidi w:val="0"/>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40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(27,577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(23,181</w:t>
            </w:r>
          </w:p>
        </w:tc>
        <w:tc>
          <w:tcPr>
            <w:tcW w:w="121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3033"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Adjustments to reconcile net loss to net cash provided by operating activities:</w:t>
            </w:r>
          </w:p>
        </w:tc>
        <w:tc>
          <w:tcPr>
            <w:tcW w:w="146" w:type="dxa"/>
            <w:tcBorders/>
            <w:vAlign w:val="center"/>
          </w:tcPr>
          <w:p>
            <w:pPr>
              <w:pStyle w:val="TableContents"/>
              <w:bidi w:val="0"/>
              <w:spacing w:before="0" w:after="0"/>
              <w:ind w:left="100" w:right="0" w:hanging="0"/>
              <w:jc w:val="left"/>
              <w:rPr/>
            </w:pPr>
            <w:r>
              <w:rPr/>
              <w:t> </w:t>
            </w:r>
          </w:p>
        </w:tc>
        <w:tc>
          <w:tcPr>
            <w:tcW w:w="896" w:type="dxa"/>
            <w:gridSpan w:val="2"/>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firstLine="100"/>
              <w:jc w:val="right"/>
              <w:rPr/>
            </w:pPr>
            <w:r>
              <w:rPr/>
              <w:t> </w:t>
            </w:r>
          </w:p>
        </w:tc>
        <w:tc>
          <w:tcPr>
            <w:tcW w:w="147" w:type="dxa"/>
            <w:tcBorders/>
            <w:vAlign w:val="center"/>
          </w:tcPr>
          <w:p>
            <w:pPr>
              <w:pStyle w:val="TableContents"/>
              <w:bidi w:val="0"/>
              <w:spacing w:before="0" w:after="0"/>
              <w:ind w:left="100" w:right="0" w:hanging="0"/>
              <w:jc w:val="left"/>
              <w:rPr/>
            </w:pPr>
            <w:r>
              <w:rPr/>
              <w:t> </w:t>
            </w:r>
          </w:p>
        </w:tc>
        <w:tc>
          <w:tcPr>
            <w:tcW w:w="943" w:type="dxa"/>
            <w:gridSpan w:val="2"/>
            <w:tcBorders/>
            <w:vAlign w:val="center"/>
          </w:tcPr>
          <w:p>
            <w:pPr>
              <w:pStyle w:val="TableContents"/>
              <w:bidi w:val="0"/>
              <w:spacing w:before="0" w:after="0"/>
              <w:ind w:left="0" w:right="0" w:hanging="0"/>
              <w:jc w:val="right"/>
              <w:rPr/>
            </w:pPr>
            <w:r>
              <w:rPr/>
              <w:t> </w:t>
            </w:r>
          </w:p>
        </w:tc>
        <w:tc>
          <w:tcPr>
            <w:tcW w:w="86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right"/>
              <w:rPr/>
            </w:pPr>
            <w:r>
              <w:rPr/>
              <w:t> </w:t>
            </w:r>
          </w:p>
        </w:tc>
        <w:tc>
          <w:tcPr>
            <w:tcW w:w="985" w:type="dxa"/>
            <w:gridSpan w:val="2"/>
            <w:tcBorders/>
            <w:vAlign w:val="center"/>
          </w:tcPr>
          <w:p>
            <w:pPr>
              <w:pStyle w:val="TableContents"/>
              <w:bidi w:val="0"/>
              <w:spacing w:before="0" w:after="0"/>
              <w:ind w:left="100" w:right="0" w:hanging="0"/>
              <w:jc w:val="left"/>
              <w:rPr/>
            </w:pPr>
            <w:r>
              <w:rPr/>
              <w:t> </w:t>
            </w:r>
          </w:p>
        </w:tc>
        <w:tc>
          <w:tcPr>
            <w:tcW w:w="1216" w:type="dxa"/>
            <w:tcBorders/>
            <w:vAlign w:val="center"/>
          </w:tcPr>
          <w:p>
            <w:pPr>
              <w:pStyle w:val="TableContents"/>
              <w:bidi w:val="0"/>
              <w:spacing w:before="0" w:after="0"/>
              <w:ind w:left="0" w:right="0" w:firstLine="600"/>
              <w:jc w:val="left"/>
              <w:rPr/>
            </w:pPr>
            <w:r>
              <w:rPr/>
              <w:t> </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Depreciation and amortization</w:t>
            </w:r>
          </w:p>
        </w:tc>
        <w:tc>
          <w:tcPr>
            <w:tcW w:w="146" w:type="dxa"/>
            <w:tcBorders/>
            <w:vAlign w:val="center"/>
          </w:tcPr>
          <w:p>
            <w:pPr>
              <w:pStyle w:val="TableContents"/>
              <w:bidi w:val="0"/>
              <w:spacing w:before="0" w:after="0"/>
              <w:ind w:left="80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446</w:t>
            </w:r>
          </w:p>
        </w:tc>
        <w:tc>
          <w:tcPr>
            <w:tcW w:w="268" w:type="dxa"/>
            <w:tcBorders/>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727</w:t>
            </w:r>
          </w:p>
        </w:tc>
        <w:tc>
          <w:tcPr>
            <w:tcW w:w="866" w:type="dxa"/>
            <w:tcBorders/>
            <w:vAlign w:val="center"/>
          </w:tcPr>
          <w:p>
            <w:pPr>
              <w:pStyle w:val="TableContents"/>
              <w:bidi w:val="0"/>
              <w:spacing w:before="0" w:after="0"/>
              <w:ind w:left="0" w:right="0" w:firstLine="700"/>
              <w:jc w:val="left"/>
              <w:rPr/>
            </w:pPr>
            <w:r>
              <w:rPr/>
              <w:t> </w:t>
            </w:r>
          </w:p>
        </w:tc>
        <w:tc>
          <w:tcPr>
            <w:tcW w:w="246" w:type="dxa"/>
            <w:tcBorders/>
            <w:vAlign w:val="center"/>
          </w:tcPr>
          <w:p>
            <w:pPr>
              <w:pStyle w:val="TableContents"/>
              <w:bidi w:val="0"/>
              <w:spacing w:before="0" w:after="0"/>
              <w:ind w:left="7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959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1,252</w:t>
            </w:r>
          </w:p>
        </w:tc>
        <w:tc>
          <w:tcPr>
            <w:tcW w:w="1216" w:type="dxa"/>
            <w:tcBorders/>
            <w:vAlign w:val="center"/>
          </w:tcPr>
          <w:p>
            <w:pPr>
              <w:pStyle w:val="TableContents"/>
              <w:bidi w:val="0"/>
              <w:spacing w:before="0" w:after="0"/>
              <w:ind w:left="0" w:right="0" w:firstLine="600"/>
              <w:jc w:val="left"/>
              <w:rPr/>
            </w:pPr>
            <w:r>
              <w:rPr/>
              <w:t> </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Amortization of intangible assets</w:t>
            </w:r>
          </w:p>
        </w:tc>
        <w:tc>
          <w:tcPr>
            <w:tcW w:w="146" w:type="dxa"/>
            <w:tcBorders/>
            <w:vAlign w:val="center"/>
          </w:tcPr>
          <w:p>
            <w:pPr>
              <w:pStyle w:val="TableContents"/>
              <w:bidi w:val="0"/>
              <w:spacing w:before="0" w:after="0"/>
              <w:ind w:left="80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12,332</w:t>
            </w:r>
          </w:p>
        </w:tc>
        <w:tc>
          <w:tcPr>
            <w:tcW w:w="268" w:type="dxa"/>
            <w:tcBorders/>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15,047</w:t>
            </w:r>
          </w:p>
        </w:tc>
        <w:tc>
          <w:tcPr>
            <w:tcW w:w="866" w:type="dxa"/>
            <w:tcBorders/>
            <w:vAlign w:val="center"/>
          </w:tcPr>
          <w:p>
            <w:pPr>
              <w:pStyle w:val="TableContents"/>
              <w:bidi w:val="0"/>
              <w:spacing w:before="0" w:after="0"/>
              <w:ind w:left="0" w:right="0" w:firstLine="700"/>
              <w:jc w:val="left"/>
              <w:rPr/>
            </w:pPr>
            <w:r>
              <w:rPr/>
              <w:t> </w:t>
            </w:r>
          </w:p>
        </w:tc>
        <w:tc>
          <w:tcPr>
            <w:tcW w:w="246" w:type="dxa"/>
            <w:tcBorders/>
            <w:vAlign w:val="center"/>
          </w:tcPr>
          <w:p>
            <w:pPr>
              <w:pStyle w:val="TableContents"/>
              <w:bidi w:val="0"/>
              <w:spacing w:before="0" w:after="0"/>
              <w:ind w:left="7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24,763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29,774</w:t>
            </w:r>
          </w:p>
        </w:tc>
        <w:tc>
          <w:tcPr>
            <w:tcW w:w="1216" w:type="dxa"/>
            <w:tcBorders/>
            <w:vAlign w:val="center"/>
          </w:tcPr>
          <w:p>
            <w:pPr>
              <w:pStyle w:val="TableContents"/>
              <w:bidi w:val="0"/>
              <w:spacing w:before="0" w:after="0"/>
              <w:ind w:left="0" w:right="0" w:firstLine="600"/>
              <w:jc w:val="left"/>
              <w:rPr/>
            </w:pPr>
            <w:r>
              <w:rPr/>
              <w:t> </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Amortization of deferred contract costs</w:t>
            </w:r>
          </w:p>
        </w:tc>
        <w:tc>
          <w:tcPr>
            <w:tcW w:w="146" w:type="dxa"/>
            <w:tcBorders/>
            <w:vAlign w:val="center"/>
          </w:tcPr>
          <w:p>
            <w:pPr>
              <w:pStyle w:val="TableContents"/>
              <w:bidi w:val="0"/>
              <w:spacing w:before="0" w:after="0"/>
              <w:ind w:left="80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3,170</w:t>
            </w:r>
          </w:p>
        </w:tc>
        <w:tc>
          <w:tcPr>
            <w:tcW w:w="268" w:type="dxa"/>
            <w:tcBorders/>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2,116</w:t>
            </w:r>
          </w:p>
        </w:tc>
        <w:tc>
          <w:tcPr>
            <w:tcW w:w="866" w:type="dxa"/>
            <w:tcBorders/>
            <w:vAlign w:val="center"/>
          </w:tcPr>
          <w:p>
            <w:pPr>
              <w:pStyle w:val="TableContents"/>
              <w:bidi w:val="0"/>
              <w:spacing w:before="0" w:after="0"/>
              <w:ind w:left="0" w:right="0" w:firstLine="700"/>
              <w:jc w:val="left"/>
              <w:rPr/>
            </w:pPr>
            <w:r>
              <w:rPr/>
              <w:t> </w:t>
            </w:r>
          </w:p>
        </w:tc>
        <w:tc>
          <w:tcPr>
            <w:tcW w:w="246" w:type="dxa"/>
            <w:tcBorders/>
            <w:vAlign w:val="center"/>
          </w:tcPr>
          <w:p>
            <w:pPr>
              <w:pStyle w:val="TableContents"/>
              <w:bidi w:val="0"/>
              <w:spacing w:before="0" w:after="0"/>
              <w:ind w:left="7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6,030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3,991</w:t>
            </w:r>
          </w:p>
        </w:tc>
        <w:tc>
          <w:tcPr>
            <w:tcW w:w="1216" w:type="dxa"/>
            <w:tcBorders/>
            <w:vAlign w:val="center"/>
          </w:tcPr>
          <w:p>
            <w:pPr>
              <w:pStyle w:val="TableContents"/>
              <w:bidi w:val="0"/>
              <w:spacing w:before="0" w:after="0"/>
              <w:ind w:left="0" w:right="0" w:firstLine="600"/>
              <w:jc w:val="left"/>
              <w:rPr/>
            </w:pPr>
            <w:r>
              <w:rPr/>
              <w:t> </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Equity-based compensation</w:t>
            </w:r>
          </w:p>
        </w:tc>
        <w:tc>
          <w:tcPr>
            <w:tcW w:w="146" w:type="dxa"/>
            <w:tcBorders/>
            <w:vAlign w:val="center"/>
          </w:tcPr>
          <w:p>
            <w:pPr>
              <w:pStyle w:val="TableContents"/>
              <w:bidi w:val="0"/>
              <w:spacing w:before="0" w:after="0"/>
              <w:ind w:left="80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12,363</w:t>
            </w:r>
          </w:p>
        </w:tc>
        <w:tc>
          <w:tcPr>
            <w:tcW w:w="268" w:type="dxa"/>
            <w:tcBorders/>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9,005</w:t>
            </w:r>
          </w:p>
        </w:tc>
        <w:tc>
          <w:tcPr>
            <w:tcW w:w="866" w:type="dxa"/>
            <w:tcBorders/>
            <w:vAlign w:val="center"/>
          </w:tcPr>
          <w:p>
            <w:pPr>
              <w:pStyle w:val="TableContents"/>
              <w:bidi w:val="0"/>
              <w:spacing w:before="0" w:after="0"/>
              <w:ind w:left="0" w:right="0" w:firstLine="700"/>
              <w:jc w:val="left"/>
              <w:rPr/>
            </w:pPr>
            <w:r>
              <w:rPr/>
              <w:t> </w:t>
            </w:r>
          </w:p>
        </w:tc>
        <w:tc>
          <w:tcPr>
            <w:tcW w:w="246" w:type="dxa"/>
            <w:tcBorders/>
            <w:vAlign w:val="center"/>
          </w:tcPr>
          <w:p>
            <w:pPr>
              <w:pStyle w:val="TableContents"/>
              <w:bidi w:val="0"/>
              <w:spacing w:before="0" w:after="0"/>
              <w:ind w:left="7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23,491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15,877</w:t>
            </w:r>
          </w:p>
        </w:tc>
        <w:tc>
          <w:tcPr>
            <w:tcW w:w="1216" w:type="dxa"/>
            <w:tcBorders/>
            <w:vAlign w:val="center"/>
          </w:tcPr>
          <w:p>
            <w:pPr>
              <w:pStyle w:val="TableContents"/>
              <w:bidi w:val="0"/>
              <w:spacing w:before="0" w:after="0"/>
              <w:ind w:left="0" w:right="0" w:firstLine="600"/>
              <w:jc w:val="left"/>
              <w:rPr/>
            </w:pPr>
            <w:r>
              <w:rPr/>
              <w:t> </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Amortization of debt issuance costs</w:t>
            </w:r>
          </w:p>
        </w:tc>
        <w:tc>
          <w:tcPr>
            <w:tcW w:w="146" w:type="dxa"/>
            <w:tcBorders/>
            <w:vAlign w:val="center"/>
          </w:tcPr>
          <w:p>
            <w:pPr>
              <w:pStyle w:val="TableContents"/>
              <w:bidi w:val="0"/>
              <w:spacing w:before="0" w:after="0"/>
              <w:ind w:left="80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175</w:t>
            </w:r>
          </w:p>
        </w:tc>
        <w:tc>
          <w:tcPr>
            <w:tcW w:w="268" w:type="dxa"/>
            <w:tcBorders/>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175</w:t>
            </w:r>
          </w:p>
        </w:tc>
        <w:tc>
          <w:tcPr>
            <w:tcW w:w="866" w:type="dxa"/>
            <w:tcBorders/>
            <w:vAlign w:val="center"/>
          </w:tcPr>
          <w:p>
            <w:pPr>
              <w:pStyle w:val="TableContents"/>
              <w:bidi w:val="0"/>
              <w:spacing w:before="0" w:after="0"/>
              <w:ind w:left="0" w:right="0" w:firstLine="700"/>
              <w:jc w:val="left"/>
              <w:rPr/>
            </w:pPr>
            <w:r>
              <w:rPr/>
              <w:t> </w:t>
            </w:r>
          </w:p>
        </w:tc>
        <w:tc>
          <w:tcPr>
            <w:tcW w:w="246" w:type="dxa"/>
            <w:tcBorders/>
            <w:vAlign w:val="center"/>
          </w:tcPr>
          <w:p>
            <w:pPr>
              <w:pStyle w:val="TableContents"/>
              <w:bidi w:val="0"/>
              <w:spacing w:before="0" w:after="0"/>
              <w:ind w:left="7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351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351</w:t>
            </w:r>
          </w:p>
        </w:tc>
        <w:tc>
          <w:tcPr>
            <w:tcW w:w="1216" w:type="dxa"/>
            <w:tcBorders/>
            <w:vAlign w:val="center"/>
          </w:tcPr>
          <w:p>
            <w:pPr>
              <w:pStyle w:val="TableContents"/>
              <w:bidi w:val="0"/>
              <w:spacing w:before="0" w:after="0"/>
              <w:ind w:left="0" w:right="0" w:firstLine="600"/>
              <w:jc w:val="left"/>
              <w:rPr/>
            </w:pPr>
            <w:r>
              <w:rPr/>
              <w:t> </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Provision for doubtful accounts receivable</w:t>
            </w:r>
          </w:p>
        </w:tc>
        <w:tc>
          <w:tcPr>
            <w:tcW w:w="146" w:type="dxa"/>
            <w:tcBorders/>
            <w:vAlign w:val="center"/>
          </w:tcPr>
          <w:p>
            <w:pPr>
              <w:pStyle w:val="TableContents"/>
              <w:bidi w:val="0"/>
              <w:spacing w:before="0" w:after="0"/>
              <w:ind w:left="80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444</w:t>
            </w:r>
          </w:p>
        </w:tc>
        <w:tc>
          <w:tcPr>
            <w:tcW w:w="268" w:type="dxa"/>
            <w:tcBorders/>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w:t>
            </w:r>
          </w:p>
        </w:tc>
        <w:tc>
          <w:tcPr>
            <w:tcW w:w="866" w:type="dxa"/>
            <w:tcBorders/>
            <w:vAlign w:val="center"/>
          </w:tcPr>
          <w:p>
            <w:pPr>
              <w:pStyle w:val="TableContents"/>
              <w:bidi w:val="0"/>
              <w:spacing w:before="0" w:after="0"/>
              <w:ind w:left="0" w:right="0" w:firstLine="7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7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466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w:t>
            </w:r>
          </w:p>
        </w:tc>
        <w:tc>
          <w:tcPr>
            <w:tcW w:w="1216" w:type="dxa"/>
            <w:tcBorders/>
            <w:vAlign w:val="center"/>
          </w:tcPr>
          <w:p>
            <w:pPr>
              <w:pStyle w:val="TableContents"/>
              <w:bidi w:val="0"/>
              <w:spacing w:before="0" w:after="0"/>
              <w:ind w:left="0" w:right="0" w:firstLine="600"/>
              <w:jc w:val="left"/>
              <w:rPr/>
            </w:pPr>
            <w:r>
              <w:rPr/>
              <w:t> </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Non-cash restructuring charges</w:t>
            </w:r>
          </w:p>
        </w:tc>
        <w:tc>
          <w:tcPr>
            <w:tcW w:w="146" w:type="dxa"/>
            <w:tcBorders/>
            <w:vAlign w:val="center"/>
          </w:tcPr>
          <w:p>
            <w:pPr>
              <w:pStyle w:val="TableContents"/>
              <w:bidi w:val="0"/>
              <w:spacing w:before="0" w:after="0"/>
              <w:ind w:left="80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141</w:t>
            </w:r>
          </w:p>
        </w:tc>
        <w:tc>
          <w:tcPr>
            <w:tcW w:w="268" w:type="dxa"/>
            <w:tcBorders/>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1,023</w:t>
            </w:r>
          </w:p>
        </w:tc>
        <w:tc>
          <w:tcPr>
            <w:tcW w:w="866" w:type="dxa"/>
            <w:tcBorders/>
            <w:vAlign w:val="center"/>
          </w:tcPr>
          <w:p>
            <w:pPr>
              <w:pStyle w:val="TableContents"/>
              <w:bidi w:val="0"/>
              <w:spacing w:before="0" w:after="0"/>
              <w:ind w:left="0" w:right="0" w:firstLine="700"/>
              <w:jc w:val="left"/>
              <w:rPr/>
            </w:pPr>
            <w:r>
              <w:rPr/>
              <w:t> </w:t>
            </w:r>
          </w:p>
        </w:tc>
        <w:tc>
          <w:tcPr>
            <w:tcW w:w="246" w:type="dxa"/>
            <w:tcBorders/>
            <w:vAlign w:val="center"/>
          </w:tcPr>
          <w:p>
            <w:pPr>
              <w:pStyle w:val="TableContents"/>
              <w:bidi w:val="0"/>
              <w:spacing w:before="0" w:after="0"/>
              <w:ind w:left="7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298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1,023</w:t>
            </w:r>
          </w:p>
        </w:tc>
        <w:tc>
          <w:tcPr>
            <w:tcW w:w="1216" w:type="dxa"/>
            <w:tcBorders/>
            <w:vAlign w:val="center"/>
          </w:tcPr>
          <w:p>
            <w:pPr>
              <w:pStyle w:val="TableContents"/>
              <w:bidi w:val="0"/>
              <w:spacing w:before="0" w:after="0"/>
              <w:ind w:left="0" w:right="0" w:firstLine="600"/>
              <w:jc w:val="left"/>
              <w:rPr/>
            </w:pPr>
            <w:r>
              <w:rPr/>
              <w:t> </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Tax receivable agreement remeasurement</w:t>
            </w:r>
          </w:p>
        </w:tc>
        <w:tc>
          <w:tcPr>
            <w:tcW w:w="146" w:type="dxa"/>
            <w:tcBorders/>
            <w:vAlign w:val="center"/>
          </w:tcPr>
          <w:p>
            <w:pPr>
              <w:pStyle w:val="TableContents"/>
              <w:bidi w:val="0"/>
              <w:spacing w:before="0" w:after="0"/>
              <w:ind w:left="80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1,146</w:t>
            </w:r>
          </w:p>
        </w:tc>
        <w:tc>
          <w:tcPr>
            <w:tcW w:w="268" w:type="dxa"/>
            <w:tcBorders/>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(3,492</w:t>
            </w:r>
          </w:p>
        </w:tc>
        <w:tc>
          <w:tcPr>
            <w:tcW w:w="866" w:type="dxa"/>
            <w:tcBorders/>
            <w:vAlign w:val="center"/>
          </w:tcPr>
          <w:p>
            <w:pPr>
              <w:pStyle w:val="TableContents"/>
              <w:bidi w:val="0"/>
              <w:spacing w:before="0" w:after="0"/>
              <w:ind w:left="0" w:right="0" w:firstLine="7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7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4,698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(3,330</w:t>
            </w:r>
          </w:p>
        </w:tc>
        <w:tc>
          <w:tcPr>
            <w:tcW w:w="1216" w:type="dxa"/>
            <w:tcBorders/>
            <w:vAlign w:val="center"/>
          </w:tcPr>
          <w:p>
            <w:pPr>
              <w:pStyle w:val="TableContents"/>
              <w:bidi w:val="0"/>
              <w:spacing w:before="0" w:after="0"/>
              <w:ind w:left="0" w:right="0" w:firstLine="600"/>
              <w:jc w:val="left"/>
              <w:rPr>
                <w:rFonts w:ascii="Times New Roman;serif" w:hAnsi="Times New Roman;serif"/>
                <w:b w:val="false"/>
                <w:sz w:val="17"/>
              </w:rPr>
            </w:pPr>
            <w:r>
              <w:rPr>
                <w:rFonts w:ascii="Times New Roman;serif" w:hAnsi="Times New Roman;serif"/>
                <w:b w:val="false"/>
                <w:sz w:val="17"/>
              </w:rPr>
              <w:t>)</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Deferred income taxes</w:t>
            </w:r>
          </w:p>
        </w:tc>
        <w:tc>
          <w:tcPr>
            <w:tcW w:w="146" w:type="dxa"/>
            <w:tcBorders/>
            <w:vAlign w:val="center"/>
          </w:tcPr>
          <w:p>
            <w:pPr>
              <w:pStyle w:val="TableContents"/>
              <w:bidi w:val="0"/>
              <w:spacing w:before="0" w:after="0"/>
              <w:ind w:left="80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(1,651</w:t>
            </w:r>
          </w:p>
        </w:tc>
        <w:tc>
          <w:tcPr>
            <w:tcW w:w="268"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(233</w:t>
            </w:r>
          </w:p>
        </w:tc>
        <w:tc>
          <w:tcPr>
            <w:tcW w:w="866" w:type="dxa"/>
            <w:tcBorders/>
            <w:vAlign w:val="center"/>
          </w:tcPr>
          <w:p>
            <w:pPr>
              <w:pStyle w:val="TableContents"/>
              <w:bidi w:val="0"/>
              <w:spacing w:before="0" w:after="0"/>
              <w:ind w:left="0" w:right="0" w:firstLine="7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7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(2,424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(677</w:t>
            </w:r>
          </w:p>
        </w:tc>
        <w:tc>
          <w:tcPr>
            <w:tcW w:w="1216" w:type="dxa"/>
            <w:tcBorders/>
            <w:vAlign w:val="center"/>
          </w:tcPr>
          <w:p>
            <w:pPr>
              <w:pStyle w:val="TableContents"/>
              <w:bidi w:val="0"/>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3033"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Changes in operating assets and liabilities:</w:t>
            </w:r>
          </w:p>
        </w:tc>
        <w:tc>
          <w:tcPr>
            <w:tcW w:w="146" w:type="dxa"/>
            <w:tcBorders/>
            <w:vAlign w:val="center"/>
          </w:tcPr>
          <w:p>
            <w:pPr>
              <w:pStyle w:val="TableContents"/>
              <w:bidi w:val="0"/>
              <w:spacing w:before="0" w:after="0"/>
              <w:ind w:left="100" w:right="0" w:hanging="0"/>
              <w:jc w:val="left"/>
              <w:rPr/>
            </w:pPr>
            <w:r>
              <w:rPr/>
              <w:t> </w:t>
            </w:r>
          </w:p>
        </w:tc>
        <w:tc>
          <w:tcPr>
            <w:tcW w:w="896" w:type="dxa"/>
            <w:gridSpan w:val="2"/>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firstLine="100"/>
              <w:jc w:val="right"/>
              <w:rPr/>
            </w:pPr>
            <w:r>
              <w:rPr/>
              <w:t> </w:t>
            </w:r>
          </w:p>
        </w:tc>
        <w:tc>
          <w:tcPr>
            <w:tcW w:w="147" w:type="dxa"/>
            <w:tcBorders/>
            <w:vAlign w:val="center"/>
          </w:tcPr>
          <w:p>
            <w:pPr>
              <w:pStyle w:val="TableContents"/>
              <w:bidi w:val="0"/>
              <w:spacing w:before="0" w:after="0"/>
              <w:ind w:left="100" w:right="0" w:hanging="0"/>
              <w:jc w:val="left"/>
              <w:rPr/>
            </w:pPr>
            <w:r>
              <w:rPr/>
              <w:t> </w:t>
            </w:r>
          </w:p>
        </w:tc>
        <w:tc>
          <w:tcPr>
            <w:tcW w:w="943" w:type="dxa"/>
            <w:gridSpan w:val="2"/>
            <w:tcBorders/>
            <w:vAlign w:val="center"/>
          </w:tcPr>
          <w:p>
            <w:pPr>
              <w:pStyle w:val="TableContents"/>
              <w:bidi w:val="0"/>
              <w:spacing w:before="0" w:after="0"/>
              <w:ind w:left="0" w:right="0" w:hanging="0"/>
              <w:jc w:val="right"/>
              <w:rPr/>
            </w:pPr>
            <w:r>
              <w:rPr/>
              <w:t> </w:t>
            </w:r>
          </w:p>
        </w:tc>
        <w:tc>
          <w:tcPr>
            <w:tcW w:w="86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right"/>
              <w:rPr/>
            </w:pPr>
            <w:r>
              <w:rPr/>
              <w:t> </w:t>
            </w:r>
          </w:p>
        </w:tc>
        <w:tc>
          <w:tcPr>
            <w:tcW w:w="985" w:type="dxa"/>
            <w:gridSpan w:val="2"/>
            <w:tcBorders/>
            <w:vAlign w:val="center"/>
          </w:tcPr>
          <w:p>
            <w:pPr>
              <w:pStyle w:val="TableContents"/>
              <w:bidi w:val="0"/>
              <w:spacing w:before="0" w:after="0"/>
              <w:ind w:left="100" w:right="0" w:hanging="0"/>
              <w:jc w:val="left"/>
              <w:rPr/>
            </w:pPr>
            <w:r>
              <w:rPr/>
              <w:t> </w:t>
            </w:r>
          </w:p>
        </w:tc>
        <w:tc>
          <w:tcPr>
            <w:tcW w:w="1216" w:type="dxa"/>
            <w:tcBorders/>
            <w:vAlign w:val="center"/>
          </w:tcPr>
          <w:p>
            <w:pPr>
              <w:pStyle w:val="TableContents"/>
              <w:bidi w:val="0"/>
              <w:spacing w:before="0" w:after="0"/>
              <w:ind w:left="0" w:right="0" w:firstLine="600"/>
              <w:jc w:val="left"/>
              <w:rPr/>
            </w:pPr>
            <w:r>
              <w:rPr/>
              <w:t> </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Accounts receivable</w:t>
            </w:r>
          </w:p>
        </w:tc>
        <w:tc>
          <w:tcPr>
            <w:tcW w:w="146" w:type="dxa"/>
            <w:tcBorders/>
            <w:vAlign w:val="center"/>
          </w:tcPr>
          <w:p>
            <w:pPr>
              <w:pStyle w:val="TableContents"/>
              <w:bidi w:val="0"/>
              <w:spacing w:before="0" w:after="0"/>
              <w:ind w:left="80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6,918</w:t>
            </w:r>
          </w:p>
        </w:tc>
        <w:tc>
          <w:tcPr>
            <w:tcW w:w="268" w:type="dxa"/>
            <w:tcBorders/>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6,744</w:t>
            </w:r>
          </w:p>
        </w:tc>
        <w:tc>
          <w:tcPr>
            <w:tcW w:w="866" w:type="dxa"/>
            <w:tcBorders/>
            <w:vAlign w:val="center"/>
          </w:tcPr>
          <w:p>
            <w:pPr>
              <w:pStyle w:val="TableContents"/>
              <w:bidi w:val="0"/>
              <w:spacing w:before="0" w:after="0"/>
              <w:ind w:left="0" w:right="0" w:firstLine="700"/>
              <w:jc w:val="left"/>
              <w:rPr/>
            </w:pPr>
            <w:r>
              <w:rPr/>
              <w:t> </w:t>
            </w:r>
          </w:p>
        </w:tc>
        <w:tc>
          <w:tcPr>
            <w:tcW w:w="246" w:type="dxa"/>
            <w:tcBorders/>
            <w:vAlign w:val="center"/>
          </w:tcPr>
          <w:p>
            <w:pPr>
              <w:pStyle w:val="TableContents"/>
              <w:bidi w:val="0"/>
              <w:spacing w:before="0" w:after="0"/>
              <w:ind w:left="7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13,884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15,270</w:t>
            </w:r>
          </w:p>
        </w:tc>
        <w:tc>
          <w:tcPr>
            <w:tcW w:w="1216" w:type="dxa"/>
            <w:tcBorders/>
            <w:vAlign w:val="center"/>
          </w:tcPr>
          <w:p>
            <w:pPr>
              <w:pStyle w:val="TableContents"/>
              <w:bidi w:val="0"/>
              <w:spacing w:before="0" w:after="0"/>
              <w:ind w:left="0" w:right="0" w:firstLine="600"/>
              <w:jc w:val="left"/>
              <w:rPr/>
            </w:pPr>
            <w:r>
              <w:rPr/>
              <w:t> </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Prepaid expenses and other current assets</w:t>
            </w:r>
          </w:p>
        </w:tc>
        <w:tc>
          <w:tcPr>
            <w:tcW w:w="146" w:type="dxa"/>
            <w:tcBorders/>
            <w:vAlign w:val="center"/>
          </w:tcPr>
          <w:p>
            <w:pPr>
              <w:pStyle w:val="TableContents"/>
              <w:bidi w:val="0"/>
              <w:spacing w:before="0" w:after="0"/>
              <w:ind w:left="80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225</w:t>
            </w:r>
          </w:p>
        </w:tc>
        <w:tc>
          <w:tcPr>
            <w:tcW w:w="268" w:type="dxa"/>
            <w:tcBorders/>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627</w:t>
            </w:r>
          </w:p>
        </w:tc>
        <w:tc>
          <w:tcPr>
            <w:tcW w:w="866" w:type="dxa"/>
            <w:tcBorders/>
            <w:vAlign w:val="center"/>
          </w:tcPr>
          <w:p>
            <w:pPr>
              <w:pStyle w:val="TableContents"/>
              <w:bidi w:val="0"/>
              <w:spacing w:before="0" w:after="0"/>
              <w:ind w:left="0" w:right="0" w:firstLine="700"/>
              <w:jc w:val="left"/>
              <w:rPr/>
            </w:pPr>
            <w:r>
              <w:rPr/>
              <w:t> </w:t>
            </w:r>
          </w:p>
        </w:tc>
        <w:tc>
          <w:tcPr>
            <w:tcW w:w="246" w:type="dxa"/>
            <w:tcBorders/>
            <w:vAlign w:val="center"/>
          </w:tcPr>
          <w:p>
            <w:pPr>
              <w:pStyle w:val="TableContents"/>
              <w:bidi w:val="0"/>
              <w:spacing w:before="0" w:after="0"/>
              <w:ind w:left="7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(3,571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1,319</w:t>
            </w:r>
          </w:p>
        </w:tc>
        <w:tc>
          <w:tcPr>
            <w:tcW w:w="1216" w:type="dxa"/>
            <w:tcBorders/>
            <w:vAlign w:val="center"/>
          </w:tcPr>
          <w:p>
            <w:pPr>
              <w:pStyle w:val="TableContents"/>
              <w:bidi w:val="0"/>
              <w:spacing w:before="0" w:after="0"/>
              <w:ind w:left="0" w:right="0" w:firstLine="600"/>
              <w:jc w:val="left"/>
              <w:rPr/>
            </w:pPr>
            <w:r>
              <w:rPr/>
              <w:t> </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Deferred contract costs</w:t>
            </w:r>
          </w:p>
        </w:tc>
        <w:tc>
          <w:tcPr>
            <w:tcW w:w="146" w:type="dxa"/>
            <w:tcBorders/>
            <w:vAlign w:val="center"/>
          </w:tcPr>
          <w:p>
            <w:pPr>
              <w:pStyle w:val="TableContents"/>
              <w:bidi w:val="0"/>
              <w:spacing w:before="0" w:after="0"/>
              <w:ind w:left="80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(5,086</w:t>
            </w:r>
          </w:p>
        </w:tc>
        <w:tc>
          <w:tcPr>
            <w:tcW w:w="268"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(3,547</w:t>
            </w:r>
          </w:p>
        </w:tc>
        <w:tc>
          <w:tcPr>
            <w:tcW w:w="866" w:type="dxa"/>
            <w:tcBorders/>
            <w:vAlign w:val="center"/>
          </w:tcPr>
          <w:p>
            <w:pPr>
              <w:pStyle w:val="TableContents"/>
              <w:bidi w:val="0"/>
              <w:spacing w:before="0" w:after="0"/>
              <w:ind w:left="0" w:right="0" w:firstLine="7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7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(9,107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(6,846</w:t>
            </w:r>
          </w:p>
        </w:tc>
        <w:tc>
          <w:tcPr>
            <w:tcW w:w="1216" w:type="dxa"/>
            <w:tcBorders/>
            <w:vAlign w:val="center"/>
          </w:tcPr>
          <w:p>
            <w:pPr>
              <w:pStyle w:val="TableContents"/>
              <w:bidi w:val="0"/>
              <w:spacing w:before="0" w:after="0"/>
              <w:ind w:left="0" w:right="0" w:firstLine="600"/>
              <w:jc w:val="left"/>
              <w:rPr>
                <w:rFonts w:ascii="Times New Roman;serif" w:hAnsi="Times New Roman;serif"/>
                <w:b w:val="false"/>
                <w:sz w:val="17"/>
              </w:rPr>
            </w:pPr>
            <w:r>
              <w:rPr>
                <w:rFonts w:ascii="Times New Roman;serif" w:hAnsi="Times New Roman;serif"/>
                <w:b w:val="false"/>
                <w:sz w:val="17"/>
              </w:rPr>
              <w:t>)</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Contingent consideration</w:t>
            </w:r>
          </w:p>
        </w:tc>
        <w:tc>
          <w:tcPr>
            <w:tcW w:w="146" w:type="dxa"/>
            <w:tcBorders/>
            <w:vAlign w:val="center"/>
          </w:tcPr>
          <w:p>
            <w:pPr>
              <w:pStyle w:val="TableContents"/>
              <w:bidi w:val="0"/>
              <w:spacing w:before="0" w:after="0"/>
              <w:ind w:left="80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2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right"/>
              <w:rPr/>
            </w:pPr>
            <w:r>
              <w:rPr/>
              <w:t> </w:t>
            </w:r>
          </w:p>
        </w:tc>
        <w:tc>
          <w:tcPr>
            <w:tcW w:w="208"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pPr>
            <w:r>
              <w:rPr/>
              <w:t>—</w:t>
            </w:r>
          </w:p>
        </w:tc>
        <w:tc>
          <w:tcPr>
            <w:tcW w:w="8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right"/>
              <w:rPr/>
            </w:pPr>
            <w:r>
              <w:rPr/>
              <w:t> </w:t>
            </w:r>
          </w:p>
        </w:tc>
        <w:tc>
          <w:tcPr>
            <w:tcW w:w="203"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(6,400</w:t>
            </w:r>
          </w:p>
        </w:tc>
        <w:tc>
          <w:tcPr>
            <w:tcW w:w="1216" w:type="dxa"/>
            <w:tcBorders/>
            <w:vAlign w:val="center"/>
          </w:tcPr>
          <w:p>
            <w:pPr>
              <w:pStyle w:val="TableContents"/>
              <w:bidi w:val="0"/>
              <w:spacing w:before="0" w:after="0"/>
              <w:ind w:left="0" w:right="0" w:firstLine="600"/>
              <w:jc w:val="left"/>
              <w:rPr>
                <w:rFonts w:ascii="Times New Roman;serif" w:hAnsi="Times New Roman;serif"/>
                <w:b w:val="false"/>
                <w:sz w:val="17"/>
              </w:rPr>
            </w:pPr>
            <w:r>
              <w:rPr>
                <w:rFonts w:ascii="Times New Roman;serif" w:hAnsi="Times New Roman;serif"/>
                <w:b w:val="false"/>
                <w:sz w:val="17"/>
              </w:rPr>
              <w:t>)</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Accounts payable, accrued expenses, and other liabilities</w:t>
            </w:r>
          </w:p>
        </w:tc>
        <w:tc>
          <w:tcPr>
            <w:tcW w:w="146" w:type="dxa"/>
            <w:tcBorders/>
            <w:vAlign w:val="center"/>
          </w:tcPr>
          <w:p>
            <w:pPr>
              <w:pStyle w:val="TableContents"/>
              <w:bidi w:val="0"/>
              <w:spacing w:before="0" w:after="0"/>
              <w:ind w:left="80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832</w:t>
            </w:r>
          </w:p>
        </w:tc>
        <w:tc>
          <w:tcPr>
            <w:tcW w:w="268" w:type="dxa"/>
            <w:tcBorders/>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2,005</w:t>
            </w:r>
          </w:p>
        </w:tc>
        <w:tc>
          <w:tcPr>
            <w:tcW w:w="866" w:type="dxa"/>
            <w:tcBorders/>
            <w:vAlign w:val="center"/>
          </w:tcPr>
          <w:p>
            <w:pPr>
              <w:pStyle w:val="TableContents"/>
              <w:bidi w:val="0"/>
              <w:spacing w:before="0" w:after="0"/>
              <w:ind w:left="0" w:right="0" w:firstLine="700"/>
              <w:jc w:val="left"/>
              <w:rPr/>
            </w:pPr>
            <w:r>
              <w:rPr/>
              <w:t> </w:t>
            </w:r>
          </w:p>
        </w:tc>
        <w:tc>
          <w:tcPr>
            <w:tcW w:w="246" w:type="dxa"/>
            <w:tcBorders/>
            <w:vAlign w:val="center"/>
          </w:tcPr>
          <w:p>
            <w:pPr>
              <w:pStyle w:val="TableContents"/>
              <w:bidi w:val="0"/>
              <w:spacing w:before="0" w:after="0"/>
              <w:ind w:left="7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(3,023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(993</w:t>
            </w:r>
          </w:p>
        </w:tc>
        <w:tc>
          <w:tcPr>
            <w:tcW w:w="1216" w:type="dxa"/>
            <w:tcBorders/>
            <w:vAlign w:val="center"/>
          </w:tcPr>
          <w:p>
            <w:pPr>
              <w:pStyle w:val="TableContents"/>
              <w:bidi w:val="0"/>
              <w:spacing w:before="0" w:after="0"/>
              <w:ind w:left="0" w:right="0" w:firstLine="600"/>
              <w:jc w:val="left"/>
              <w:rPr>
                <w:rFonts w:ascii="Times New Roman;serif" w:hAnsi="Times New Roman;serif"/>
                <w:b w:val="false"/>
                <w:sz w:val="17"/>
              </w:rPr>
            </w:pPr>
            <w:r>
              <w:rPr>
                <w:rFonts w:ascii="Times New Roman;serif" w:hAnsi="Times New Roman;serif"/>
                <w:b w:val="false"/>
                <w:sz w:val="17"/>
              </w:rPr>
              <w:t>)</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Deferred revenue</w:t>
            </w:r>
          </w:p>
        </w:tc>
        <w:tc>
          <w:tcPr>
            <w:tcW w:w="146" w:type="dxa"/>
            <w:tcBorders/>
            <w:vAlign w:val="center"/>
          </w:tcPr>
          <w:p>
            <w:pPr>
              <w:pStyle w:val="TableContents"/>
              <w:bidi w:val="0"/>
              <w:spacing w:before="0" w:after="0"/>
              <w:ind w:left="80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(7,813</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7" w:type="dxa"/>
            <w:tcBorders/>
            <w:vAlign w:val="center"/>
          </w:tcPr>
          <w:p>
            <w:pPr>
              <w:pStyle w:val="TableContents"/>
              <w:bidi w:val="0"/>
              <w:spacing w:before="0" w:after="0"/>
              <w:ind w:left="10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(4,571</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firstLine="7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7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(2,244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10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1,678</w:t>
            </w:r>
          </w:p>
        </w:tc>
        <w:tc>
          <w:tcPr>
            <w:tcW w:w="1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Net cash provided by operating activities</w:t>
            </w:r>
          </w:p>
        </w:tc>
        <w:tc>
          <w:tcPr>
            <w:tcW w:w="146" w:type="dxa"/>
            <w:tcBorders/>
            <w:vAlign w:val="center"/>
          </w:tcPr>
          <w:p>
            <w:pPr>
              <w:pStyle w:val="TableContents"/>
              <w:bidi w:val="0"/>
              <w:spacing w:before="0" w:after="0"/>
              <w:ind w:left="80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12,037</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15,481</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26,994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29,114</w:t>
            </w:r>
          </w:p>
        </w:tc>
        <w:tc>
          <w:tcPr>
            <w:tcW w:w="1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33" w:type="dxa"/>
            <w:tcBorders/>
            <w:vAlign w:val="center"/>
          </w:tcPr>
          <w:p>
            <w:pPr>
              <w:pStyle w:val="TableContents"/>
              <w:bidi w:val="0"/>
              <w:spacing w:before="0" w:after="0"/>
              <w:ind w:left="0" w:right="0" w:firstLine="100"/>
              <w:jc w:val="left"/>
              <w:rPr>
                <w:rFonts w:ascii="Times New Roman;serif" w:hAnsi="Times New Roman;serif"/>
                <w:b/>
                <w:sz w:val="17"/>
              </w:rPr>
            </w:pPr>
            <w:r>
              <w:rPr>
                <w:rFonts w:ascii="Times New Roman;serif" w:hAnsi="Times New Roman;serif"/>
                <w:b/>
                <w:sz w:val="17"/>
              </w:rPr>
              <w:t>Cash flows (used in) provided by investing activities:</w:t>
            </w:r>
          </w:p>
        </w:tc>
        <w:tc>
          <w:tcPr>
            <w:tcW w:w="146" w:type="dxa"/>
            <w:tcBorders/>
            <w:vAlign w:val="center"/>
          </w:tcPr>
          <w:p>
            <w:pPr>
              <w:pStyle w:val="TableContents"/>
              <w:bidi w:val="0"/>
              <w:spacing w:before="0" w:after="0"/>
              <w:ind w:left="100" w:right="0" w:hanging="0"/>
              <w:jc w:val="left"/>
              <w:rPr/>
            </w:pPr>
            <w:r>
              <w:rPr/>
              <w:t> </w:t>
            </w:r>
          </w:p>
        </w:tc>
        <w:tc>
          <w:tcPr>
            <w:tcW w:w="896" w:type="dxa"/>
            <w:gridSpan w:val="2"/>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firstLine="100"/>
              <w:jc w:val="right"/>
              <w:rPr/>
            </w:pPr>
            <w:r>
              <w:rPr/>
              <w:t> </w:t>
            </w:r>
          </w:p>
        </w:tc>
        <w:tc>
          <w:tcPr>
            <w:tcW w:w="147" w:type="dxa"/>
            <w:tcBorders/>
            <w:vAlign w:val="center"/>
          </w:tcPr>
          <w:p>
            <w:pPr>
              <w:pStyle w:val="TableContents"/>
              <w:bidi w:val="0"/>
              <w:spacing w:before="0" w:after="0"/>
              <w:ind w:left="100" w:right="0" w:hanging="0"/>
              <w:jc w:val="left"/>
              <w:rPr/>
            </w:pPr>
            <w:r>
              <w:rPr/>
              <w:t> </w:t>
            </w:r>
          </w:p>
        </w:tc>
        <w:tc>
          <w:tcPr>
            <w:tcW w:w="943" w:type="dxa"/>
            <w:gridSpan w:val="2"/>
            <w:tcBorders/>
            <w:vAlign w:val="center"/>
          </w:tcPr>
          <w:p>
            <w:pPr>
              <w:pStyle w:val="TableContents"/>
              <w:bidi w:val="0"/>
              <w:spacing w:before="0" w:after="0"/>
              <w:ind w:left="0" w:right="0" w:hanging="0"/>
              <w:jc w:val="right"/>
              <w:rPr/>
            </w:pPr>
            <w:r>
              <w:rPr/>
              <w:t> </w:t>
            </w:r>
          </w:p>
        </w:tc>
        <w:tc>
          <w:tcPr>
            <w:tcW w:w="86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right"/>
              <w:rPr/>
            </w:pPr>
            <w:r>
              <w:rPr/>
              <w:t> </w:t>
            </w:r>
          </w:p>
        </w:tc>
        <w:tc>
          <w:tcPr>
            <w:tcW w:w="985" w:type="dxa"/>
            <w:gridSpan w:val="2"/>
            <w:tcBorders/>
            <w:vAlign w:val="center"/>
          </w:tcPr>
          <w:p>
            <w:pPr>
              <w:pStyle w:val="TableContents"/>
              <w:bidi w:val="0"/>
              <w:spacing w:before="0" w:after="0"/>
              <w:ind w:left="100" w:right="0" w:hanging="0"/>
              <w:jc w:val="left"/>
              <w:rPr/>
            </w:pPr>
            <w:r>
              <w:rPr/>
              <w:t> </w:t>
            </w:r>
          </w:p>
        </w:tc>
        <w:tc>
          <w:tcPr>
            <w:tcW w:w="1216" w:type="dxa"/>
            <w:tcBorders/>
            <w:vAlign w:val="center"/>
          </w:tcPr>
          <w:p>
            <w:pPr>
              <w:pStyle w:val="TableContents"/>
              <w:bidi w:val="0"/>
              <w:spacing w:before="0" w:after="0"/>
              <w:ind w:left="0" w:right="0" w:firstLine="400"/>
              <w:jc w:val="left"/>
              <w:rPr/>
            </w:pPr>
            <w:r>
              <w:rPr/>
              <w:t> </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Purchases of property, equipment, and other assets</w:t>
            </w:r>
          </w:p>
        </w:tc>
        <w:tc>
          <w:tcPr>
            <w:tcW w:w="146" w:type="dxa"/>
            <w:tcBorders/>
            <w:vAlign w:val="center"/>
          </w:tcPr>
          <w:p>
            <w:pPr>
              <w:pStyle w:val="TableContents"/>
              <w:bidi w:val="0"/>
              <w:spacing w:before="0" w:after="0"/>
              <w:ind w:left="80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(740</w:t>
            </w:r>
          </w:p>
        </w:tc>
        <w:tc>
          <w:tcPr>
            <w:tcW w:w="268"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(783</w:t>
            </w:r>
          </w:p>
        </w:tc>
        <w:tc>
          <w:tcPr>
            <w:tcW w:w="866" w:type="dxa"/>
            <w:tcBorders/>
            <w:vAlign w:val="center"/>
          </w:tcPr>
          <w:p>
            <w:pPr>
              <w:pStyle w:val="TableContents"/>
              <w:bidi w:val="0"/>
              <w:spacing w:before="0" w:after="0"/>
              <w:ind w:left="0" w:right="0" w:firstLine="7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7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(2,078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(1,577</w:t>
            </w:r>
          </w:p>
        </w:tc>
        <w:tc>
          <w:tcPr>
            <w:tcW w:w="1216" w:type="dxa"/>
            <w:tcBorders/>
            <w:vAlign w:val="center"/>
          </w:tcPr>
          <w:p>
            <w:pPr>
              <w:pStyle w:val="TableContents"/>
              <w:bidi w:val="0"/>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Purchases of short-term investments</w:t>
            </w:r>
          </w:p>
        </w:tc>
        <w:tc>
          <w:tcPr>
            <w:tcW w:w="146" w:type="dxa"/>
            <w:tcBorders/>
            <w:vAlign w:val="center"/>
          </w:tcPr>
          <w:p>
            <w:pPr>
              <w:pStyle w:val="TableContents"/>
              <w:bidi w:val="0"/>
              <w:spacing w:before="0" w:after="0"/>
              <w:ind w:left="80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(42,547</w:t>
            </w:r>
          </w:p>
        </w:tc>
        <w:tc>
          <w:tcPr>
            <w:tcW w:w="268"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(53,398</w:t>
            </w:r>
          </w:p>
        </w:tc>
        <w:tc>
          <w:tcPr>
            <w:tcW w:w="866" w:type="dxa"/>
            <w:tcBorders/>
            <w:vAlign w:val="center"/>
          </w:tcPr>
          <w:p>
            <w:pPr>
              <w:pStyle w:val="TableContents"/>
              <w:bidi w:val="0"/>
              <w:spacing w:before="0" w:after="0"/>
              <w:ind w:left="0" w:right="0" w:firstLine="7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7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(132,799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(162,957</w:t>
            </w:r>
          </w:p>
        </w:tc>
        <w:tc>
          <w:tcPr>
            <w:tcW w:w="1216" w:type="dxa"/>
            <w:tcBorders/>
            <w:vAlign w:val="center"/>
          </w:tcPr>
          <w:p>
            <w:pPr>
              <w:pStyle w:val="TableContents"/>
              <w:bidi w:val="0"/>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Maturities of short-term investments</w:t>
            </w:r>
          </w:p>
        </w:tc>
        <w:tc>
          <w:tcPr>
            <w:tcW w:w="146" w:type="dxa"/>
            <w:tcBorders/>
            <w:vAlign w:val="center"/>
          </w:tcPr>
          <w:p>
            <w:pPr>
              <w:pStyle w:val="TableContents"/>
              <w:bidi w:val="0"/>
              <w:spacing w:before="0" w:after="0"/>
              <w:ind w:left="80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44,627</w:t>
            </w:r>
          </w:p>
        </w:tc>
        <w:tc>
          <w:tcPr>
            <w:tcW w:w="268" w:type="dxa"/>
            <w:tcBorders/>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44,000</w:t>
            </w:r>
          </w:p>
        </w:tc>
        <w:tc>
          <w:tcPr>
            <w:tcW w:w="866" w:type="dxa"/>
            <w:tcBorders/>
            <w:vAlign w:val="center"/>
          </w:tcPr>
          <w:p>
            <w:pPr>
              <w:pStyle w:val="TableContents"/>
              <w:bidi w:val="0"/>
              <w:spacing w:before="0" w:after="0"/>
              <w:ind w:left="0" w:right="0" w:firstLine="700"/>
              <w:jc w:val="left"/>
              <w:rPr/>
            </w:pPr>
            <w:r>
              <w:rPr/>
              <w:t> </w:t>
            </w:r>
          </w:p>
        </w:tc>
        <w:tc>
          <w:tcPr>
            <w:tcW w:w="246" w:type="dxa"/>
            <w:tcBorders/>
            <w:vAlign w:val="center"/>
          </w:tcPr>
          <w:p>
            <w:pPr>
              <w:pStyle w:val="TableContents"/>
              <w:bidi w:val="0"/>
              <w:spacing w:before="0" w:after="0"/>
              <w:ind w:left="7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102,747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44,000</w:t>
            </w:r>
          </w:p>
        </w:tc>
        <w:tc>
          <w:tcPr>
            <w:tcW w:w="1216" w:type="dxa"/>
            <w:tcBorders/>
            <w:vAlign w:val="center"/>
          </w:tcPr>
          <w:p>
            <w:pPr>
              <w:pStyle w:val="TableContents"/>
              <w:bidi w:val="0"/>
              <w:spacing w:before="0" w:after="0"/>
              <w:ind w:left="0" w:right="0" w:firstLine="400"/>
              <w:jc w:val="left"/>
              <w:rPr/>
            </w:pPr>
            <w:r>
              <w:rPr/>
              <w:t> </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Cash paid for acquisitions, net of cash acquired</w:t>
            </w:r>
          </w:p>
        </w:tc>
        <w:tc>
          <w:tcPr>
            <w:tcW w:w="146" w:type="dxa"/>
            <w:tcBorders/>
            <w:vAlign w:val="center"/>
          </w:tcPr>
          <w:p>
            <w:pPr>
              <w:pStyle w:val="TableContents"/>
              <w:bidi w:val="0"/>
              <w:spacing w:before="0" w:after="0"/>
              <w:ind w:left="80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(56,499</w:t>
            </w:r>
          </w:p>
        </w:tc>
        <w:tc>
          <w:tcPr>
            <w:tcW w:w="1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Net cash provided by (used in) investing activities</w:t>
            </w:r>
          </w:p>
        </w:tc>
        <w:tc>
          <w:tcPr>
            <w:tcW w:w="146" w:type="dxa"/>
            <w:tcBorders/>
            <w:vAlign w:val="center"/>
          </w:tcPr>
          <w:p>
            <w:pPr>
              <w:pStyle w:val="TableContents"/>
              <w:bidi w:val="0"/>
              <w:spacing w:before="0" w:after="0"/>
              <w:ind w:left="80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1,340</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(10,181</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(32,130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10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(177,033</w:t>
            </w:r>
          </w:p>
        </w:tc>
        <w:tc>
          <w:tcPr>
            <w:tcW w:w="1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3033" w:type="dxa"/>
            <w:tcBorders/>
            <w:vAlign w:val="center"/>
          </w:tcPr>
          <w:p>
            <w:pPr>
              <w:pStyle w:val="TableContents"/>
              <w:bidi w:val="0"/>
              <w:spacing w:before="0" w:after="0"/>
              <w:ind w:left="0" w:right="0" w:firstLine="100"/>
              <w:jc w:val="left"/>
              <w:rPr>
                <w:rFonts w:ascii="Times New Roman;serif" w:hAnsi="Times New Roman;serif"/>
                <w:b/>
                <w:sz w:val="17"/>
              </w:rPr>
            </w:pPr>
            <w:r>
              <w:rPr>
                <w:rFonts w:ascii="Times New Roman;serif" w:hAnsi="Times New Roman;serif"/>
                <w:b/>
                <w:sz w:val="17"/>
              </w:rPr>
              <w:t>Cash flows used in financing activities:</w:t>
            </w:r>
          </w:p>
        </w:tc>
        <w:tc>
          <w:tcPr>
            <w:tcW w:w="146" w:type="dxa"/>
            <w:tcBorders/>
            <w:vAlign w:val="center"/>
          </w:tcPr>
          <w:p>
            <w:pPr>
              <w:pStyle w:val="TableContents"/>
              <w:bidi w:val="0"/>
              <w:spacing w:before="0" w:after="0"/>
              <w:ind w:left="100" w:right="0" w:hanging="0"/>
              <w:jc w:val="left"/>
              <w:rPr/>
            </w:pPr>
            <w:r>
              <w:rPr/>
              <w:t> </w:t>
            </w:r>
          </w:p>
        </w:tc>
        <w:tc>
          <w:tcPr>
            <w:tcW w:w="896" w:type="dxa"/>
            <w:gridSpan w:val="2"/>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firstLine="100"/>
              <w:jc w:val="right"/>
              <w:rPr/>
            </w:pPr>
            <w:r>
              <w:rPr/>
              <w:t> </w:t>
            </w:r>
          </w:p>
        </w:tc>
        <w:tc>
          <w:tcPr>
            <w:tcW w:w="147" w:type="dxa"/>
            <w:tcBorders/>
            <w:vAlign w:val="center"/>
          </w:tcPr>
          <w:p>
            <w:pPr>
              <w:pStyle w:val="TableContents"/>
              <w:bidi w:val="0"/>
              <w:spacing w:before="0" w:after="0"/>
              <w:ind w:left="100" w:right="0" w:hanging="0"/>
              <w:jc w:val="left"/>
              <w:rPr/>
            </w:pPr>
            <w:r>
              <w:rPr/>
              <w:t> </w:t>
            </w:r>
          </w:p>
        </w:tc>
        <w:tc>
          <w:tcPr>
            <w:tcW w:w="943" w:type="dxa"/>
            <w:gridSpan w:val="2"/>
            <w:tcBorders/>
            <w:vAlign w:val="center"/>
          </w:tcPr>
          <w:p>
            <w:pPr>
              <w:pStyle w:val="TableContents"/>
              <w:bidi w:val="0"/>
              <w:spacing w:before="0" w:after="0"/>
              <w:ind w:left="0" w:right="0" w:hanging="0"/>
              <w:jc w:val="right"/>
              <w:rPr/>
            </w:pPr>
            <w:r>
              <w:rPr/>
              <w:t> </w:t>
            </w:r>
          </w:p>
        </w:tc>
        <w:tc>
          <w:tcPr>
            <w:tcW w:w="86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right"/>
              <w:rPr/>
            </w:pPr>
            <w:r>
              <w:rPr/>
              <w:t> </w:t>
            </w:r>
          </w:p>
        </w:tc>
        <w:tc>
          <w:tcPr>
            <w:tcW w:w="985" w:type="dxa"/>
            <w:gridSpan w:val="2"/>
            <w:tcBorders/>
            <w:vAlign w:val="center"/>
          </w:tcPr>
          <w:p>
            <w:pPr>
              <w:pStyle w:val="TableContents"/>
              <w:bidi w:val="0"/>
              <w:spacing w:before="0" w:after="0"/>
              <w:ind w:left="100" w:right="0" w:hanging="0"/>
              <w:jc w:val="left"/>
              <w:rPr/>
            </w:pPr>
            <w:r>
              <w:rPr/>
              <w:t> </w:t>
            </w:r>
          </w:p>
        </w:tc>
        <w:tc>
          <w:tcPr>
            <w:tcW w:w="1216" w:type="dxa"/>
            <w:tcBorders/>
            <w:vAlign w:val="center"/>
          </w:tcPr>
          <w:p>
            <w:pPr>
              <w:pStyle w:val="TableContents"/>
              <w:bidi w:val="0"/>
              <w:spacing w:before="0" w:after="0"/>
              <w:ind w:left="0" w:right="0" w:firstLine="400"/>
              <w:jc w:val="left"/>
              <w:rPr/>
            </w:pPr>
            <w:r>
              <w:rPr/>
              <w:t> </w:t>
            </w:r>
          </w:p>
        </w:tc>
      </w:tr>
      <w:tr>
        <w:trPr/>
        <w:tc>
          <w:tcPr>
            <w:tcW w:w="3033" w:type="dxa"/>
            <w:tcBorders/>
            <w:vAlign w:val="center"/>
          </w:tcPr>
          <w:p>
            <w:pPr>
              <w:pStyle w:val="TableContents"/>
              <w:bidi w:val="0"/>
              <w:spacing w:before="0" w:after="0"/>
              <w:ind w:left="0" w:right="0" w:firstLine="400"/>
              <w:jc w:val="left"/>
              <w:rPr>
                <w:rFonts w:ascii="Times New Roman;serif" w:hAnsi="Times New Roman;serif"/>
                <w:b w:val="false"/>
                <w:sz w:val="17"/>
              </w:rPr>
            </w:pPr>
            <w:r>
              <w:rPr>
                <w:rFonts w:ascii="Times New Roman;serif" w:hAnsi="Times New Roman;serif"/>
                <w:b w:val="false"/>
                <w:sz w:val="17"/>
              </w:rPr>
              <w:t>Repayments of term loans</w:t>
            </w:r>
          </w:p>
        </w:tc>
        <w:tc>
          <w:tcPr>
            <w:tcW w:w="146" w:type="dxa"/>
            <w:tcBorders/>
            <w:vAlign w:val="center"/>
          </w:tcPr>
          <w:p>
            <w:pPr>
              <w:pStyle w:val="TableContents"/>
              <w:bidi w:val="0"/>
              <w:spacing w:before="0" w:after="0"/>
              <w:ind w:left="40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(1,719</w:t>
            </w:r>
          </w:p>
        </w:tc>
        <w:tc>
          <w:tcPr>
            <w:tcW w:w="268"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(1,719</w:t>
            </w:r>
          </w:p>
        </w:tc>
        <w:tc>
          <w:tcPr>
            <w:tcW w:w="866"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(3,438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(3,438</w:t>
            </w:r>
          </w:p>
        </w:tc>
        <w:tc>
          <w:tcPr>
            <w:tcW w:w="1216" w:type="dxa"/>
            <w:tcBorders/>
            <w:vAlign w:val="center"/>
          </w:tcPr>
          <w:p>
            <w:pPr>
              <w:pStyle w:val="TableContents"/>
              <w:bidi w:val="0"/>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Taxes paid related to net share settlement of equity awards</w:t>
            </w:r>
          </w:p>
        </w:tc>
        <w:tc>
          <w:tcPr>
            <w:tcW w:w="146" w:type="dxa"/>
            <w:tcBorders/>
            <w:vAlign w:val="center"/>
          </w:tcPr>
          <w:p>
            <w:pPr>
              <w:pStyle w:val="TableContents"/>
              <w:bidi w:val="0"/>
              <w:spacing w:before="0" w:after="0"/>
              <w:ind w:left="80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(1,085</w:t>
            </w:r>
          </w:p>
        </w:tc>
        <w:tc>
          <w:tcPr>
            <w:tcW w:w="268"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pPr>
            <w:r>
              <w:rPr/>
              <w:t>—</w:t>
            </w:r>
          </w:p>
        </w:tc>
        <w:tc>
          <w:tcPr>
            <w:tcW w:w="866" w:type="dxa"/>
            <w:tcBorders/>
            <w:vAlign w:val="center"/>
          </w:tcPr>
          <w:p>
            <w:pPr>
              <w:pStyle w:val="TableContents"/>
              <w:bidi w:val="0"/>
              <w:spacing w:before="0" w:after="0"/>
              <w:ind w:left="0" w:right="0" w:firstLine="700"/>
              <w:jc w:val="left"/>
              <w:rPr/>
            </w:pPr>
            <w:r>
              <w:rPr/>
              <w:t> </w:t>
            </w:r>
          </w:p>
        </w:tc>
        <w:tc>
          <w:tcPr>
            <w:tcW w:w="246" w:type="dxa"/>
            <w:tcBorders/>
            <w:vAlign w:val="center"/>
          </w:tcPr>
          <w:p>
            <w:pPr>
              <w:pStyle w:val="TableContents"/>
              <w:bidi w:val="0"/>
              <w:spacing w:before="0" w:after="0"/>
              <w:ind w:left="7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(2,615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w:t>
            </w:r>
          </w:p>
        </w:tc>
        <w:tc>
          <w:tcPr>
            <w:tcW w:w="1216" w:type="dxa"/>
            <w:tcBorders/>
            <w:vAlign w:val="center"/>
          </w:tcPr>
          <w:p>
            <w:pPr>
              <w:pStyle w:val="TableContents"/>
              <w:bidi w:val="0"/>
              <w:spacing w:before="0" w:after="0"/>
              <w:ind w:left="0" w:right="0" w:firstLine="400"/>
              <w:jc w:val="left"/>
              <w:rPr/>
            </w:pPr>
            <w:r>
              <w:rPr/>
              <w:t> </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Payment of contingent consideration</w:t>
            </w:r>
          </w:p>
        </w:tc>
        <w:tc>
          <w:tcPr>
            <w:tcW w:w="146" w:type="dxa"/>
            <w:tcBorders/>
            <w:vAlign w:val="center"/>
          </w:tcPr>
          <w:p>
            <w:pPr>
              <w:pStyle w:val="TableContents"/>
              <w:bidi w:val="0"/>
              <w:spacing w:before="0" w:after="0"/>
              <w:ind w:left="80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268" w:type="dxa"/>
            <w:tcBorders/>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pPr>
            <w:r>
              <w:rPr/>
              <w:t>—</w:t>
            </w:r>
          </w:p>
        </w:tc>
        <w:tc>
          <w:tcPr>
            <w:tcW w:w="866" w:type="dxa"/>
            <w:tcBorders/>
            <w:vAlign w:val="center"/>
          </w:tcPr>
          <w:p>
            <w:pPr>
              <w:pStyle w:val="TableContents"/>
              <w:bidi w:val="0"/>
              <w:spacing w:before="0" w:after="0"/>
              <w:ind w:left="0" w:right="0" w:firstLine="700"/>
              <w:jc w:val="left"/>
              <w:rPr/>
            </w:pPr>
            <w:r>
              <w:rPr/>
              <w:t> </w:t>
            </w:r>
          </w:p>
        </w:tc>
        <w:tc>
          <w:tcPr>
            <w:tcW w:w="246" w:type="dxa"/>
            <w:tcBorders/>
            <w:vAlign w:val="center"/>
          </w:tcPr>
          <w:p>
            <w:pPr>
              <w:pStyle w:val="TableContents"/>
              <w:bidi w:val="0"/>
              <w:spacing w:before="0" w:after="0"/>
              <w:ind w:left="7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(1,100</w:t>
            </w:r>
          </w:p>
        </w:tc>
        <w:tc>
          <w:tcPr>
            <w:tcW w:w="1216" w:type="dxa"/>
            <w:tcBorders/>
            <w:vAlign w:val="center"/>
          </w:tcPr>
          <w:p>
            <w:pPr>
              <w:pStyle w:val="TableContents"/>
              <w:bidi w:val="0"/>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Payments under tax receivable agreement</w:t>
            </w:r>
          </w:p>
        </w:tc>
        <w:tc>
          <w:tcPr>
            <w:tcW w:w="146" w:type="dxa"/>
            <w:tcBorders/>
            <w:vAlign w:val="center"/>
          </w:tcPr>
          <w:p>
            <w:pPr>
              <w:pStyle w:val="TableContents"/>
              <w:bidi w:val="0"/>
              <w:spacing w:before="0" w:after="0"/>
              <w:ind w:left="80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268" w:type="dxa"/>
            <w:tcBorders/>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pPr>
            <w:r>
              <w:rPr/>
              <w:t>—</w:t>
            </w:r>
          </w:p>
        </w:tc>
        <w:tc>
          <w:tcPr>
            <w:tcW w:w="866" w:type="dxa"/>
            <w:tcBorders/>
            <w:vAlign w:val="center"/>
          </w:tcPr>
          <w:p>
            <w:pPr>
              <w:pStyle w:val="TableContents"/>
              <w:bidi w:val="0"/>
              <w:spacing w:before="0" w:after="0"/>
              <w:ind w:left="0" w:right="0" w:firstLine="700"/>
              <w:jc w:val="left"/>
              <w:rPr/>
            </w:pPr>
            <w:r>
              <w:rPr/>
              <w:t> </w:t>
            </w:r>
          </w:p>
        </w:tc>
        <w:tc>
          <w:tcPr>
            <w:tcW w:w="246" w:type="dxa"/>
            <w:tcBorders/>
            <w:vAlign w:val="center"/>
          </w:tcPr>
          <w:p>
            <w:pPr>
              <w:pStyle w:val="TableContents"/>
              <w:bidi w:val="0"/>
              <w:spacing w:before="0" w:after="0"/>
              <w:ind w:left="7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(246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w:t>
            </w:r>
          </w:p>
        </w:tc>
        <w:tc>
          <w:tcPr>
            <w:tcW w:w="1216" w:type="dxa"/>
            <w:tcBorders/>
            <w:vAlign w:val="center"/>
          </w:tcPr>
          <w:p>
            <w:pPr>
              <w:pStyle w:val="TableContents"/>
              <w:bidi w:val="0"/>
              <w:spacing w:before="0" w:after="0"/>
              <w:ind w:left="0" w:right="0" w:firstLine="400"/>
              <w:jc w:val="left"/>
              <w:rPr/>
            </w:pPr>
            <w:r>
              <w:rPr/>
              <w:t> </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Payments of equity offering issuance costs</w:t>
            </w:r>
          </w:p>
        </w:tc>
        <w:tc>
          <w:tcPr>
            <w:tcW w:w="146" w:type="dxa"/>
            <w:tcBorders/>
            <w:vAlign w:val="center"/>
          </w:tcPr>
          <w:p>
            <w:pPr>
              <w:pStyle w:val="TableContents"/>
              <w:bidi w:val="0"/>
              <w:spacing w:before="0" w:after="0"/>
              <w:ind w:left="80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268" w:type="dxa"/>
            <w:tcBorders/>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pPr>
            <w:r>
              <w:rPr/>
              <w:t>—</w:t>
            </w:r>
          </w:p>
        </w:tc>
        <w:tc>
          <w:tcPr>
            <w:tcW w:w="866" w:type="dxa"/>
            <w:tcBorders/>
            <w:vAlign w:val="center"/>
          </w:tcPr>
          <w:p>
            <w:pPr>
              <w:pStyle w:val="TableContents"/>
              <w:bidi w:val="0"/>
              <w:spacing w:before="0" w:after="0"/>
              <w:ind w:left="0" w:right="0" w:firstLine="700"/>
              <w:jc w:val="left"/>
              <w:rPr/>
            </w:pPr>
            <w:r>
              <w:rPr/>
              <w:t> </w:t>
            </w:r>
          </w:p>
        </w:tc>
        <w:tc>
          <w:tcPr>
            <w:tcW w:w="246" w:type="dxa"/>
            <w:tcBorders/>
            <w:vAlign w:val="center"/>
          </w:tcPr>
          <w:p>
            <w:pPr>
              <w:pStyle w:val="TableContents"/>
              <w:bidi w:val="0"/>
              <w:spacing w:before="0" w:after="0"/>
              <w:ind w:left="7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(1,299</w:t>
            </w:r>
          </w:p>
        </w:tc>
        <w:tc>
          <w:tcPr>
            <w:tcW w:w="1216" w:type="dxa"/>
            <w:tcBorders/>
            <w:vAlign w:val="center"/>
          </w:tcPr>
          <w:p>
            <w:pPr>
              <w:pStyle w:val="TableContents"/>
              <w:bidi w:val="0"/>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Member distributions</w:t>
            </w:r>
          </w:p>
        </w:tc>
        <w:tc>
          <w:tcPr>
            <w:tcW w:w="146" w:type="dxa"/>
            <w:tcBorders/>
            <w:vAlign w:val="center"/>
          </w:tcPr>
          <w:p>
            <w:pPr>
              <w:pStyle w:val="TableContents"/>
              <w:bidi w:val="0"/>
              <w:spacing w:before="0" w:after="0"/>
              <w:ind w:left="80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(2,827</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7" w:type="dxa"/>
            <w:tcBorders/>
            <w:vAlign w:val="center"/>
          </w:tcPr>
          <w:p>
            <w:pPr>
              <w:pStyle w:val="TableContents"/>
              <w:bidi w:val="0"/>
              <w:spacing w:before="0" w:after="0"/>
              <w:ind w:left="10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(5,029</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firstLine="7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7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(2,827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10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(5,287</w:t>
            </w:r>
          </w:p>
        </w:tc>
        <w:tc>
          <w:tcPr>
            <w:tcW w:w="1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Net cash used in financing activities</w:t>
            </w:r>
          </w:p>
        </w:tc>
        <w:tc>
          <w:tcPr>
            <w:tcW w:w="146" w:type="dxa"/>
            <w:tcBorders/>
            <w:vAlign w:val="center"/>
          </w:tcPr>
          <w:p>
            <w:pPr>
              <w:pStyle w:val="TableContents"/>
              <w:bidi w:val="0"/>
              <w:spacing w:before="0" w:after="0"/>
              <w:ind w:left="80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(5,631</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7" w:type="dxa"/>
            <w:tcBorders/>
            <w:vAlign w:val="center"/>
          </w:tcPr>
          <w:p>
            <w:pPr>
              <w:pStyle w:val="TableContents"/>
              <w:bidi w:val="0"/>
              <w:spacing w:before="0" w:after="0"/>
              <w:ind w:left="10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(6,748</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(9,156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10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(11,124</w:t>
            </w:r>
          </w:p>
        </w:tc>
        <w:tc>
          <w:tcPr>
            <w:tcW w:w="1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Net increase (decrease) in cash and cash equivalents</w:t>
            </w:r>
          </w:p>
        </w:tc>
        <w:tc>
          <w:tcPr>
            <w:tcW w:w="146" w:type="dxa"/>
            <w:tcBorders/>
            <w:vAlign w:val="center"/>
          </w:tcPr>
          <w:p>
            <w:pPr>
              <w:pStyle w:val="TableContents"/>
              <w:bidi w:val="0"/>
              <w:spacing w:before="0" w:after="0"/>
              <w:ind w:left="80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7,746</w:t>
            </w:r>
          </w:p>
        </w:tc>
        <w:tc>
          <w:tcPr>
            <w:tcW w:w="268" w:type="dxa"/>
            <w:tcBorders/>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(1,448</w:t>
            </w:r>
          </w:p>
        </w:tc>
        <w:tc>
          <w:tcPr>
            <w:tcW w:w="8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(14,292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(159,043</w:t>
            </w:r>
          </w:p>
        </w:tc>
        <w:tc>
          <w:tcPr>
            <w:tcW w:w="1216" w:type="dxa"/>
            <w:tcBorders/>
            <w:vAlign w:val="center"/>
          </w:tcPr>
          <w:p>
            <w:pPr>
              <w:pStyle w:val="TableContents"/>
              <w:bidi w:val="0"/>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Effect of exchange rate changes on cash and cash equivalents</w:t>
            </w:r>
          </w:p>
        </w:tc>
        <w:tc>
          <w:tcPr>
            <w:tcW w:w="146" w:type="dxa"/>
            <w:tcBorders/>
            <w:vAlign w:val="center"/>
          </w:tcPr>
          <w:p>
            <w:pPr>
              <w:pStyle w:val="TableContents"/>
              <w:bidi w:val="0"/>
              <w:spacing w:before="0" w:after="0"/>
              <w:ind w:left="80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(322</w:t>
            </w:r>
          </w:p>
        </w:tc>
        <w:tc>
          <w:tcPr>
            <w:tcW w:w="268"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(145</w:t>
            </w:r>
          </w:p>
        </w:tc>
        <w:tc>
          <w:tcPr>
            <w:tcW w:w="8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(253</w:t>
            </w:r>
          </w:p>
        </w:tc>
        <w:tc>
          <w:tcPr>
            <w:tcW w:w="1216" w:type="dxa"/>
            <w:tcBorders/>
            <w:vAlign w:val="center"/>
          </w:tcPr>
          <w:p>
            <w:pPr>
              <w:pStyle w:val="TableContents"/>
              <w:bidi w:val="0"/>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3033"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Cash and cash equivalents, beginning of period</w:t>
            </w:r>
          </w:p>
        </w:tc>
        <w:tc>
          <w:tcPr>
            <w:tcW w:w="146" w:type="dxa"/>
            <w:tcBorders/>
            <w:vAlign w:val="center"/>
          </w:tcPr>
          <w:p>
            <w:pPr>
              <w:pStyle w:val="TableContents"/>
              <w:bidi w:val="0"/>
              <w:spacing w:before="0" w:after="0"/>
              <w:ind w:left="80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124,961</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229,795</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146,934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387,498</w:t>
            </w:r>
          </w:p>
        </w:tc>
        <w:tc>
          <w:tcPr>
            <w:tcW w:w="121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033"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Cash and cash equivalents, end of period</w:t>
            </w:r>
          </w:p>
        </w:tc>
        <w:tc>
          <w:tcPr>
            <w:tcW w:w="146" w:type="dxa"/>
            <w:tcBorders/>
            <w:vAlign w:val="center"/>
          </w:tcPr>
          <w:p>
            <w:pPr>
              <w:pStyle w:val="TableContents"/>
              <w:bidi w:val="0"/>
              <w:spacing w:before="0" w:after="0"/>
              <w:ind w:left="500" w:right="0" w:hanging="0"/>
              <w:jc w:val="left"/>
              <w:rPr/>
            </w:pPr>
            <w:r>
              <w:rPr/>
              <w:t> </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132,385</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228,202</w:t>
            </w:r>
          </w:p>
        </w:tc>
        <w:tc>
          <w:tcPr>
            <w:tcW w:w="866" w:type="dxa"/>
            <w:tcBorders>
              <w:bottom w:val="double" w:sz="6"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c>
          <w:tcPr>
            <w:tcW w:w="246" w:type="dxa"/>
            <w:tcBorders/>
            <w:vAlign w:val="center"/>
          </w:tcPr>
          <w:p>
            <w:pPr>
              <w:pStyle w:val="TableContents"/>
              <w:bidi w:val="0"/>
              <w:spacing w:before="0" w:after="0"/>
              <w:ind w:left="40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132,385</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228,202</w:t>
            </w:r>
          </w:p>
        </w:tc>
        <w:tc>
          <w:tcPr>
            <w:tcW w:w="1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33" w:type="dxa"/>
            <w:tcBorders/>
            <w:vAlign w:val="center"/>
          </w:tcPr>
          <w:p>
            <w:pPr>
              <w:pStyle w:val="TableContents"/>
              <w:bidi w:val="0"/>
              <w:spacing w:before="0" w:after="0"/>
              <w:ind w:left="0" w:right="0" w:firstLine="100"/>
              <w:jc w:val="left"/>
              <w:rPr>
                <w:rFonts w:ascii="Times New Roman;serif" w:hAnsi="Times New Roman;serif"/>
                <w:b/>
                <w:sz w:val="17"/>
              </w:rPr>
            </w:pPr>
            <w:r>
              <w:rPr>
                <w:rFonts w:ascii="Times New Roman;serif" w:hAnsi="Times New Roman;serif"/>
                <w:b/>
                <w:sz w:val="17"/>
              </w:rPr>
              <w:t>Supplemental cash flow disclosures:</w:t>
            </w:r>
          </w:p>
        </w:tc>
        <w:tc>
          <w:tcPr>
            <w:tcW w:w="146" w:type="dxa"/>
            <w:tcBorders/>
            <w:vAlign w:val="center"/>
          </w:tcPr>
          <w:p>
            <w:pPr>
              <w:pStyle w:val="TableContents"/>
              <w:bidi w:val="0"/>
              <w:spacing w:before="0" w:after="0"/>
              <w:ind w:left="100" w:right="0" w:hanging="0"/>
              <w:jc w:val="left"/>
              <w:rPr/>
            </w:pPr>
            <w:r>
              <w:rPr/>
              <w:t> </w:t>
            </w:r>
          </w:p>
        </w:tc>
        <w:tc>
          <w:tcPr>
            <w:tcW w:w="896" w:type="dxa"/>
            <w:gridSpan w:val="2"/>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firstLine="100"/>
              <w:jc w:val="right"/>
              <w:rPr/>
            </w:pPr>
            <w:r>
              <w:rPr/>
              <w:t> </w:t>
            </w:r>
          </w:p>
        </w:tc>
        <w:tc>
          <w:tcPr>
            <w:tcW w:w="147" w:type="dxa"/>
            <w:tcBorders/>
            <w:vAlign w:val="center"/>
          </w:tcPr>
          <w:p>
            <w:pPr>
              <w:pStyle w:val="TableContents"/>
              <w:bidi w:val="0"/>
              <w:spacing w:before="0" w:after="0"/>
              <w:ind w:left="100" w:right="0" w:hanging="0"/>
              <w:jc w:val="left"/>
              <w:rPr/>
            </w:pPr>
            <w:r>
              <w:rPr/>
              <w:t> </w:t>
            </w:r>
          </w:p>
        </w:tc>
        <w:tc>
          <w:tcPr>
            <w:tcW w:w="943" w:type="dxa"/>
            <w:gridSpan w:val="2"/>
            <w:tcBorders/>
            <w:vAlign w:val="center"/>
          </w:tcPr>
          <w:p>
            <w:pPr>
              <w:pStyle w:val="TableContents"/>
              <w:bidi w:val="0"/>
              <w:spacing w:before="0" w:after="0"/>
              <w:ind w:left="0" w:right="0" w:hanging="0"/>
              <w:jc w:val="right"/>
              <w:rPr/>
            </w:pPr>
            <w:r>
              <w:rPr/>
              <w:t> </w:t>
            </w:r>
          </w:p>
        </w:tc>
        <w:tc>
          <w:tcPr>
            <w:tcW w:w="86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right"/>
              <w:rPr/>
            </w:pPr>
            <w:r>
              <w:rPr/>
              <w:t> </w:t>
            </w:r>
          </w:p>
        </w:tc>
        <w:tc>
          <w:tcPr>
            <w:tcW w:w="985" w:type="dxa"/>
            <w:gridSpan w:val="2"/>
            <w:tcBorders/>
            <w:vAlign w:val="center"/>
          </w:tcPr>
          <w:p>
            <w:pPr>
              <w:pStyle w:val="TableContents"/>
              <w:bidi w:val="0"/>
              <w:spacing w:before="0" w:after="0"/>
              <w:ind w:left="100" w:right="0" w:hanging="0"/>
              <w:jc w:val="left"/>
              <w:rPr/>
            </w:pPr>
            <w:r>
              <w:rPr/>
              <w:t> </w:t>
            </w:r>
          </w:p>
        </w:tc>
        <w:tc>
          <w:tcPr>
            <w:tcW w:w="1216" w:type="dxa"/>
            <w:tcBorders/>
            <w:vAlign w:val="center"/>
          </w:tcPr>
          <w:p>
            <w:pPr>
              <w:pStyle w:val="TableContents"/>
              <w:bidi w:val="0"/>
              <w:spacing w:before="0" w:after="0"/>
              <w:ind w:left="0" w:right="0" w:firstLine="400"/>
              <w:jc w:val="left"/>
              <w:rPr/>
            </w:pPr>
            <w:r>
              <w:rPr/>
              <w:t> </w:t>
            </w:r>
          </w:p>
        </w:tc>
      </w:tr>
      <w:tr>
        <w:trPr/>
        <w:tc>
          <w:tcPr>
            <w:tcW w:w="3033" w:type="dxa"/>
            <w:tcBorders/>
            <w:vAlign w:val="center"/>
          </w:tcPr>
          <w:p>
            <w:pPr>
              <w:pStyle w:val="TableContents"/>
              <w:bidi w:val="0"/>
              <w:spacing w:before="0" w:after="0"/>
              <w:ind w:left="0" w:right="0" w:firstLine="100"/>
              <w:jc w:val="left"/>
              <w:rPr>
                <w:rFonts w:ascii="Times New Roman;serif" w:hAnsi="Times New Roman;serif"/>
                <w:b w:val="false"/>
                <w:sz w:val="17"/>
              </w:rPr>
            </w:pPr>
            <w:r>
              <w:rPr>
                <w:rFonts w:ascii="Times New Roman;serif" w:hAnsi="Times New Roman;serif"/>
                <w:b w:val="false"/>
                <w:sz w:val="17"/>
              </w:rPr>
              <w:t>Cash paid during the period for:</w:t>
            </w:r>
          </w:p>
        </w:tc>
        <w:tc>
          <w:tcPr>
            <w:tcW w:w="146" w:type="dxa"/>
            <w:tcBorders/>
            <w:vAlign w:val="center"/>
          </w:tcPr>
          <w:p>
            <w:pPr>
              <w:pStyle w:val="TableContents"/>
              <w:bidi w:val="0"/>
              <w:spacing w:before="0" w:after="0"/>
              <w:ind w:left="100" w:right="0" w:hanging="0"/>
              <w:jc w:val="left"/>
              <w:rPr/>
            </w:pPr>
            <w:r>
              <w:rPr/>
              <w:t> </w:t>
            </w:r>
          </w:p>
        </w:tc>
        <w:tc>
          <w:tcPr>
            <w:tcW w:w="896" w:type="dxa"/>
            <w:gridSpan w:val="2"/>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firstLine="100"/>
              <w:jc w:val="right"/>
              <w:rPr/>
            </w:pPr>
            <w:r>
              <w:rPr/>
              <w:t> </w:t>
            </w:r>
          </w:p>
        </w:tc>
        <w:tc>
          <w:tcPr>
            <w:tcW w:w="147" w:type="dxa"/>
            <w:tcBorders/>
            <w:vAlign w:val="center"/>
          </w:tcPr>
          <w:p>
            <w:pPr>
              <w:pStyle w:val="TableContents"/>
              <w:bidi w:val="0"/>
              <w:spacing w:before="0" w:after="0"/>
              <w:ind w:left="100" w:right="0" w:hanging="0"/>
              <w:jc w:val="left"/>
              <w:rPr/>
            </w:pPr>
            <w:r>
              <w:rPr/>
              <w:t> </w:t>
            </w:r>
          </w:p>
        </w:tc>
        <w:tc>
          <w:tcPr>
            <w:tcW w:w="943" w:type="dxa"/>
            <w:gridSpan w:val="2"/>
            <w:tcBorders/>
            <w:vAlign w:val="center"/>
          </w:tcPr>
          <w:p>
            <w:pPr>
              <w:pStyle w:val="TableContents"/>
              <w:bidi w:val="0"/>
              <w:spacing w:before="0" w:after="0"/>
              <w:ind w:left="0" w:right="0" w:hanging="0"/>
              <w:jc w:val="right"/>
              <w:rPr/>
            </w:pPr>
            <w:r>
              <w:rPr/>
              <w:t> </w:t>
            </w:r>
          </w:p>
        </w:tc>
        <w:tc>
          <w:tcPr>
            <w:tcW w:w="86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right"/>
              <w:rPr/>
            </w:pPr>
            <w:r>
              <w:rPr/>
              <w:t> </w:t>
            </w:r>
          </w:p>
        </w:tc>
        <w:tc>
          <w:tcPr>
            <w:tcW w:w="985" w:type="dxa"/>
            <w:gridSpan w:val="2"/>
            <w:tcBorders/>
            <w:vAlign w:val="center"/>
          </w:tcPr>
          <w:p>
            <w:pPr>
              <w:pStyle w:val="TableContents"/>
              <w:bidi w:val="0"/>
              <w:spacing w:before="0" w:after="0"/>
              <w:ind w:left="100" w:right="0" w:hanging="0"/>
              <w:jc w:val="left"/>
              <w:rPr/>
            </w:pPr>
            <w:r>
              <w:rPr/>
              <w:t> </w:t>
            </w:r>
          </w:p>
        </w:tc>
        <w:tc>
          <w:tcPr>
            <w:tcW w:w="1216" w:type="dxa"/>
            <w:tcBorders/>
            <w:vAlign w:val="center"/>
          </w:tcPr>
          <w:p>
            <w:pPr>
              <w:pStyle w:val="TableContents"/>
              <w:bidi w:val="0"/>
              <w:spacing w:before="0" w:after="0"/>
              <w:ind w:left="0" w:right="0" w:firstLine="600"/>
              <w:jc w:val="left"/>
              <w:rPr/>
            </w:pPr>
            <w:r>
              <w:rPr/>
              <w:t> </w:t>
            </w:r>
          </w:p>
        </w:tc>
      </w:tr>
      <w:tr>
        <w:trPr/>
        <w:tc>
          <w:tcPr>
            <w:tcW w:w="3033"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Interest</w:t>
            </w:r>
          </w:p>
        </w:tc>
        <w:tc>
          <w:tcPr>
            <w:tcW w:w="146" w:type="dxa"/>
            <w:tcBorders/>
            <w:vAlign w:val="center"/>
          </w:tcPr>
          <w:p>
            <w:pPr>
              <w:pStyle w:val="TableContents"/>
              <w:bidi w:val="0"/>
              <w:spacing w:before="0" w:after="0"/>
              <w:ind w:left="500" w:right="0" w:hanging="0"/>
              <w:jc w:val="left"/>
              <w:rPr/>
            </w:pPr>
            <w:r>
              <w:rPr/>
              <w:t> </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3,616</w:t>
            </w:r>
          </w:p>
        </w:tc>
        <w:tc>
          <w:tcPr>
            <w:tcW w:w="268" w:type="dxa"/>
            <w:tcBorders/>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2,579</w:t>
            </w:r>
          </w:p>
        </w:tc>
        <w:tc>
          <w:tcPr>
            <w:tcW w:w="866" w:type="dxa"/>
            <w:tcBorders/>
            <w:vAlign w:val="center"/>
          </w:tcPr>
          <w:p>
            <w:pPr>
              <w:pStyle w:val="TableContents"/>
              <w:bidi w:val="0"/>
              <w:spacing w:before="0" w:after="0"/>
              <w:ind w:left="0" w:right="0" w:firstLine="400"/>
              <w:jc w:val="left"/>
              <w:rPr/>
            </w:pPr>
            <w:r>
              <w:rPr/>
              <w:t> </w:t>
            </w:r>
          </w:p>
        </w:tc>
        <w:tc>
          <w:tcPr>
            <w:tcW w:w="246" w:type="dxa"/>
            <w:tcBorders/>
            <w:vAlign w:val="center"/>
          </w:tcPr>
          <w:p>
            <w:pPr>
              <w:pStyle w:val="TableContents"/>
              <w:bidi w:val="0"/>
              <w:spacing w:before="0" w:after="0"/>
              <w:ind w:left="40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7,091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4,350</w:t>
            </w:r>
          </w:p>
        </w:tc>
        <w:tc>
          <w:tcPr>
            <w:tcW w:w="1216" w:type="dxa"/>
            <w:tcBorders/>
            <w:vAlign w:val="center"/>
          </w:tcPr>
          <w:p>
            <w:pPr>
              <w:pStyle w:val="TableContents"/>
              <w:bidi w:val="0"/>
              <w:spacing w:before="0" w:after="0"/>
              <w:ind w:left="0" w:right="0" w:firstLine="600"/>
              <w:jc w:val="left"/>
              <w:rPr/>
            </w:pPr>
            <w:r>
              <w:rPr/>
              <w:t> </w:t>
            </w:r>
          </w:p>
        </w:tc>
      </w:tr>
      <w:tr>
        <w:trPr/>
        <w:tc>
          <w:tcPr>
            <w:tcW w:w="3033"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Income taxes</w:t>
            </w:r>
          </w:p>
        </w:tc>
        <w:tc>
          <w:tcPr>
            <w:tcW w:w="146" w:type="dxa"/>
            <w:tcBorders/>
            <w:vAlign w:val="center"/>
          </w:tcPr>
          <w:p>
            <w:pPr>
              <w:pStyle w:val="TableContents"/>
              <w:bidi w:val="0"/>
              <w:spacing w:before="0" w:after="0"/>
              <w:ind w:left="500" w:right="0" w:hanging="0"/>
              <w:jc w:val="left"/>
              <w:rPr/>
            </w:pPr>
            <w:r>
              <w:rPr/>
              <w:t> </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8" w:type="dxa"/>
            <w:tcBorders/>
            <w:vAlign w:val="center"/>
          </w:tcPr>
          <w:p>
            <w:pPr>
              <w:pStyle w:val="TableContents"/>
              <w:bidi w:val="0"/>
              <w:spacing w:before="0" w:after="0"/>
              <w:ind w:left="0" w:right="0" w:hanging="0"/>
              <w:jc w:val="right"/>
              <w:rPr/>
            </w:pPr>
            <w:r>
              <w:rPr/>
              <w:t>—</w:t>
            </w:r>
          </w:p>
        </w:tc>
        <w:tc>
          <w:tcPr>
            <w:tcW w:w="268" w:type="dxa"/>
            <w:tcBorders/>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35" w:type="dxa"/>
            <w:tcBorders/>
            <w:vAlign w:val="center"/>
          </w:tcPr>
          <w:p>
            <w:pPr>
              <w:pStyle w:val="TableContents"/>
              <w:bidi w:val="0"/>
              <w:spacing w:before="0" w:after="0"/>
              <w:ind w:left="0" w:right="0" w:hanging="0"/>
              <w:jc w:val="right"/>
              <w:rPr/>
            </w:pPr>
            <w:r>
              <w:rPr/>
              <w:t>—</w:t>
            </w:r>
          </w:p>
        </w:tc>
        <w:tc>
          <w:tcPr>
            <w:tcW w:w="866" w:type="dxa"/>
            <w:tcBorders/>
            <w:vAlign w:val="center"/>
          </w:tcPr>
          <w:p>
            <w:pPr>
              <w:pStyle w:val="TableContents"/>
              <w:bidi w:val="0"/>
              <w:spacing w:before="0" w:after="0"/>
              <w:ind w:left="0" w:right="0" w:firstLine="400"/>
              <w:jc w:val="left"/>
              <w:rPr/>
            </w:pPr>
            <w:r>
              <w:rPr/>
              <w:t> </w:t>
            </w:r>
          </w:p>
        </w:tc>
        <w:tc>
          <w:tcPr>
            <w:tcW w:w="246" w:type="dxa"/>
            <w:tcBorders/>
            <w:vAlign w:val="center"/>
          </w:tcPr>
          <w:p>
            <w:pPr>
              <w:pStyle w:val="TableContents"/>
              <w:bidi w:val="0"/>
              <w:spacing w:before="0" w:after="0"/>
              <w:ind w:left="40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82" w:type="dxa"/>
            <w:tcBorders/>
            <w:vAlign w:val="center"/>
          </w:tcPr>
          <w:p>
            <w:pPr>
              <w:pStyle w:val="TableContents"/>
              <w:bidi w:val="0"/>
              <w:spacing w:before="0" w:after="0"/>
              <w:ind w:left="0" w:right="0" w:hanging="0"/>
              <w:jc w:val="right"/>
              <w:rPr/>
            </w:pPr>
            <w:r>
              <w:rPr/>
              <w:t>—</w:t>
            </w:r>
          </w:p>
        </w:tc>
        <w:tc>
          <w:tcPr>
            <w:tcW w:w="1216" w:type="dxa"/>
            <w:tcBorders/>
            <w:vAlign w:val="center"/>
          </w:tcPr>
          <w:p>
            <w:pPr>
              <w:pStyle w:val="TableContents"/>
              <w:bidi w:val="0"/>
              <w:spacing w:before="0" w:after="0"/>
              <w:ind w:left="0" w:right="0" w:firstLine="600"/>
              <w:jc w:val="left"/>
              <w:rPr/>
            </w:pPr>
            <w:r>
              <w:rPr/>
              <w:t> </w:t>
            </w:r>
          </w:p>
        </w:tc>
      </w:tr>
      <w:tr>
        <w:trPr/>
        <w:tc>
          <w:tcPr>
            <w:tcW w:w="3033"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Acquisitions:</w:t>
            </w:r>
          </w:p>
        </w:tc>
        <w:tc>
          <w:tcPr>
            <w:tcW w:w="146" w:type="dxa"/>
            <w:tcBorders/>
            <w:vAlign w:val="center"/>
          </w:tcPr>
          <w:p>
            <w:pPr>
              <w:pStyle w:val="TableContents"/>
              <w:bidi w:val="0"/>
              <w:spacing w:before="0" w:after="0"/>
              <w:ind w:left="500" w:right="0" w:hanging="0"/>
              <w:jc w:val="left"/>
              <w:rPr/>
            </w:pPr>
            <w:r>
              <w:rPr/>
              <w:t> </w:t>
            </w:r>
          </w:p>
        </w:tc>
        <w:tc>
          <w:tcPr>
            <w:tcW w:w="896" w:type="dxa"/>
            <w:gridSpan w:val="2"/>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firstLine="100"/>
              <w:jc w:val="right"/>
              <w:rPr/>
            </w:pPr>
            <w:r>
              <w:rPr/>
              <w:t> </w:t>
            </w:r>
          </w:p>
        </w:tc>
        <w:tc>
          <w:tcPr>
            <w:tcW w:w="147" w:type="dxa"/>
            <w:tcBorders/>
            <w:vAlign w:val="center"/>
          </w:tcPr>
          <w:p>
            <w:pPr>
              <w:pStyle w:val="TableContents"/>
              <w:bidi w:val="0"/>
              <w:spacing w:before="0" w:after="0"/>
              <w:ind w:left="100" w:right="0" w:hanging="0"/>
              <w:jc w:val="left"/>
              <w:rPr/>
            </w:pPr>
            <w:r>
              <w:rPr/>
              <w:t> </w:t>
            </w:r>
          </w:p>
        </w:tc>
        <w:tc>
          <w:tcPr>
            <w:tcW w:w="943" w:type="dxa"/>
            <w:gridSpan w:val="2"/>
            <w:tcBorders/>
            <w:vAlign w:val="center"/>
          </w:tcPr>
          <w:p>
            <w:pPr>
              <w:pStyle w:val="TableContents"/>
              <w:bidi w:val="0"/>
              <w:spacing w:before="0" w:after="0"/>
              <w:ind w:left="0" w:right="0" w:hanging="0"/>
              <w:jc w:val="right"/>
              <w:rPr/>
            </w:pPr>
            <w:r>
              <w:rPr/>
              <w:t> </w:t>
            </w:r>
          </w:p>
        </w:tc>
        <w:tc>
          <w:tcPr>
            <w:tcW w:w="866" w:type="dxa"/>
            <w:tcBorders/>
            <w:vAlign w:val="center"/>
          </w:tcPr>
          <w:p>
            <w:pPr>
              <w:pStyle w:val="TableContents"/>
              <w:bidi w:val="0"/>
              <w:spacing w:before="0" w:after="0"/>
              <w:ind w:left="0" w:right="0" w:firstLine="400"/>
              <w:jc w:val="right"/>
              <w:rPr/>
            </w:pPr>
            <w:r>
              <w:rPr/>
              <w:t> </w:t>
            </w:r>
          </w:p>
        </w:tc>
        <w:tc>
          <w:tcPr>
            <w:tcW w:w="246" w:type="dxa"/>
            <w:tcBorders/>
            <w:vAlign w:val="center"/>
          </w:tcPr>
          <w:p>
            <w:pPr>
              <w:pStyle w:val="TableContents"/>
              <w:bidi w:val="0"/>
              <w:spacing w:before="0" w:after="0"/>
              <w:ind w:left="4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100" w:right="0" w:hanging="0"/>
              <w:jc w:val="left"/>
              <w:rPr/>
            </w:pPr>
            <w:r>
              <w:rPr/>
              <w:t> </w:t>
            </w:r>
          </w:p>
        </w:tc>
        <w:tc>
          <w:tcPr>
            <w:tcW w:w="985" w:type="dxa"/>
            <w:gridSpan w:val="2"/>
            <w:tcBorders/>
            <w:vAlign w:val="center"/>
          </w:tcPr>
          <w:p>
            <w:pPr>
              <w:pStyle w:val="TableContents"/>
              <w:bidi w:val="0"/>
              <w:spacing w:before="0" w:after="0"/>
              <w:ind w:left="0" w:right="0" w:hanging="0"/>
              <w:jc w:val="right"/>
              <w:rPr/>
            </w:pPr>
            <w:r>
              <w:rPr/>
              <w:t> </w:t>
            </w:r>
          </w:p>
        </w:tc>
        <w:tc>
          <w:tcPr>
            <w:tcW w:w="1216" w:type="dxa"/>
            <w:tcBorders/>
            <w:vAlign w:val="center"/>
          </w:tcPr>
          <w:p>
            <w:pPr>
              <w:pStyle w:val="TableContents"/>
              <w:bidi w:val="0"/>
              <w:spacing w:before="0" w:after="0"/>
              <w:ind w:left="0" w:right="0" w:firstLine="800"/>
              <w:jc w:val="right"/>
              <w:rPr/>
            </w:pPr>
            <w:r>
              <w:rPr/>
              <w:t> </w:t>
            </w:r>
          </w:p>
        </w:tc>
      </w:tr>
      <w:tr>
        <w:trPr/>
        <w:tc>
          <w:tcPr>
            <w:tcW w:w="3033"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Net assets acquired, net of cash acquired</w:t>
            </w:r>
          </w:p>
        </w:tc>
        <w:tc>
          <w:tcPr>
            <w:tcW w:w="146" w:type="dxa"/>
            <w:tcBorders/>
            <w:vAlign w:val="center"/>
          </w:tcPr>
          <w:p>
            <w:pPr>
              <w:pStyle w:val="TableContents"/>
              <w:bidi w:val="0"/>
              <w:spacing w:before="0" w:after="0"/>
              <w:ind w:left="500" w:right="0" w:hanging="0"/>
              <w:jc w:val="left"/>
              <w:rPr/>
            </w:pPr>
            <w:r>
              <w:rPr/>
              <w:t> </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8" w:type="dxa"/>
            <w:tcBorders/>
            <w:vAlign w:val="center"/>
          </w:tcPr>
          <w:p>
            <w:pPr>
              <w:pStyle w:val="TableContents"/>
              <w:bidi w:val="0"/>
              <w:spacing w:before="0" w:after="0"/>
              <w:ind w:left="0" w:right="0" w:hanging="0"/>
              <w:jc w:val="right"/>
              <w:rPr/>
            </w:pPr>
            <w:r>
              <w:rPr/>
              <w:t>—</w:t>
            </w:r>
          </w:p>
        </w:tc>
        <w:tc>
          <w:tcPr>
            <w:tcW w:w="268" w:type="dxa"/>
            <w:tcBorders/>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35" w:type="dxa"/>
            <w:tcBorders/>
            <w:vAlign w:val="center"/>
          </w:tcPr>
          <w:p>
            <w:pPr>
              <w:pStyle w:val="TableContents"/>
              <w:bidi w:val="0"/>
              <w:spacing w:before="0" w:after="0"/>
              <w:ind w:left="0" w:right="0" w:hanging="0"/>
              <w:jc w:val="right"/>
              <w:rPr/>
            </w:pPr>
            <w:r>
              <w:rPr/>
              <w:t>—</w:t>
            </w:r>
          </w:p>
        </w:tc>
        <w:tc>
          <w:tcPr>
            <w:tcW w:w="866" w:type="dxa"/>
            <w:tcBorders/>
            <w:vAlign w:val="center"/>
          </w:tcPr>
          <w:p>
            <w:pPr>
              <w:pStyle w:val="TableContents"/>
              <w:bidi w:val="0"/>
              <w:spacing w:before="0" w:after="0"/>
              <w:ind w:left="0" w:right="0" w:firstLine="400"/>
              <w:jc w:val="left"/>
              <w:rPr/>
            </w:pPr>
            <w:r>
              <w:rPr/>
              <w:t> </w:t>
            </w:r>
          </w:p>
        </w:tc>
        <w:tc>
          <w:tcPr>
            <w:tcW w:w="246" w:type="dxa"/>
            <w:tcBorders/>
            <w:vAlign w:val="center"/>
          </w:tcPr>
          <w:p>
            <w:pPr>
              <w:pStyle w:val="TableContents"/>
              <w:bidi w:val="0"/>
              <w:spacing w:before="0" w:after="0"/>
              <w:ind w:left="40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97,499</w:t>
            </w:r>
          </w:p>
        </w:tc>
        <w:tc>
          <w:tcPr>
            <w:tcW w:w="1216" w:type="dxa"/>
            <w:tcBorders/>
            <w:vAlign w:val="center"/>
          </w:tcPr>
          <w:p>
            <w:pPr>
              <w:pStyle w:val="TableContents"/>
              <w:bidi w:val="0"/>
              <w:spacing w:before="0" w:after="0"/>
              <w:ind w:left="0" w:right="0" w:firstLine="800"/>
              <w:jc w:val="left"/>
              <w:rPr/>
            </w:pPr>
            <w:r>
              <w:rPr/>
              <w:t> </w:t>
            </w:r>
          </w:p>
        </w:tc>
      </w:tr>
      <w:tr>
        <w:trPr/>
        <w:tc>
          <w:tcPr>
            <w:tcW w:w="3033"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Initial cash investment in prior year</w:t>
            </w:r>
          </w:p>
        </w:tc>
        <w:tc>
          <w:tcPr>
            <w:tcW w:w="146" w:type="dxa"/>
            <w:tcBorders/>
            <w:vAlign w:val="center"/>
          </w:tcPr>
          <w:p>
            <w:pPr>
              <w:pStyle w:val="TableContents"/>
              <w:bidi w:val="0"/>
              <w:spacing w:before="0" w:after="0"/>
              <w:ind w:left="50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268" w:type="dxa"/>
            <w:tcBorders/>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pPr>
            <w:r>
              <w:rPr/>
              <w:t>—</w:t>
            </w:r>
          </w:p>
        </w:tc>
        <w:tc>
          <w:tcPr>
            <w:tcW w:w="8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(40,000</w:t>
            </w:r>
          </w:p>
        </w:tc>
        <w:tc>
          <w:tcPr>
            <w:tcW w:w="1216" w:type="dxa"/>
            <w:tcBorders/>
            <w:vAlign w:val="center"/>
          </w:tcPr>
          <w:p>
            <w:pPr>
              <w:pStyle w:val="TableContents"/>
              <w:bidi w:val="0"/>
              <w:spacing w:before="0" w:after="0"/>
              <w:ind w:left="0" w:right="0" w:firstLine="800"/>
              <w:jc w:val="left"/>
              <w:rPr>
                <w:rFonts w:ascii="Times New Roman;serif" w:hAnsi="Times New Roman;serif"/>
                <w:b w:val="false"/>
                <w:sz w:val="17"/>
              </w:rPr>
            </w:pPr>
            <w:r>
              <w:rPr>
                <w:rFonts w:ascii="Times New Roman;serif" w:hAnsi="Times New Roman;serif"/>
                <w:b w:val="false"/>
                <w:sz w:val="17"/>
              </w:rPr>
              <w:t>)</w:t>
            </w:r>
          </w:p>
        </w:tc>
      </w:tr>
      <w:tr>
        <w:trPr/>
        <w:tc>
          <w:tcPr>
            <w:tcW w:w="3033"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Contingent consideration</w:t>
            </w:r>
          </w:p>
        </w:tc>
        <w:tc>
          <w:tcPr>
            <w:tcW w:w="146" w:type="dxa"/>
            <w:tcBorders/>
            <w:vAlign w:val="center"/>
          </w:tcPr>
          <w:p>
            <w:pPr>
              <w:pStyle w:val="TableContents"/>
              <w:bidi w:val="0"/>
              <w:spacing w:before="0" w:after="0"/>
              <w:ind w:left="50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8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(1,000</w:t>
            </w:r>
          </w:p>
        </w:tc>
        <w:tc>
          <w:tcPr>
            <w:tcW w:w="1216" w:type="dxa"/>
            <w:tcBorders>
              <w:bottom w:val="single" w:sz="4" w:space="0" w:color="000000"/>
            </w:tcBorders>
            <w:tcMar>
              <w:top w:w="0" w:type="dxa"/>
              <w:left w:w="0" w:type="dxa"/>
              <w:right w:w="0" w:type="dxa"/>
            </w:tcMar>
            <w:vAlign w:val="center"/>
          </w:tcPr>
          <w:p>
            <w:pPr>
              <w:pStyle w:val="TableContents"/>
              <w:bidi w:val="0"/>
              <w:spacing w:before="0" w:after="0"/>
              <w:ind w:left="0" w:right="0" w:firstLine="1000"/>
              <w:jc w:val="left"/>
              <w:rPr>
                <w:rFonts w:ascii="Times New Roman;serif" w:hAnsi="Times New Roman;serif"/>
                <w:b w:val="false"/>
                <w:sz w:val="17"/>
              </w:rPr>
            </w:pPr>
            <w:r>
              <w:rPr>
                <w:rFonts w:ascii="Times New Roman;serif" w:hAnsi="Times New Roman;serif"/>
                <w:b w:val="false"/>
                <w:sz w:val="17"/>
              </w:rPr>
              <w:t>)</w:t>
            </w:r>
          </w:p>
        </w:tc>
      </w:tr>
      <w:tr>
        <w:trPr/>
        <w:tc>
          <w:tcPr>
            <w:tcW w:w="3033"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Net cash paid for acquisitions</w:t>
            </w:r>
          </w:p>
        </w:tc>
        <w:tc>
          <w:tcPr>
            <w:tcW w:w="146" w:type="dxa"/>
            <w:tcBorders/>
            <w:vAlign w:val="center"/>
          </w:tcPr>
          <w:p>
            <w:pPr>
              <w:pStyle w:val="TableContents"/>
              <w:bidi w:val="0"/>
              <w:spacing w:before="0" w:after="0"/>
              <w:ind w:left="500" w:right="0" w:hanging="0"/>
              <w:jc w:val="left"/>
              <w:rPr/>
            </w:pPr>
            <w:r>
              <w:rPr/>
              <w:t> </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866" w:type="dxa"/>
            <w:tcBorders>
              <w:bottom w:val="double" w:sz="6"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c>
          <w:tcPr>
            <w:tcW w:w="246" w:type="dxa"/>
            <w:tcBorders/>
            <w:vAlign w:val="center"/>
          </w:tcPr>
          <w:p>
            <w:pPr>
              <w:pStyle w:val="TableContents"/>
              <w:bidi w:val="0"/>
              <w:spacing w:before="0" w:after="0"/>
              <w:ind w:left="40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56,499</w:t>
            </w:r>
          </w:p>
        </w:tc>
        <w:tc>
          <w:tcPr>
            <w:tcW w:w="1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33" w:type="dxa"/>
            <w:tcBorders/>
            <w:vAlign w:val="center"/>
          </w:tcPr>
          <w:p>
            <w:pPr>
              <w:pStyle w:val="TableContents"/>
              <w:bidi w:val="0"/>
              <w:spacing w:before="0" w:after="0"/>
              <w:ind w:left="0" w:right="0" w:firstLine="100"/>
              <w:jc w:val="left"/>
              <w:rPr>
                <w:rFonts w:ascii="Times New Roman;serif" w:hAnsi="Times New Roman;serif"/>
                <w:b/>
                <w:sz w:val="17"/>
              </w:rPr>
            </w:pPr>
            <w:r>
              <w:rPr>
                <w:rFonts w:ascii="Times New Roman;serif" w:hAnsi="Times New Roman;serif"/>
                <w:b/>
                <w:sz w:val="17"/>
              </w:rPr>
              <w:t>Supplemental disclosure of non-cash investing activities:</w:t>
            </w:r>
          </w:p>
        </w:tc>
        <w:tc>
          <w:tcPr>
            <w:tcW w:w="146" w:type="dxa"/>
            <w:tcBorders/>
            <w:vAlign w:val="center"/>
          </w:tcPr>
          <w:p>
            <w:pPr>
              <w:pStyle w:val="TableContents"/>
              <w:bidi w:val="0"/>
              <w:spacing w:before="0" w:after="0"/>
              <w:ind w:left="100" w:right="0" w:hanging="0"/>
              <w:jc w:val="left"/>
              <w:rPr/>
            </w:pPr>
            <w:r>
              <w:rPr/>
              <w:t> </w:t>
            </w:r>
          </w:p>
        </w:tc>
        <w:tc>
          <w:tcPr>
            <w:tcW w:w="896" w:type="dxa"/>
            <w:gridSpan w:val="2"/>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firstLine="100"/>
              <w:jc w:val="right"/>
              <w:rPr/>
            </w:pPr>
            <w:r>
              <w:rPr/>
              <w:t> </w:t>
            </w:r>
          </w:p>
        </w:tc>
        <w:tc>
          <w:tcPr>
            <w:tcW w:w="147" w:type="dxa"/>
            <w:tcBorders/>
            <w:vAlign w:val="center"/>
          </w:tcPr>
          <w:p>
            <w:pPr>
              <w:pStyle w:val="TableContents"/>
              <w:bidi w:val="0"/>
              <w:spacing w:before="0" w:after="0"/>
              <w:ind w:left="100" w:right="0" w:hanging="0"/>
              <w:jc w:val="left"/>
              <w:rPr/>
            </w:pPr>
            <w:r>
              <w:rPr/>
              <w:t> </w:t>
            </w:r>
          </w:p>
        </w:tc>
        <w:tc>
          <w:tcPr>
            <w:tcW w:w="943" w:type="dxa"/>
            <w:gridSpan w:val="2"/>
            <w:tcBorders/>
            <w:vAlign w:val="center"/>
          </w:tcPr>
          <w:p>
            <w:pPr>
              <w:pStyle w:val="TableContents"/>
              <w:bidi w:val="0"/>
              <w:spacing w:before="0" w:after="0"/>
              <w:ind w:left="0" w:right="0" w:hanging="0"/>
              <w:jc w:val="right"/>
              <w:rPr/>
            </w:pPr>
            <w:r>
              <w:rPr/>
              <w:t> </w:t>
            </w:r>
          </w:p>
        </w:tc>
        <w:tc>
          <w:tcPr>
            <w:tcW w:w="86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right"/>
              <w:rPr/>
            </w:pPr>
            <w:r>
              <w:rPr/>
              <w:t> </w:t>
            </w:r>
          </w:p>
        </w:tc>
        <w:tc>
          <w:tcPr>
            <w:tcW w:w="985" w:type="dxa"/>
            <w:gridSpan w:val="2"/>
            <w:tcBorders/>
            <w:vAlign w:val="center"/>
          </w:tcPr>
          <w:p>
            <w:pPr>
              <w:pStyle w:val="TableContents"/>
              <w:bidi w:val="0"/>
              <w:spacing w:before="0" w:after="0"/>
              <w:ind w:left="100" w:right="0" w:hanging="0"/>
              <w:jc w:val="left"/>
              <w:rPr/>
            </w:pPr>
            <w:r>
              <w:rPr/>
              <w:t> </w:t>
            </w:r>
          </w:p>
        </w:tc>
        <w:tc>
          <w:tcPr>
            <w:tcW w:w="1216" w:type="dxa"/>
            <w:tcBorders/>
            <w:vAlign w:val="center"/>
          </w:tcPr>
          <w:p>
            <w:pPr>
              <w:pStyle w:val="TableContents"/>
              <w:bidi w:val="0"/>
              <w:spacing w:before="0" w:after="0"/>
              <w:ind w:left="0" w:right="0" w:firstLine="400"/>
              <w:jc w:val="left"/>
              <w:rPr/>
            </w:pPr>
            <w:r>
              <w:rPr/>
              <w:t> </w:t>
            </w:r>
          </w:p>
        </w:tc>
      </w:tr>
      <w:tr>
        <w:trPr/>
        <w:tc>
          <w:tcPr>
            <w:tcW w:w="3033" w:type="dxa"/>
            <w:tcBorders/>
            <w:vAlign w:val="center"/>
          </w:tcPr>
          <w:p>
            <w:pPr>
              <w:pStyle w:val="TableContents"/>
              <w:bidi w:val="0"/>
              <w:spacing w:before="0" w:after="0"/>
              <w:ind w:left="0" w:right="0" w:firstLine="500"/>
              <w:jc w:val="left"/>
              <w:rPr>
                <w:rFonts w:ascii="Times New Roman;serif" w:hAnsi="Times New Roman;serif"/>
                <w:b w:val="false"/>
                <w:sz w:val="17"/>
              </w:rPr>
            </w:pPr>
            <w:r>
              <w:rPr>
                <w:rFonts w:ascii="Times New Roman;serif" w:hAnsi="Times New Roman;serif"/>
                <w:b w:val="false"/>
                <w:sz w:val="17"/>
              </w:rPr>
              <w:t>Capital expenditures included in accrued expenses</w:t>
            </w:r>
          </w:p>
        </w:tc>
        <w:tc>
          <w:tcPr>
            <w:tcW w:w="146" w:type="dxa"/>
            <w:tcBorders/>
            <w:vAlign w:val="center"/>
          </w:tcPr>
          <w:p>
            <w:pPr>
              <w:pStyle w:val="TableContents"/>
              <w:bidi w:val="0"/>
              <w:spacing w:before="0" w:after="0"/>
              <w:ind w:left="500" w:right="0" w:hanging="0"/>
              <w:jc w:val="left"/>
              <w:rPr/>
            </w:pPr>
            <w:r>
              <w:rPr/>
              <w:t> </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60</w:t>
            </w:r>
          </w:p>
        </w:tc>
        <w:tc>
          <w:tcPr>
            <w:tcW w:w="268" w:type="dxa"/>
            <w:tcBorders/>
            <w:vAlign w:val="center"/>
          </w:tcPr>
          <w:p>
            <w:pPr>
              <w:pStyle w:val="TableContents"/>
              <w:bidi w:val="0"/>
              <w:spacing w:before="0" w:after="0"/>
              <w:ind w:left="0" w:right="0" w:firstLine="100"/>
              <w:jc w:val="left"/>
              <w:rPr/>
            </w:pPr>
            <w:r>
              <w:rPr/>
              <w:t> </w:t>
            </w:r>
          </w:p>
        </w:tc>
        <w:tc>
          <w:tcPr>
            <w:tcW w:w="147" w:type="dxa"/>
            <w:tcBorders/>
            <w:vAlign w:val="center"/>
          </w:tcPr>
          <w:p>
            <w:pPr>
              <w:pStyle w:val="TableContents"/>
              <w:bidi w:val="0"/>
              <w:spacing w:before="0" w:after="0"/>
              <w:ind w:left="100" w:right="0" w:hanging="0"/>
              <w:jc w:val="left"/>
              <w:rPr/>
            </w:pPr>
            <w:r>
              <w:rPr/>
              <w:t> </w:t>
            </w:r>
          </w:p>
        </w:tc>
        <w:tc>
          <w:tcPr>
            <w:tcW w:w="208"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3,500</w:t>
            </w:r>
          </w:p>
        </w:tc>
        <w:tc>
          <w:tcPr>
            <w:tcW w:w="866" w:type="dxa"/>
            <w:tcBorders/>
            <w:vAlign w:val="center"/>
          </w:tcPr>
          <w:p>
            <w:pPr>
              <w:pStyle w:val="TableContents"/>
              <w:bidi w:val="0"/>
              <w:spacing w:before="0" w:after="0"/>
              <w:ind w:left="0" w:right="0" w:firstLine="400"/>
              <w:jc w:val="left"/>
              <w:rPr/>
            </w:pPr>
            <w:r>
              <w:rPr/>
              <w:t> </w:t>
            </w:r>
          </w:p>
        </w:tc>
        <w:tc>
          <w:tcPr>
            <w:tcW w:w="246" w:type="dxa"/>
            <w:tcBorders/>
            <w:vAlign w:val="center"/>
          </w:tcPr>
          <w:p>
            <w:pPr>
              <w:pStyle w:val="TableContents"/>
              <w:bidi w:val="0"/>
              <w:spacing w:before="0" w:after="0"/>
              <w:ind w:left="40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3,500</w:t>
            </w:r>
          </w:p>
        </w:tc>
        <w:tc>
          <w:tcPr>
            <w:tcW w:w="121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sz w:val="20"/>
        </w:rPr>
        <w:t>Definitive Healthcare Corp.</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Reconciliations of Non-GAAP Financial Measures to Closest GAAP Equivalent</w:t>
      </w:r>
      <w:r>
        <w:rPr>
          <w:rFonts w:ascii="Times New Roman" w:hAnsi="Times New Roman"/>
          <w:sz w:val="20"/>
        </w:rPr>
        <w:t xml:space="preserve"> </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3035"/>
        <w:gridCol w:w="253"/>
        <w:gridCol w:w="812"/>
        <w:gridCol w:w="319"/>
        <w:gridCol w:w="175"/>
        <w:gridCol w:w="267"/>
        <w:gridCol w:w="857"/>
        <w:gridCol w:w="1148"/>
        <w:gridCol w:w="173"/>
        <w:gridCol w:w="250"/>
        <w:gridCol w:w="803"/>
        <w:gridCol w:w="316"/>
        <w:gridCol w:w="173"/>
        <w:gridCol w:w="267"/>
        <w:gridCol w:w="857"/>
        <w:gridCol w:w="500"/>
      </w:tblGrid>
      <w:tr>
        <w:trPr/>
        <w:tc>
          <w:tcPr>
            <w:tcW w:w="303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9705" w:type="dxa"/>
            <w:gridSpan w:val="15"/>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Reconciliation of GAAP Operating Cash Flow to Unlevered Free Cash Flow</w:t>
            </w:r>
          </w:p>
        </w:tc>
        <w:tc>
          <w:tcPr>
            <w:tcW w:w="500" w:type="dxa"/>
            <w:tcBorders/>
            <w:vAlign w:val="center"/>
          </w:tcPr>
          <w:p>
            <w:pPr>
              <w:pStyle w:val="TableContents"/>
              <w:bidi w:val="0"/>
              <w:spacing w:before="0" w:after="0"/>
              <w:ind w:left="0" w:right="0" w:hanging="0"/>
              <w:jc w:val="center"/>
              <w:rPr/>
            </w:pPr>
            <w:r>
              <w:rPr/>
              <w:t> </w:t>
            </w:r>
          </w:p>
        </w:tc>
      </w:tr>
      <w:tr>
        <w:trPr/>
        <w:tc>
          <w:tcPr>
            <w:tcW w:w="9705" w:type="dxa"/>
            <w:gridSpan w:val="15"/>
            <w:tcBorders/>
            <w:vAlign w:val="center"/>
          </w:tcPr>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(in thousands; unaudited)</w:t>
            </w:r>
          </w:p>
        </w:tc>
        <w:tc>
          <w:tcPr>
            <w:tcW w:w="500" w:type="dxa"/>
            <w:tcBorders/>
            <w:vAlign w:val="center"/>
          </w:tcPr>
          <w:p>
            <w:pPr>
              <w:pStyle w:val="TableContents"/>
              <w:bidi w:val="0"/>
              <w:spacing w:before="0" w:after="0"/>
              <w:ind w:left="0" w:right="0" w:hanging="0"/>
              <w:jc w:val="center"/>
              <w:rPr/>
            </w:pPr>
            <w:r>
              <w:rPr/>
              <w:t> </w:t>
            </w:r>
          </w:p>
        </w:tc>
      </w:tr>
      <w:tr>
        <w:trPr/>
        <w:tc>
          <w:tcPr>
            <w:tcW w:w="3035" w:type="dxa"/>
            <w:tcBorders/>
            <w:vAlign w:val="center"/>
          </w:tcPr>
          <w:p>
            <w:pPr>
              <w:pStyle w:val="TableContents"/>
              <w:bidi w:val="0"/>
              <w:spacing w:before="0" w:after="0"/>
              <w:ind w:left="0" w:right="0" w:hanging="0"/>
              <w:jc w:val="center"/>
              <w:rPr/>
            </w:pPr>
            <w:r>
              <w:rPr/>
              <w:t> </w:t>
            </w:r>
          </w:p>
        </w:tc>
        <w:tc>
          <w:tcPr>
            <w:tcW w:w="1065" w:type="dxa"/>
            <w:gridSpan w:val="2"/>
            <w:tcBorders/>
            <w:vAlign w:val="center"/>
          </w:tcPr>
          <w:p>
            <w:pPr>
              <w:pStyle w:val="TableContents"/>
              <w:bidi w:val="0"/>
              <w:spacing w:before="0" w:after="0"/>
              <w:ind w:left="0" w:right="0" w:hanging="0"/>
              <w:jc w:val="center"/>
              <w:rPr/>
            </w:pPr>
            <w:r>
              <w:rPr/>
              <w:t> </w:t>
            </w:r>
          </w:p>
        </w:tc>
        <w:tc>
          <w:tcPr>
            <w:tcW w:w="319" w:type="dxa"/>
            <w:tcBorders/>
            <w:vAlign w:val="center"/>
          </w:tcPr>
          <w:p>
            <w:pPr>
              <w:pStyle w:val="TableContents"/>
              <w:bidi w:val="0"/>
              <w:spacing w:before="0" w:after="0"/>
              <w:ind w:left="0" w:right="0" w:hanging="0"/>
              <w:jc w:val="center"/>
              <w:rPr/>
            </w:pPr>
            <w:r>
              <w:rPr/>
              <w:t> </w:t>
            </w:r>
          </w:p>
        </w:tc>
        <w:tc>
          <w:tcPr>
            <w:tcW w:w="175" w:type="dxa"/>
            <w:tcBorders/>
            <w:vAlign w:val="center"/>
          </w:tcPr>
          <w:p>
            <w:pPr>
              <w:pStyle w:val="TableContents"/>
              <w:bidi w:val="0"/>
              <w:spacing w:before="0" w:after="0"/>
              <w:ind w:left="0" w:right="0" w:hanging="0"/>
              <w:jc w:val="center"/>
              <w:rPr/>
            </w:pPr>
            <w:r>
              <w:rPr/>
              <w:t> </w:t>
            </w:r>
          </w:p>
        </w:tc>
        <w:tc>
          <w:tcPr>
            <w:tcW w:w="1124" w:type="dxa"/>
            <w:gridSpan w:val="2"/>
            <w:tcBorders/>
            <w:vAlign w:val="center"/>
          </w:tcPr>
          <w:p>
            <w:pPr>
              <w:pStyle w:val="TableContents"/>
              <w:bidi w:val="0"/>
              <w:spacing w:before="0" w:after="0"/>
              <w:ind w:left="0" w:right="0" w:hanging="0"/>
              <w:jc w:val="center"/>
              <w:rPr/>
            </w:pPr>
            <w:r>
              <w:rPr/>
              <w:t> </w:t>
            </w:r>
          </w:p>
        </w:tc>
        <w:tc>
          <w:tcPr>
            <w:tcW w:w="1148" w:type="dxa"/>
            <w:tcBorders/>
            <w:vAlign w:val="center"/>
          </w:tcPr>
          <w:p>
            <w:pPr>
              <w:pStyle w:val="TableContents"/>
              <w:bidi w:val="0"/>
              <w:spacing w:before="0" w:after="0"/>
              <w:ind w:left="0" w:right="0" w:hanging="0"/>
              <w:jc w:val="center"/>
              <w:rPr/>
            </w:pPr>
            <w:r>
              <w:rPr/>
              <w:t> </w:t>
            </w:r>
          </w:p>
        </w:tc>
        <w:tc>
          <w:tcPr>
            <w:tcW w:w="173" w:type="dxa"/>
            <w:tcBorders/>
            <w:vAlign w:val="center"/>
          </w:tcPr>
          <w:p>
            <w:pPr>
              <w:pStyle w:val="TableContents"/>
              <w:bidi w:val="0"/>
              <w:spacing w:before="0" w:after="0"/>
              <w:ind w:left="0" w:right="0" w:hanging="0"/>
              <w:jc w:val="center"/>
              <w:rPr/>
            </w:pPr>
            <w:r>
              <w:rPr/>
              <w:t> </w:t>
            </w:r>
          </w:p>
        </w:tc>
        <w:tc>
          <w:tcPr>
            <w:tcW w:w="1053" w:type="dxa"/>
            <w:gridSpan w:val="2"/>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c>
          <w:tcPr>
            <w:tcW w:w="173" w:type="dxa"/>
            <w:tcBorders/>
            <w:vAlign w:val="center"/>
          </w:tcPr>
          <w:p>
            <w:pPr>
              <w:pStyle w:val="TableContents"/>
              <w:bidi w:val="0"/>
              <w:spacing w:before="0" w:after="0"/>
              <w:ind w:left="0" w:right="0" w:hanging="0"/>
              <w:jc w:val="center"/>
              <w:rPr/>
            </w:pPr>
            <w:r>
              <w:rPr/>
              <w:t> </w:t>
            </w:r>
          </w:p>
        </w:tc>
        <w:tc>
          <w:tcPr>
            <w:tcW w:w="1124" w:type="dxa"/>
            <w:gridSpan w:val="2"/>
            <w:tcBorders/>
            <w:vAlign w:val="center"/>
          </w:tcPr>
          <w:p>
            <w:pPr>
              <w:pStyle w:val="TableContents"/>
              <w:bidi w:val="0"/>
              <w:spacing w:before="0" w:after="0"/>
              <w:ind w:left="0" w:right="0" w:hanging="0"/>
              <w:jc w:val="center"/>
              <w:rPr/>
            </w:pPr>
            <w:r>
              <w:rPr/>
              <w:t> </w:t>
            </w:r>
          </w:p>
        </w:tc>
        <w:tc>
          <w:tcPr>
            <w:tcW w:w="500" w:type="dxa"/>
            <w:tcBorders/>
            <w:vAlign w:val="center"/>
          </w:tcPr>
          <w:p>
            <w:pPr>
              <w:pStyle w:val="TableContents"/>
              <w:bidi w:val="0"/>
              <w:spacing w:before="0" w:after="0"/>
              <w:ind w:left="0" w:right="0" w:hanging="0"/>
              <w:jc w:val="center"/>
              <w:rPr/>
            </w:pPr>
            <w:r>
              <w:rPr/>
              <w:t> </w:t>
            </w:r>
          </w:p>
        </w:tc>
      </w:tr>
      <w:tr>
        <w:trPr/>
        <w:tc>
          <w:tcPr>
            <w:tcW w:w="3035" w:type="dxa"/>
            <w:tcBorders/>
            <w:vAlign w:val="center"/>
          </w:tcPr>
          <w:p>
            <w:pPr>
              <w:pStyle w:val="TableContents"/>
              <w:bidi w:val="0"/>
              <w:spacing w:before="0" w:after="0"/>
              <w:ind w:left="0" w:right="0" w:hanging="0"/>
              <w:jc w:val="left"/>
              <w:rPr/>
            </w:pPr>
            <w:r>
              <w:rPr/>
              <w:t> </w:t>
            </w:r>
          </w:p>
        </w:tc>
        <w:tc>
          <w:tcPr>
            <w:tcW w:w="268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3" w:type="dxa"/>
            <w:tcBorders/>
            <w:vAlign w:val="center"/>
          </w:tcPr>
          <w:p>
            <w:pPr>
              <w:pStyle w:val="TableContents"/>
              <w:bidi w:val="0"/>
              <w:spacing w:before="0" w:after="0"/>
              <w:ind w:left="0" w:right="0" w:hanging="0"/>
              <w:jc w:val="center"/>
              <w:rPr/>
            </w:pPr>
            <w:r>
              <w:rPr/>
              <w:t> </w:t>
            </w:r>
          </w:p>
        </w:tc>
        <w:tc>
          <w:tcPr>
            <w:tcW w:w="26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5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35"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center"/>
              <w:rPr/>
            </w:pPr>
            <w:r>
              <w:rPr/>
              <w:t> </w:t>
            </w:r>
          </w:p>
        </w:tc>
        <w:tc>
          <w:tcPr>
            <w:tcW w:w="319" w:type="dxa"/>
            <w:tcBorders/>
            <w:vAlign w:val="center"/>
          </w:tcPr>
          <w:p>
            <w:pPr>
              <w:pStyle w:val="TableContents"/>
              <w:bidi w:val="0"/>
              <w:spacing w:before="0" w:after="0"/>
              <w:ind w:left="0" w:right="0" w:hanging="0"/>
              <w:jc w:val="center"/>
              <w:rPr/>
            </w:pPr>
            <w:r>
              <w:rPr/>
              <w:t> </w:t>
            </w:r>
          </w:p>
        </w:tc>
        <w:tc>
          <w:tcPr>
            <w:tcW w:w="175" w:type="dxa"/>
            <w:tcBorders/>
            <w:vAlign w:val="center"/>
          </w:tcPr>
          <w:p>
            <w:pPr>
              <w:pStyle w:val="TableContents"/>
              <w:bidi w:val="0"/>
              <w:spacing w:before="0" w:after="0"/>
              <w:ind w:left="0" w:right="0" w:hanging="0"/>
              <w:jc w:val="center"/>
              <w:rPr/>
            </w:pPr>
            <w:r>
              <w:rPr/>
              <w:t> </w:t>
            </w:r>
          </w:p>
        </w:tc>
        <w:tc>
          <w:tcPr>
            <w:tcW w:w="1124"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1148" w:type="dxa"/>
            <w:tcBorders/>
            <w:vAlign w:val="center"/>
          </w:tcPr>
          <w:p>
            <w:pPr>
              <w:pStyle w:val="TableContents"/>
              <w:bidi w:val="0"/>
              <w:spacing w:before="0" w:after="0"/>
              <w:ind w:left="0" w:right="0" w:hanging="0"/>
              <w:jc w:val="center"/>
              <w:rPr/>
            </w:pPr>
            <w:r>
              <w:rPr/>
              <w:t> </w:t>
            </w:r>
          </w:p>
        </w:tc>
        <w:tc>
          <w:tcPr>
            <w:tcW w:w="173" w:type="dxa"/>
            <w:tcBorders/>
            <w:vAlign w:val="center"/>
          </w:tcPr>
          <w:p>
            <w:pPr>
              <w:pStyle w:val="TableContents"/>
              <w:bidi w:val="0"/>
              <w:spacing w:before="0" w:after="0"/>
              <w:ind w:left="0" w:right="0" w:hanging="0"/>
              <w:jc w:val="center"/>
              <w:rPr/>
            </w:pPr>
            <w:r>
              <w:rPr/>
              <w:t> </w:t>
            </w:r>
          </w:p>
        </w:tc>
        <w:tc>
          <w:tcPr>
            <w:tcW w:w="1053" w:type="dxa"/>
            <w:gridSpan w:val="2"/>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c>
          <w:tcPr>
            <w:tcW w:w="173" w:type="dxa"/>
            <w:tcBorders/>
            <w:vAlign w:val="center"/>
          </w:tcPr>
          <w:p>
            <w:pPr>
              <w:pStyle w:val="TableContents"/>
              <w:bidi w:val="0"/>
              <w:spacing w:before="0" w:after="0"/>
              <w:ind w:left="0" w:right="0" w:hanging="0"/>
              <w:jc w:val="center"/>
              <w:rPr/>
            </w:pPr>
            <w:r>
              <w:rPr/>
              <w:t> </w:t>
            </w:r>
          </w:p>
        </w:tc>
        <w:tc>
          <w:tcPr>
            <w:tcW w:w="1124"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500" w:type="dxa"/>
            <w:tcBorders/>
            <w:vAlign w:val="center"/>
          </w:tcPr>
          <w:p>
            <w:pPr>
              <w:pStyle w:val="TableContents"/>
              <w:bidi w:val="0"/>
              <w:spacing w:before="0" w:after="0"/>
              <w:ind w:left="0" w:right="0" w:hanging="0"/>
              <w:jc w:val="center"/>
              <w:rPr/>
            </w:pPr>
            <w:r>
              <w:rPr/>
              <w:t> </w:t>
            </w:r>
          </w:p>
        </w:tc>
      </w:tr>
      <w:tr>
        <w:trPr/>
        <w:tc>
          <w:tcPr>
            <w:tcW w:w="3035" w:type="dxa"/>
            <w:tcBorders/>
            <w:vAlign w:val="center"/>
          </w:tcPr>
          <w:p>
            <w:pPr>
              <w:pStyle w:val="TableContents"/>
              <w:bidi w:val="0"/>
              <w:spacing w:before="0" w:after="0"/>
              <w:ind w:left="0" w:right="0" w:hanging="0"/>
              <w:jc w:val="left"/>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5" w:type="dxa"/>
            <w:tcBorders/>
            <w:vAlign w:val="center"/>
          </w:tcPr>
          <w:p>
            <w:pPr>
              <w:pStyle w:val="TableContents"/>
              <w:bidi w:val="0"/>
              <w:spacing w:before="0" w:after="0"/>
              <w:ind w:left="0" w:right="0" w:hanging="0"/>
              <w:jc w:val="left"/>
              <w:rPr/>
            </w:pPr>
            <w:r>
              <w:rPr/>
              <w:t> </w:t>
            </w:r>
          </w:p>
        </w:tc>
        <w:tc>
          <w:tcPr>
            <w:tcW w:w="11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3" w:type="dxa"/>
            <w:tcBorders/>
            <w:vAlign w:val="center"/>
          </w:tcPr>
          <w:p>
            <w:pPr>
              <w:pStyle w:val="TableContents"/>
              <w:bidi w:val="0"/>
              <w:spacing w:before="0" w:after="0"/>
              <w:ind w:left="0" w:right="0" w:hanging="0"/>
              <w:jc w:val="center"/>
              <w:rPr/>
            </w:pPr>
            <w:r>
              <w:rPr/>
              <w:t> </w:t>
            </w:r>
          </w:p>
        </w:tc>
        <w:tc>
          <w:tcPr>
            <w:tcW w:w="105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3" w:type="dxa"/>
            <w:tcBorders/>
            <w:vAlign w:val="center"/>
          </w:tcPr>
          <w:p>
            <w:pPr>
              <w:pStyle w:val="TableContents"/>
              <w:bidi w:val="0"/>
              <w:spacing w:before="0" w:after="0"/>
              <w:ind w:left="0" w:right="0" w:hanging="0"/>
              <w:jc w:val="left"/>
              <w:rPr/>
            </w:pPr>
            <w:r>
              <w:rPr/>
              <w:t> </w:t>
            </w:r>
          </w:p>
        </w:tc>
        <w:tc>
          <w:tcPr>
            <w:tcW w:w="11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 from operations</w:t>
            </w:r>
          </w:p>
        </w:tc>
        <w:tc>
          <w:tcPr>
            <w:tcW w:w="2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12,037</w:t>
            </w:r>
          </w:p>
        </w:tc>
        <w:tc>
          <w:tcPr>
            <w:tcW w:w="319" w:type="dxa"/>
            <w:tcBorders/>
            <w:vAlign w:val="center"/>
          </w:tcPr>
          <w:p>
            <w:pPr>
              <w:pStyle w:val="TableContents"/>
              <w:bidi w:val="0"/>
              <w:spacing w:before="0" w:after="0"/>
              <w:ind w:left="0" w:right="0" w:firstLine="100"/>
              <w:jc w:val="left"/>
              <w:rPr/>
            </w:pPr>
            <w:r>
              <w:rPr/>
              <w:t> </w:t>
            </w:r>
          </w:p>
        </w:tc>
        <w:tc>
          <w:tcPr>
            <w:tcW w:w="175" w:type="dxa"/>
            <w:tcBorders/>
            <w:vAlign w:val="center"/>
          </w:tcPr>
          <w:p>
            <w:pPr>
              <w:pStyle w:val="TableContents"/>
              <w:bidi w:val="0"/>
              <w:spacing w:before="0" w:after="0"/>
              <w:ind w:left="10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15,481</w:t>
            </w:r>
          </w:p>
        </w:tc>
        <w:tc>
          <w:tcPr>
            <w:tcW w:w="1148" w:type="dxa"/>
            <w:tcBorders/>
            <w:vAlign w:val="center"/>
          </w:tcPr>
          <w:p>
            <w:pPr>
              <w:pStyle w:val="TableContents"/>
              <w:bidi w:val="0"/>
              <w:spacing w:before="0" w:after="0"/>
              <w:ind w:left="0" w:right="0" w:firstLine="100"/>
              <w:jc w:val="left"/>
              <w:rPr/>
            </w:pPr>
            <w:r>
              <w:rPr/>
              <w:t> </w:t>
            </w:r>
          </w:p>
        </w:tc>
        <w:tc>
          <w:tcPr>
            <w:tcW w:w="173" w:type="dxa"/>
            <w:tcBorders/>
            <w:vAlign w:val="center"/>
          </w:tcPr>
          <w:p>
            <w:pPr>
              <w:pStyle w:val="TableContents"/>
              <w:bidi w:val="0"/>
              <w:spacing w:before="0" w:after="0"/>
              <w:ind w:left="100" w:right="0" w:hanging="0"/>
              <w:jc w:val="left"/>
              <w:rPr/>
            </w:pPr>
            <w:r>
              <w:rPr/>
              <w:t> </w:t>
            </w:r>
          </w:p>
        </w:tc>
        <w:tc>
          <w:tcPr>
            <w:tcW w:w="2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26,994</w:t>
            </w:r>
          </w:p>
        </w:tc>
        <w:tc>
          <w:tcPr>
            <w:tcW w:w="316" w:type="dxa"/>
            <w:tcBorders/>
            <w:vAlign w:val="center"/>
          </w:tcPr>
          <w:p>
            <w:pPr>
              <w:pStyle w:val="TableContents"/>
              <w:bidi w:val="0"/>
              <w:spacing w:before="0" w:after="0"/>
              <w:ind w:left="0" w:right="0" w:firstLine="100"/>
              <w:jc w:val="left"/>
              <w:rPr/>
            </w:pPr>
            <w:r>
              <w:rPr/>
              <w:t> </w:t>
            </w:r>
          </w:p>
        </w:tc>
        <w:tc>
          <w:tcPr>
            <w:tcW w:w="173" w:type="dxa"/>
            <w:tcBorders/>
            <w:vAlign w:val="center"/>
          </w:tcPr>
          <w:p>
            <w:pPr>
              <w:pStyle w:val="TableContents"/>
              <w:bidi w:val="0"/>
              <w:spacing w:before="0" w:after="0"/>
              <w:ind w:left="10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29,114</w:t>
            </w:r>
          </w:p>
        </w:tc>
        <w:tc>
          <w:tcPr>
            <w:tcW w:w="500" w:type="dxa"/>
            <w:tcBorders/>
            <w:vAlign w:val="center"/>
          </w:tcPr>
          <w:p>
            <w:pPr>
              <w:pStyle w:val="TableContents"/>
              <w:bidi w:val="0"/>
              <w:spacing w:before="0" w:after="0"/>
              <w:ind w:left="0" w:right="0" w:firstLine="100"/>
              <w:jc w:val="left"/>
              <w:rPr/>
            </w:pPr>
            <w:r>
              <w:rPr/>
              <w:t> </w:t>
            </w:r>
          </w:p>
        </w:tc>
      </w:tr>
      <w:tr>
        <w:trPr/>
        <w:tc>
          <w:tcPr>
            <w:tcW w:w="303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Purchases of property, equipment, and other assets</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(740</w:t>
            </w:r>
          </w:p>
        </w:tc>
        <w:tc>
          <w:tcPr>
            <w:tcW w:w="319"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75" w:type="dxa"/>
            <w:tcBorders/>
            <w:vAlign w:val="center"/>
          </w:tcPr>
          <w:p>
            <w:pPr>
              <w:pStyle w:val="TableContents"/>
              <w:bidi w:val="0"/>
              <w:spacing w:before="0" w:after="0"/>
              <w:ind w:left="10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(783</w:t>
            </w:r>
          </w:p>
        </w:tc>
        <w:tc>
          <w:tcPr>
            <w:tcW w:w="1148" w:type="dxa"/>
            <w:tcBorders/>
            <w:vAlign w:val="center"/>
          </w:tcPr>
          <w:p>
            <w:pPr>
              <w:pStyle w:val="TableContents"/>
              <w:bidi w:val="0"/>
              <w:spacing w:before="0" w:after="0"/>
              <w:ind w:left="0" w:right="0" w:firstLine="80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80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(2,078</w:t>
            </w:r>
          </w:p>
        </w:tc>
        <w:tc>
          <w:tcPr>
            <w:tcW w:w="3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10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(1,577</w:t>
            </w:r>
          </w:p>
        </w:tc>
        <w:tc>
          <w:tcPr>
            <w:tcW w:w="50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03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paid in cash</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3,616</w:t>
            </w:r>
          </w:p>
        </w:tc>
        <w:tc>
          <w:tcPr>
            <w:tcW w:w="319" w:type="dxa"/>
            <w:tcBorders/>
            <w:vAlign w:val="center"/>
          </w:tcPr>
          <w:p>
            <w:pPr>
              <w:pStyle w:val="TableContents"/>
              <w:bidi w:val="0"/>
              <w:spacing w:before="0" w:after="0"/>
              <w:ind w:left="0" w:right="0" w:firstLine="100"/>
              <w:jc w:val="left"/>
              <w:rPr/>
            </w:pPr>
            <w:r>
              <w:rPr/>
              <w:t> </w:t>
            </w:r>
          </w:p>
        </w:tc>
        <w:tc>
          <w:tcPr>
            <w:tcW w:w="175" w:type="dxa"/>
            <w:tcBorders/>
            <w:vAlign w:val="center"/>
          </w:tcPr>
          <w:p>
            <w:pPr>
              <w:pStyle w:val="TableContents"/>
              <w:bidi w:val="0"/>
              <w:spacing w:before="0" w:after="0"/>
              <w:ind w:left="10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2,579</w:t>
            </w:r>
          </w:p>
        </w:tc>
        <w:tc>
          <w:tcPr>
            <w:tcW w:w="1148" w:type="dxa"/>
            <w:tcBorders/>
            <w:vAlign w:val="center"/>
          </w:tcPr>
          <w:p>
            <w:pPr>
              <w:pStyle w:val="TableContents"/>
              <w:bidi w:val="0"/>
              <w:spacing w:before="0" w:after="0"/>
              <w:ind w:left="0" w:right="0" w:firstLine="800"/>
              <w:jc w:val="left"/>
              <w:rPr/>
            </w:pPr>
            <w:r>
              <w:rPr/>
              <w:t> </w:t>
            </w:r>
          </w:p>
        </w:tc>
        <w:tc>
          <w:tcPr>
            <w:tcW w:w="173" w:type="dxa"/>
            <w:tcBorders/>
            <w:vAlign w:val="center"/>
          </w:tcPr>
          <w:p>
            <w:pPr>
              <w:pStyle w:val="TableContents"/>
              <w:bidi w:val="0"/>
              <w:spacing w:before="0" w:after="0"/>
              <w:ind w:left="80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7,091</w:t>
            </w:r>
          </w:p>
        </w:tc>
        <w:tc>
          <w:tcPr>
            <w:tcW w:w="316" w:type="dxa"/>
            <w:tcBorders/>
            <w:vAlign w:val="center"/>
          </w:tcPr>
          <w:p>
            <w:pPr>
              <w:pStyle w:val="TableContents"/>
              <w:bidi w:val="0"/>
              <w:spacing w:before="0" w:after="0"/>
              <w:ind w:left="0" w:right="0" w:firstLine="100"/>
              <w:jc w:val="left"/>
              <w:rPr/>
            </w:pPr>
            <w:r>
              <w:rPr/>
              <w:t> </w:t>
            </w:r>
          </w:p>
        </w:tc>
        <w:tc>
          <w:tcPr>
            <w:tcW w:w="173" w:type="dxa"/>
            <w:tcBorders/>
            <w:vAlign w:val="center"/>
          </w:tcPr>
          <w:p>
            <w:pPr>
              <w:pStyle w:val="TableContents"/>
              <w:bidi w:val="0"/>
              <w:spacing w:before="0" w:after="0"/>
              <w:ind w:left="10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4,350</w:t>
            </w:r>
          </w:p>
        </w:tc>
        <w:tc>
          <w:tcPr>
            <w:tcW w:w="500" w:type="dxa"/>
            <w:tcBorders/>
            <w:vAlign w:val="center"/>
          </w:tcPr>
          <w:p>
            <w:pPr>
              <w:pStyle w:val="TableContents"/>
              <w:bidi w:val="0"/>
              <w:spacing w:before="0" w:after="0"/>
              <w:ind w:left="0" w:right="0" w:firstLine="100"/>
              <w:jc w:val="left"/>
              <w:rPr/>
            </w:pPr>
            <w:r>
              <w:rPr/>
              <w:t> </w:t>
            </w:r>
          </w:p>
        </w:tc>
      </w:tr>
      <w:tr>
        <w:trPr/>
        <w:tc>
          <w:tcPr>
            <w:tcW w:w="3035"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20"/>
              </w:rPr>
              <w:t>Transaction, integration, and restructuring expenses paid in cash</w:t>
            </w:r>
            <w:r>
              <w:rPr>
                <w:rFonts w:ascii="Times New Roman" w:hAnsi="Times New Roman"/>
                <w:sz w:val="20"/>
              </w:rPr>
              <w:t> </w:t>
            </w:r>
            <w:r>
              <w:rPr>
                <w:rFonts w:ascii="Times New Roman;serif" w:hAnsi="Times New Roman;serif"/>
                <w:b w:val="false"/>
                <w:sz w:val="13"/>
              </w:rPr>
              <w:t>(a)</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3,430</w:t>
            </w:r>
          </w:p>
        </w:tc>
        <w:tc>
          <w:tcPr>
            <w:tcW w:w="319" w:type="dxa"/>
            <w:tcBorders/>
            <w:vAlign w:val="center"/>
          </w:tcPr>
          <w:p>
            <w:pPr>
              <w:pStyle w:val="TableContents"/>
              <w:bidi w:val="0"/>
              <w:spacing w:before="0" w:after="0"/>
              <w:ind w:left="0" w:right="0" w:firstLine="100"/>
              <w:jc w:val="left"/>
              <w:rPr/>
            </w:pPr>
            <w:r>
              <w:rPr/>
              <w:t> </w:t>
            </w:r>
          </w:p>
        </w:tc>
        <w:tc>
          <w:tcPr>
            <w:tcW w:w="175" w:type="dxa"/>
            <w:tcBorders/>
            <w:vAlign w:val="center"/>
          </w:tcPr>
          <w:p>
            <w:pPr>
              <w:pStyle w:val="TableContents"/>
              <w:bidi w:val="0"/>
              <w:spacing w:before="0" w:after="0"/>
              <w:ind w:left="10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1,185</w:t>
            </w:r>
          </w:p>
        </w:tc>
        <w:tc>
          <w:tcPr>
            <w:tcW w:w="1148" w:type="dxa"/>
            <w:tcBorders/>
            <w:vAlign w:val="center"/>
          </w:tcPr>
          <w:p>
            <w:pPr>
              <w:pStyle w:val="TableContents"/>
              <w:bidi w:val="0"/>
              <w:spacing w:before="0" w:after="0"/>
              <w:ind w:left="0" w:right="0" w:firstLine="800"/>
              <w:jc w:val="left"/>
              <w:rPr/>
            </w:pPr>
            <w:r>
              <w:rPr/>
              <w:t> </w:t>
            </w:r>
          </w:p>
        </w:tc>
        <w:tc>
          <w:tcPr>
            <w:tcW w:w="173" w:type="dxa"/>
            <w:tcBorders/>
            <w:vAlign w:val="center"/>
          </w:tcPr>
          <w:p>
            <w:pPr>
              <w:pStyle w:val="TableContents"/>
              <w:bidi w:val="0"/>
              <w:spacing w:before="0" w:after="0"/>
              <w:ind w:left="80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5,863</w:t>
            </w:r>
          </w:p>
        </w:tc>
        <w:tc>
          <w:tcPr>
            <w:tcW w:w="316" w:type="dxa"/>
            <w:tcBorders/>
            <w:vAlign w:val="center"/>
          </w:tcPr>
          <w:p>
            <w:pPr>
              <w:pStyle w:val="TableContents"/>
              <w:bidi w:val="0"/>
              <w:spacing w:before="0" w:after="0"/>
              <w:ind w:left="0" w:right="0" w:firstLine="100"/>
              <w:jc w:val="left"/>
              <w:rPr/>
            </w:pPr>
            <w:r>
              <w:rPr/>
              <w:t> </w:t>
            </w:r>
          </w:p>
        </w:tc>
        <w:tc>
          <w:tcPr>
            <w:tcW w:w="173" w:type="dxa"/>
            <w:tcBorders/>
            <w:vAlign w:val="center"/>
          </w:tcPr>
          <w:p>
            <w:pPr>
              <w:pStyle w:val="TableContents"/>
              <w:bidi w:val="0"/>
              <w:spacing w:before="0" w:after="0"/>
              <w:ind w:left="10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2,495</w:t>
            </w:r>
          </w:p>
        </w:tc>
        <w:tc>
          <w:tcPr>
            <w:tcW w:w="500" w:type="dxa"/>
            <w:tcBorders/>
            <w:vAlign w:val="center"/>
          </w:tcPr>
          <w:p>
            <w:pPr>
              <w:pStyle w:val="TableContents"/>
              <w:bidi w:val="0"/>
              <w:spacing w:before="0" w:after="0"/>
              <w:ind w:left="0" w:right="0" w:firstLine="100"/>
              <w:jc w:val="left"/>
              <w:rPr/>
            </w:pPr>
            <w:r>
              <w:rPr/>
              <w:t> </w:t>
            </w:r>
          </w:p>
        </w:tc>
      </w:tr>
      <w:tr>
        <w:trPr/>
        <w:tc>
          <w:tcPr>
            <w:tcW w:w="3035"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20"/>
              </w:rPr>
              <w:t xml:space="preserve">Earnout payment </w:t>
            </w:r>
            <w:r>
              <w:rPr>
                <w:rFonts w:ascii="Times New Roman;serif" w:hAnsi="Times New Roman;serif"/>
                <w:b w:val="false"/>
                <w:sz w:val="13"/>
              </w:rPr>
              <w:t>(b)</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319" w:type="dxa"/>
            <w:tcBorders/>
            <w:vAlign w:val="center"/>
          </w:tcPr>
          <w:p>
            <w:pPr>
              <w:pStyle w:val="TableContents"/>
              <w:bidi w:val="0"/>
              <w:spacing w:before="0" w:after="0"/>
              <w:ind w:left="0" w:right="0" w:firstLine="100"/>
              <w:jc w:val="left"/>
              <w:rPr/>
            </w:pPr>
            <w:r>
              <w:rPr/>
              <w:t> </w:t>
            </w:r>
          </w:p>
        </w:tc>
        <w:tc>
          <w:tcPr>
            <w:tcW w:w="175" w:type="dxa"/>
            <w:tcBorders/>
            <w:vAlign w:val="center"/>
          </w:tcPr>
          <w:p>
            <w:pPr>
              <w:pStyle w:val="TableContents"/>
              <w:bidi w:val="0"/>
              <w:spacing w:before="0" w:after="0"/>
              <w:ind w:left="10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pPr>
            <w:r>
              <w:rPr/>
              <w:t>—</w:t>
            </w:r>
          </w:p>
        </w:tc>
        <w:tc>
          <w:tcPr>
            <w:tcW w:w="1148" w:type="dxa"/>
            <w:tcBorders/>
            <w:vAlign w:val="center"/>
          </w:tcPr>
          <w:p>
            <w:pPr>
              <w:pStyle w:val="TableContents"/>
              <w:bidi w:val="0"/>
              <w:spacing w:before="0" w:after="0"/>
              <w:ind w:left="0" w:right="0" w:firstLine="800"/>
              <w:jc w:val="left"/>
              <w:rPr/>
            </w:pPr>
            <w:r>
              <w:rPr/>
              <w:t> </w:t>
            </w:r>
          </w:p>
        </w:tc>
        <w:tc>
          <w:tcPr>
            <w:tcW w:w="173" w:type="dxa"/>
            <w:tcBorders/>
            <w:vAlign w:val="center"/>
          </w:tcPr>
          <w:p>
            <w:pPr>
              <w:pStyle w:val="TableContents"/>
              <w:bidi w:val="0"/>
              <w:spacing w:before="0" w:after="0"/>
              <w:ind w:left="80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firstLine="100"/>
              <w:jc w:val="left"/>
              <w:rPr/>
            </w:pPr>
            <w:r>
              <w:rPr/>
              <w:t> </w:t>
            </w:r>
          </w:p>
        </w:tc>
        <w:tc>
          <w:tcPr>
            <w:tcW w:w="173" w:type="dxa"/>
            <w:tcBorders/>
            <w:vAlign w:val="center"/>
          </w:tcPr>
          <w:p>
            <w:pPr>
              <w:pStyle w:val="TableContents"/>
              <w:bidi w:val="0"/>
              <w:spacing w:before="0" w:after="0"/>
              <w:ind w:left="10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6,400</w:t>
            </w:r>
          </w:p>
        </w:tc>
        <w:tc>
          <w:tcPr>
            <w:tcW w:w="500" w:type="dxa"/>
            <w:tcBorders/>
            <w:vAlign w:val="center"/>
          </w:tcPr>
          <w:p>
            <w:pPr>
              <w:pStyle w:val="TableContents"/>
              <w:bidi w:val="0"/>
              <w:spacing w:before="0" w:after="0"/>
              <w:ind w:left="0" w:right="0" w:firstLine="100"/>
              <w:jc w:val="left"/>
              <w:rPr/>
            </w:pPr>
            <w:r>
              <w:rPr/>
              <w:t> </w:t>
            </w:r>
          </w:p>
        </w:tc>
      </w:tr>
      <w:tr>
        <w:trPr/>
        <w:tc>
          <w:tcPr>
            <w:tcW w:w="3035"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20"/>
              </w:rPr>
              <w:t xml:space="preserve">Other non-recurring items </w:t>
            </w:r>
            <w:r>
              <w:rPr>
                <w:rFonts w:ascii="Times New Roman;serif" w:hAnsi="Times New Roman;serif"/>
                <w:b w:val="false"/>
                <w:sz w:val="13"/>
              </w:rPr>
              <w:t>(c)</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319"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75" w:type="dxa"/>
            <w:tcBorders/>
            <w:vAlign w:val="center"/>
          </w:tcPr>
          <w:p>
            <w:pPr>
              <w:pStyle w:val="TableContents"/>
              <w:bidi w:val="0"/>
              <w:spacing w:before="0" w:after="0"/>
              <w:ind w:left="10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1,259</w:t>
            </w:r>
          </w:p>
        </w:tc>
        <w:tc>
          <w:tcPr>
            <w:tcW w:w="1148"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c>
          <w:tcPr>
            <w:tcW w:w="173" w:type="dxa"/>
            <w:tcBorders/>
            <w:vAlign w:val="center"/>
          </w:tcPr>
          <w:p>
            <w:pPr>
              <w:pStyle w:val="TableContents"/>
              <w:bidi w:val="0"/>
              <w:spacing w:before="0" w:after="0"/>
              <w:ind w:left="800" w:right="0" w:hanging="0"/>
              <w:jc w:val="lef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1,876</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73" w:type="dxa"/>
            <w:tcBorders/>
            <w:vAlign w:val="center"/>
          </w:tcPr>
          <w:p>
            <w:pPr>
              <w:pStyle w:val="TableContents"/>
              <w:bidi w:val="0"/>
              <w:spacing w:before="0" w:after="0"/>
              <w:ind w:left="10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3,436</w:t>
            </w:r>
          </w:p>
        </w:tc>
        <w:tc>
          <w:tcPr>
            <w:tcW w:w="500"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3035" w:type="dxa"/>
            <w:tcBorders/>
            <w:vAlign w:val="center"/>
          </w:tcPr>
          <w:p>
            <w:pPr>
              <w:pStyle w:val="TableContents"/>
              <w:bidi w:val="0"/>
              <w:spacing w:before="0" w:after="0"/>
              <w:ind w:left="300" w:right="0" w:hanging="0"/>
              <w:jc w:val="left"/>
              <w:rPr>
                <w:rFonts w:ascii="Times New Roman;serif" w:hAnsi="Times New Roman;serif"/>
                <w:b/>
                <w:sz w:val="20"/>
              </w:rPr>
            </w:pPr>
            <w:r>
              <w:rPr>
                <w:rFonts w:ascii="Times New Roman;serif" w:hAnsi="Times New Roman;serif"/>
                <w:b/>
                <w:sz w:val="20"/>
              </w:rPr>
              <w:t>Unlevered Free Cash Flow</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18,943</w:t>
            </w:r>
          </w:p>
        </w:tc>
        <w:tc>
          <w:tcPr>
            <w:tcW w:w="319"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75" w:type="dxa"/>
            <w:tcBorders/>
            <w:vAlign w:val="center"/>
          </w:tcPr>
          <w:p>
            <w:pPr>
              <w:pStyle w:val="TableContents"/>
              <w:bidi w:val="0"/>
              <w:spacing w:before="0" w:after="0"/>
              <w:ind w:left="10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19,721</w:t>
            </w:r>
          </w:p>
        </w:tc>
        <w:tc>
          <w:tcPr>
            <w:tcW w:w="1148"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73" w:type="dxa"/>
            <w:tcBorders/>
            <w:vAlign w:val="center"/>
          </w:tcPr>
          <w:p>
            <w:pPr>
              <w:pStyle w:val="TableContents"/>
              <w:bidi w:val="0"/>
              <w:spacing w:before="0" w:after="0"/>
              <w:ind w:left="100" w:right="0" w:hanging="0"/>
              <w:jc w:val="left"/>
              <w:rPr/>
            </w:pPr>
            <w:r>
              <w:rPr/>
              <w:t> </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39,746</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73" w:type="dxa"/>
            <w:tcBorders/>
            <w:vAlign w:val="center"/>
          </w:tcPr>
          <w:p>
            <w:pPr>
              <w:pStyle w:val="TableContents"/>
              <w:bidi w:val="0"/>
              <w:spacing w:before="0" w:after="0"/>
              <w:ind w:left="10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44,218</w:t>
            </w:r>
          </w:p>
        </w:tc>
        <w:tc>
          <w:tcPr>
            <w:tcW w:w="5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35"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1124" w:type="dxa"/>
            <w:gridSpan w:val="2"/>
            <w:tcBorders/>
            <w:vAlign w:val="center"/>
          </w:tcPr>
          <w:p>
            <w:pPr>
              <w:pStyle w:val="TableContents"/>
              <w:bidi w:val="0"/>
              <w:spacing w:before="0" w:after="0"/>
              <w:ind w:left="0" w:right="0" w:hanging="0"/>
              <w:jc w:val="left"/>
              <w:rPr/>
            </w:pPr>
            <w:r>
              <w:rPr/>
              <w:t> </w:t>
            </w:r>
          </w:p>
        </w:tc>
        <w:tc>
          <w:tcPr>
            <w:tcW w:w="1148"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1053" w:type="dxa"/>
            <w:gridSpan w:val="2"/>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1124" w:type="dxa"/>
            <w:gridSpan w:val="2"/>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r>
      <w:tr>
        <w:trPr/>
        <w:tc>
          <w:tcPr>
            <w:tcW w:w="9705" w:type="dxa"/>
            <w:gridSpan w:val="15"/>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 Transaction and integration expenses paid in cash primarily represent legal, accounting, and consulting expenses related to our acquisitions. Restructuring expenses paid in cash relate to our restructuring plan announced in the first quarter of 2023 and exit costs related to office relocations.</w:t>
              <w:br/>
              <w:t xml:space="preserve">(b) Earnout payment represents final settlement of contingent consideration included in cash flow from operations. </w:t>
              <w:br/>
              <w:t>(c) Non-recurring items represent expenses driven by events that are typically by nature one-time, non-operational, and unrelated to our core operations.</w:t>
            </w:r>
          </w:p>
        </w:tc>
        <w:tc>
          <w:tcPr>
            <w:tcW w:w="500"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center"/>
        <w:rPr/>
      </w:pPr>
      <w:r>
        <w:rPr/>
        <w:t> </w:t>
      </w:r>
    </w:p>
    <w:tbl>
      <w:tblPr>
        <w:tblW w:w="10205" w:type="dxa"/>
        <w:jc w:val="left"/>
        <w:tblInd w:w="0" w:type="dxa"/>
        <w:tblLayout w:type="fixed"/>
        <w:tblCellMar>
          <w:top w:w="28" w:type="dxa"/>
          <w:left w:w="28" w:type="dxa"/>
          <w:bottom w:w="28" w:type="dxa"/>
          <w:right w:w="28" w:type="dxa"/>
        </w:tblCellMar>
      </w:tblPr>
      <w:tblGrid>
        <w:gridCol w:w="1878"/>
        <w:gridCol w:w="225"/>
        <w:gridCol w:w="1220"/>
        <w:gridCol w:w="284"/>
        <w:gridCol w:w="156"/>
        <w:gridCol w:w="225"/>
        <w:gridCol w:w="1220"/>
        <w:gridCol w:w="1012"/>
        <w:gridCol w:w="156"/>
        <w:gridCol w:w="225"/>
        <w:gridCol w:w="1220"/>
        <w:gridCol w:w="263"/>
        <w:gridCol w:w="156"/>
        <w:gridCol w:w="225"/>
        <w:gridCol w:w="1220"/>
        <w:gridCol w:w="520"/>
      </w:tblGrid>
      <w:tr>
        <w:trPr/>
        <w:tc>
          <w:tcPr>
            <w:tcW w:w="18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9685" w:type="dxa"/>
            <w:gridSpan w:val="15"/>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Reconciliation of GAAP Net Loss to Adjusted Net Income and</w:t>
            </w:r>
          </w:p>
        </w:tc>
        <w:tc>
          <w:tcPr>
            <w:tcW w:w="520" w:type="dxa"/>
            <w:tcBorders/>
            <w:vAlign w:val="center"/>
          </w:tcPr>
          <w:p>
            <w:pPr>
              <w:pStyle w:val="TableContents"/>
              <w:bidi w:val="0"/>
              <w:spacing w:before="0" w:after="0"/>
              <w:ind w:left="0" w:right="0" w:hanging="0"/>
              <w:jc w:val="center"/>
              <w:rPr/>
            </w:pPr>
            <w:r>
              <w:rPr/>
              <w:t> </w:t>
            </w:r>
          </w:p>
        </w:tc>
      </w:tr>
      <w:tr>
        <w:trPr/>
        <w:tc>
          <w:tcPr>
            <w:tcW w:w="9685" w:type="dxa"/>
            <w:gridSpan w:val="15"/>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GAAP Operating Loss to Adjusted Operating Income</w:t>
            </w:r>
          </w:p>
        </w:tc>
        <w:tc>
          <w:tcPr>
            <w:tcW w:w="520" w:type="dxa"/>
            <w:tcBorders/>
            <w:vAlign w:val="center"/>
          </w:tcPr>
          <w:p>
            <w:pPr>
              <w:pStyle w:val="TableContents"/>
              <w:bidi w:val="0"/>
              <w:spacing w:before="0" w:after="0"/>
              <w:ind w:left="0" w:right="0" w:hanging="0"/>
              <w:jc w:val="center"/>
              <w:rPr/>
            </w:pPr>
            <w:r>
              <w:rPr/>
              <w:t> </w:t>
            </w:r>
          </w:p>
        </w:tc>
      </w:tr>
      <w:tr>
        <w:trPr/>
        <w:tc>
          <w:tcPr>
            <w:tcW w:w="9685" w:type="dxa"/>
            <w:gridSpan w:val="15"/>
            <w:tcBorders/>
            <w:vAlign w:val="center"/>
          </w:tcPr>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(in thousands, except per share amounts; unaudited)</w:t>
            </w:r>
          </w:p>
        </w:tc>
        <w:tc>
          <w:tcPr>
            <w:tcW w:w="520" w:type="dxa"/>
            <w:tcBorders/>
            <w:vAlign w:val="center"/>
          </w:tcPr>
          <w:p>
            <w:pPr>
              <w:pStyle w:val="TableContents"/>
              <w:bidi w:val="0"/>
              <w:spacing w:before="0" w:after="0"/>
              <w:ind w:left="0" w:right="0" w:hanging="0"/>
              <w:jc w:val="center"/>
              <w:rPr/>
            </w:pPr>
            <w:r>
              <w:rPr/>
              <w:t> </w:t>
            </w:r>
          </w:p>
        </w:tc>
      </w:tr>
      <w:tr>
        <w:trPr/>
        <w:tc>
          <w:tcPr>
            <w:tcW w:w="1878" w:type="dxa"/>
            <w:tcBorders/>
            <w:vAlign w:val="center"/>
          </w:tcPr>
          <w:p>
            <w:pPr>
              <w:pStyle w:val="TableContents"/>
              <w:bidi w:val="0"/>
              <w:spacing w:before="0" w:after="0"/>
              <w:ind w:left="0" w:right="0" w:hanging="0"/>
              <w:jc w:val="center"/>
              <w:rPr/>
            </w:pPr>
            <w:r>
              <w:rPr/>
              <w:t> </w:t>
            </w:r>
          </w:p>
        </w:tc>
        <w:tc>
          <w:tcPr>
            <w:tcW w:w="1445" w:type="dxa"/>
            <w:gridSpan w:val="2"/>
            <w:tcBorders/>
            <w:vAlign w:val="center"/>
          </w:tcPr>
          <w:p>
            <w:pPr>
              <w:pStyle w:val="TableContents"/>
              <w:bidi w:val="0"/>
              <w:spacing w:before="0" w:after="0"/>
              <w:ind w:left="0" w:right="0" w:hanging="0"/>
              <w:jc w:val="center"/>
              <w:rPr/>
            </w:pPr>
            <w:r>
              <w:rPr/>
              <w:t> </w:t>
            </w:r>
          </w:p>
        </w:tc>
        <w:tc>
          <w:tcPr>
            <w:tcW w:w="284" w:type="dxa"/>
            <w:tcBorders/>
            <w:vAlign w:val="center"/>
          </w:tcPr>
          <w:p>
            <w:pPr>
              <w:pStyle w:val="TableContents"/>
              <w:bidi w:val="0"/>
              <w:spacing w:before="0" w:after="0"/>
              <w:ind w:left="0" w:right="0" w:hanging="0"/>
              <w:jc w:val="center"/>
              <w:rPr/>
            </w:pPr>
            <w:r>
              <w:rPr/>
              <w:t> </w:t>
            </w:r>
          </w:p>
        </w:tc>
        <w:tc>
          <w:tcPr>
            <w:tcW w:w="156" w:type="dxa"/>
            <w:tcBorders/>
            <w:vAlign w:val="center"/>
          </w:tcPr>
          <w:p>
            <w:pPr>
              <w:pStyle w:val="TableContents"/>
              <w:bidi w:val="0"/>
              <w:spacing w:before="0" w:after="0"/>
              <w:ind w:left="0" w:right="0" w:hanging="0"/>
              <w:jc w:val="center"/>
              <w:rPr/>
            </w:pPr>
            <w:r>
              <w:rPr/>
              <w:t> </w:t>
            </w:r>
          </w:p>
        </w:tc>
        <w:tc>
          <w:tcPr>
            <w:tcW w:w="1445" w:type="dxa"/>
            <w:gridSpan w:val="2"/>
            <w:tcBorders/>
            <w:vAlign w:val="center"/>
          </w:tcPr>
          <w:p>
            <w:pPr>
              <w:pStyle w:val="TableContents"/>
              <w:bidi w:val="0"/>
              <w:spacing w:before="0" w:after="0"/>
              <w:ind w:left="0" w:right="0" w:hanging="0"/>
              <w:jc w:val="center"/>
              <w:rPr/>
            </w:pPr>
            <w:r>
              <w:rPr/>
              <w:t> </w:t>
            </w:r>
          </w:p>
        </w:tc>
        <w:tc>
          <w:tcPr>
            <w:tcW w:w="1012" w:type="dxa"/>
            <w:tcBorders/>
            <w:vAlign w:val="center"/>
          </w:tcPr>
          <w:p>
            <w:pPr>
              <w:pStyle w:val="TableContents"/>
              <w:bidi w:val="0"/>
              <w:spacing w:before="0" w:after="0"/>
              <w:ind w:left="0" w:right="0" w:hanging="0"/>
              <w:jc w:val="center"/>
              <w:rPr/>
            </w:pPr>
            <w:r>
              <w:rPr/>
              <w:t> </w:t>
            </w:r>
          </w:p>
        </w:tc>
        <w:tc>
          <w:tcPr>
            <w:tcW w:w="156" w:type="dxa"/>
            <w:tcBorders/>
            <w:vAlign w:val="center"/>
          </w:tcPr>
          <w:p>
            <w:pPr>
              <w:pStyle w:val="TableContents"/>
              <w:bidi w:val="0"/>
              <w:spacing w:before="0" w:after="0"/>
              <w:ind w:left="0" w:right="0" w:hanging="0"/>
              <w:jc w:val="center"/>
              <w:rPr/>
            </w:pPr>
            <w:r>
              <w:rPr/>
              <w:t> </w:t>
            </w:r>
          </w:p>
        </w:tc>
        <w:tc>
          <w:tcPr>
            <w:tcW w:w="1445" w:type="dxa"/>
            <w:gridSpan w:val="2"/>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center"/>
              <w:rPr/>
            </w:pPr>
            <w:r>
              <w:rPr/>
              <w:t> </w:t>
            </w:r>
          </w:p>
        </w:tc>
        <w:tc>
          <w:tcPr>
            <w:tcW w:w="156" w:type="dxa"/>
            <w:tcBorders/>
            <w:vAlign w:val="center"/>
          </w:tcPr>
          <w:p>
            <w:pPr>
              <w:pStyle w:val="TableContents"/>
              <w:bidi w:val="0"/>
              <w:spacing w:before="0" w:after="0"/>
              <w:ind w:left="0" w:right="0" w:hanging="0"/>
              <w:jc w:val="center"/>
              <w:rPr/>
            </w:pPr>
            <w:r>
              <w:rPr/>
              <w:t> </w:t>
            </w:r>
          </w:p>
        </w:tc>
        <w:tc>
          <w:tcPr>
            <w:tcW w:w="1445" w:type="dxa"/>
            <w:gridSpan w:val="2"/>
            <w:tcBorders/>
            <w:vAlign w:val="center"/>
          </w:tcPr>
          <w:p>
            <w:pPr>
              <w:pStyle w:val="TableContents"/>
              <w:bidi w:val="0"/>
              <w:spacing w:before="0" w:after="0"/>
              <w:ind w:left="0" w:right="0" w:hanging="0"/>
              <w:jc w:val="center"/>
              <w:rPr/>
            </w:pPr>
            <w:r>
              <w:rPr/>
              <w:t> </w:t>
            </w:r>
          </w:p>
        </w:tc>
        <w:tc>
          <w:tcPr>
            <w:tcW w:w="520" w:type="dxa"/>
            <w:tcBorders/>
            <w:vAlign w:val="center"/>
          </w:tcPr>
          <w:p>
            <w:pPr>
              <w:pStyle w:val="TableContents"/>
              <w:bidi w:val="0"/>
              <w:spacing w:before="0" w:after="0"/>
              <w:ind w:left="0" w:right="0" w:hanging="0"/>
              <w:jc w:val="center"/>
              <w:rPr/>
            </w:pPr>
            <w:r>
              <w:rPr/>
              <w:t> </w:t>
            </w:r>
          </w:p>
        </w:tc>
      </w:tr>
      <w:tr>
        <w:trPr/>
        <w:tc>
          <w:tcPr>
            <w:tcW w:w="1878" w:type="dxa"/>
            <w:tcBorders/>
            <w:vAlign w:val="center"/>
          </w:tcPr>
          <w:p>
            <w:pPr>
              <w:pStyle w:val="TableContents"/>
              <w:bidi w:val="0"/>
              <w:spacing w:before="0" w:after="0"/>
              <w:ind w:left="0" w:right="0" w:hanging="0"/>
              <w:jc w:val="left"/>
              <w:rPr/>
            </w:pPr>
            <w:r>
              <w:rPr/>
              <w:t> </w:t>
            </w:r>
          </w:p>
        </w:tc>
        <w:tc>
          <w:tcPr>
            <w:tcW w:w="333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0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6" w:type="dxa"/>
            <w:tcBorders/>
            <w:vAlign w:val="center"/>
          </w:tcPr>
          <w:p>
            <w:pPr>
              <w:pStyle w:val="TableContents"/>
              <w:bidi w:val="0"/>
              <w:spacing w:before="0" w:after="0"/>
              <w:ind w:left="0" w:right="0" w:hanging="0"/>
              <w:jc w:val="center"/>
              <w:rPr/>
            </w:pPr>
            <w:r>
              <w:rPr/>
              <w:t> </w:t>
            </w:r>
          </w:p>
        </w:tc>
        <w:tc>
          <w:tcPr>
            <w:tcW w:w="330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78" w:type="dxa"/>
            <w:tcBorders/>
            <w:vAlign w:val="center"/>
          </w:tcPr>
          <w:p>
            <w:pPr>
              <w:pStyle w:val="TableContents"/>
              <w:bidi w:val="0"/>
              <w:spacing w:before="0" w:after="0"/>
              <w:ind w:left="0" w:right="0" w:hanging="0"/>
              <w:jc w:val="left"/>
              <w:rPr/>
            </w:pPr>
            <w:r>
              <w:rPr/>
              <w:t> </w:t>
            </w:r>
          </w:p>
        </w:tc>
        <w:tc>
          <w:tcPr>
            <w:tcW w:w="1445" w:type="dxa"/>
            <w:gridSpan w:val="2"/>
            <w:tcBorders/>
            <w:vAlign w:val="center"/>
          </w:tcPr>
          <w:p>
            <w:pPr>
              <w:pStyle w:val="TableContents"/>
              <w:bidi w:val="0"/>
              <w:spacing w:before="0" w:after="0"/>
              <w:ind w:left="0" w:right="0" w:hanging="0"/>
              <w:jc w:val="center"/>
              <w:rPr/>
            </w:pPr>
            <w:r>
              <w:rPr/>
              <w:t> </w:t>
            </w:r>
          </w:p>
        </w:tc>
        <w:tc>
          <w:tcPr>
            <w:tcW w:w="284" w:type="dxa"/>
            <w:tcBorders/>
            <w:vAlign w:val="center"/>
          </w:tcPr>
          <w:p>
            <w:pPr>
              <w:pStyle w:val="TableContents"/>
              <w:bidi w:val="0"/>
              <w:spacing w:before="0" w:after="0"/>
              <w:ind w:left="0" w:right="0" w:hanging="0"/>
              <w:jc w:val="center"/>
              <w:rPr/>
            </w:pPr>
            <w:r>
              <w:rPr/>
              <w:t> </w:t>
            </w:r>
          </w:p>
        </w:tc>
        <w:tc>
          <w:tcPr>
            <w:tcW w:w="156" w:type="dxa"/>
            <w:tcBorders/>
            <w:vAlign w:val="center"/>
          </w:tcPr>
          <w:p>
            <w:pPr>
              <w:pStyle w:val="TableContents"/>
              <w:bidi w:val="0"/>
              <w:spacing w:before="0" w:after="0"/>
              <w:ind w:left="0" w:right="0" w:hanging="0"/>
              <w:jc w:val="center"/>
              <w:rPr/>
            </w:pPr>
            <w:r>
              <w:rPr/>
              <w:t> </w:t>
            </w:r>
          </w:p>
        </w:tc>
        <w:tc>
          <w:tcPr>
            <w:tcW w:w="14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1012" w:type="dxa"/>
            <w:tcBorders/>
            <w:vAlign w:val="center"/>
          </w:tcPr>
          <w:p>
            <w:pPr>
              <w:pStyle w:val="TableContents"/>
              <w:bidi w:val="0"/>
              <w:spacing w:before="0" w:after="0"/>
              <w:ind w:left="0" w:right="0" w:hanging="0"/>
              <w:jc w:val="center"/>
              <w:rPr/>
            </w:pPr>
            <w:r>
              <w:rPr/>
              <w:t> </w:t>
            </w:r>
          </w:p>
        </w:tc>
        <w:tc>
          <w:tcPr>
            <w:tcW w:w="156" w:type="dxa"/>
            <w:tcBorders/>
            <w:vAlign w:val="center"/>
          </w:tcPr>
          <w:p>
            <w:pPr>
              <w:pStyle w:val="TableContents"/>
              <w:bidi w:val="0"/>
              <w:spacing w:before="0" w:after="0"/>
              <w:ind w:left="0" w:right="0" w:hanging="0"/>
              <w:jc w:val="center"/>
              <w:rPr/>
            </w:pPr>
            <w:r>
              <w:rPr/>
              <w:t> </w:t>
            </w:r>
          </w:p>
        </w:tc>
        <w:tc>
          <w:tcPr>
            <w:tcW w:w="1445" w:type="dxa"/>
            <w:gridSpan w:val="2"/>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center"/>
              <w:rPr/>
            </w:pPr>
            <w:r>
              <w:rPr/>
              <w:t> </w:t>
            </w:r>
          </w:p>
        </w:tc>
        <w:tc>
          <w:tcPr>
            <w:tcW w:w="156" w:type="dxa"/>
            <w:tcBorders/>
            <w:vAlign w:val="center"/>
          </w:tcPr>
          <w:p>
            <w:pPr>
              <w:pStyle w:val="TableContents"/>
              <w:bidi w:val="0"/>
              <w:spacing w:before="0" w:after="0"/>
              <w:ind w:left="0" w:right="0" w:hanging="0"/>
              <w:jc w:val="center"/>
              <w:rPr/>
            </w:pPr>
            <w:r>
              <w:rPr/>
              <w:t> </w:t>
            </w:r>
          </w:p>
        </w:tc>
        <w:tc>
          <w:tcPr>
            <w:tcW w:w="14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520" w:type="dxa"/>
            <w:tcBorders/>
            <w:vAlign w:val="center"/>
          </w:tcPr>
          <w:p>
            <w:pPr>
              <w:pStyle w:val="TableContents"/>
              <w:bidi w:val="0"/>
              <w:spacing w:before="0" w:after="0"/>
              <w:ind w:left="0" w:right="0" w:hanging="0"/>
              <w:jc w:val="center"/>
              <w:rPr/>
            </w:pPr>
            <w:r>
              <w:rPr/>
              <w:t> </w:t>
            </w:r>
          </w:p>
        </w:tc>
      </w:tr>
      <w:tr>
        <w:trPr/>
        <w:tc>
          <w:tcPr>
            <w:tcW w:w="1878" w:type="dxa"/>
            <w:tcBorders/>
            <w:vAlign w:val="center"/>
          </w:tcPr>
          <w:p>
            <w:pPr>
              <w:pStyle w:val="TableContents"/>
              <w:bidi w:val="0"/>
              <w:spacing w:before="0" w:after="0"/>
              <w:ind w:left="0" w:right="0" w:hanging="0"/>
              <w:jc w:val="left"/>
              <w:rPr/>
            </w:pPr>
            <w:r>
              <w:rPr/>
              <w:t> </w:t>
            </w:r>
          </w:p>
        </w:tc>
        <w:tc>
          <w:tcPr>
            <w:tcW w:w="14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6" w:type="dxa"/>
            <w:tcBorders/>
            <w:vAlign w:val="center"/>
          </w:tcPr>
          <w:p>
            <w:pPr>
              <w:pStyle w:val="TableContents"/>
              <w:bidi w:val="0"/>
              <w:spacing w:before="0" w:after="0"/>
              <w:ind w:left="0" w:right="0" w:hanging="0"/>
              <w:jc w:val="left"/>
              <w:rPr/>
            </w:pPr>
            <w:r>
              <w:rPr/>
              <w:t> </w:t>
            </w:r>
          </w:p>
        </w:tc>
        <w:tc>
          <w:tcPr>
            <w:tcW w:w="14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0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6" w:type="dxa"/>
            <w:tcBorders/>
            <w:vAlign w:val="center"/>
          </w:tcPr>
          <w:p>
            <w:pPr>
              <w:pStyle w:val="TableContents"/>
              <w:bidi w:val="0"/>
              <w:spacing w:before="0" w:after="0"/>
              <w:ind w:left="0" w:right="0" w:hanging="0"/>
              <w:jc w:val="center"/>
              <w:rPr/>
            </w:pPr>
            <w:r>
              <w:rPr/>
              <w:t> </w:t>
            </w:r>
          </w:p>
        </w:tc>
        <w:tc>
          <w:tcPr>
            <w:tcW w:w="14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6" w:type="dxa"/>
            <w:tcBorders/>
            <w:vAlign w:val="center"/>
          </w:tcPr>
          <w:p>
            <w:pPr>
              <w:pStyle w:val="TableContents"/>
              <w:bidi w:val="0"/>
              <w:spacing w:before="0" w:after="0"/>
              <w:ind w:left="0" w:right="0" w:hanging="0"/>
              <w:jc w:val="left"/>
              <w:rPr/>
            </w:pPr>
            <w:r>
              <w:rPr/>
              <w:t> </w:t>
            </w:r>
          </w:p>
        </w:tc>
        <w:tc>
          <w:tcPr>
            <w:tcW w:w="14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(11,605</w:t>
            </w:r>
          </w:p>
        </w:tc>
        <w:tc>
          <w:tcPr>
            <w:tcW w:w="2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(10,142</w:t>
            </w:r>
          </w:p>
        </w:tc>
        <w:tc>
          <w:tcPr>
            <w:tcW w:w="10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(27,577</w:t>
            </w:r>
          </w:p>
        </w:tc>
        <w:tc>
          <w:tcPr>
            <w:tcW w:w="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(23,181</w:t>
            </w:r>
          </w:p>
        </w:tc>
        <w:tc>
          <w:tcPr>
            <w:tcW w:w="5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187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Add: Income tax benefit</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(1,484</w:t>
            </w:r>
          </w:p>
        </w:tc>
        <w:tc>
          <w:tcPr>
            <w:tcW w:w="2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10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(2,194</w:t>
            </w:r>
          </w:p>
        </w:tc>
        <w:tc>
          <w:tcPr>
            <w:tcW w:w="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w:t>
            </w:r>
          </w:p>
        </w:tc>
        <w:tc>
          <w:tcPr>
            <w:tcW w:w="5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187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Add: Interest expense, net</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284"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2,580</w:t>
            </w:r>
          </w:p>
        </w:tc>
        <w:tc>
          <w:tcPr>
            <w:tcW w:w="1012"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1,001</w:t>
            </w:r>
          </w:p>
        </w:tc>
        <w:tc>
          <w:tcPr>
            <w:tcW w:w="263"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4,464</w:t>
            </w:r>
          </w:p>
        </w:tc>
        <w:tc>
          <w:tcPr>
            <w:tcW w:w="520" w:type="dxa"/>
            <w:tcBorders/>
            <w:vAlign w:val="center"/>
          </w:tcPr>
          <w:p>
            <w:pPr>
              <w:pStyle w:val="TableContents"/>
              <w:bidi w:val="0"/>
              <w:spacing w:before="0" w:after="0"/>
              <w:ind w:left="0" w:right="0" w:firstLine="100"/>
              <w:jc w:val="left"/>
              <w:rPr/>
            </w:pPr>
            <w:r>
              <w:rPr/>
              <w:t> </w:t>
            </w:r>
          </w:p>
        </w:tc>
      </w:tr>
      <w:tr>
        <w:trPr/>
        <w:tc>
          <w:tcPr>
            <w:tcW w:w="187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Add: Other expense (income), net</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(4,103</w:t>
            </w:r>
          </w:p>
        </w:tc>
        <w:tc>
          <w:tcPr>
            <w:tcW w:w="10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4,428</w:t>
            </w:r>
          </w:p>
        </w:tc>
        <w:tc>
          <w:tcPr>
            <w:tcW w:w="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(4,088</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1878" w:type="dxa"/>
            <w:tcBorders/>
            <w:vAlign w:val="center"/>
          </w:tcPr>
          <w:p>
            <w:pPr>
              <w:pStyle w:val="TableContents"/>
              <w:bidi w:val="0"/>
              <w:spacing w:before="0" w:after="0"/>
              <w:ind w:left="300" w:right="0" w:hanging="0"/>
              <w:jc w:val="left"/>
              <w:rPr>
                <w:rFonts w:ascii="Times New Roman;serif" w:hAnsi="Times New Roman;serif"/>
                <w:b/>
                <w:sz w:val="20"/>
              </w:rPr>
            </w:pPr>
            <w:r>
              <w:rPr>
                <w:rFonts w:ascii="Times New Roman;serif" w:hAnsi="Times New Roman;serif"/>
                <w:b/>
                <w:sz w:val="20"/>
              </w:rPr>
              <w:t>Loss from operations</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(12,071</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(11,878</w:t>
            </w:r>
          </w:p>
        </w:tc>
        <w:tc>
          <w:tcPr>
            <w:tcW w:w="10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(24,342</w:t>
            </w:r>
          </w:p>
        </w:tc>
        <w:tc>
          <w:tcPr>
            <w:tcW w:w="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(23,444</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187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Add: Amortization of intangible assets acquired through business combinations</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11,556</w:t>
            </w:r>
          </w:p>
        </w:tc>
        <w:tc>
          <w:tcPr>
            <w:tcW w:w="284" w:type="dxa"/>
            <w:tcBorders/>
            <w:vAlign w:val="center"/>
          </w:tcPr>
          <w:p>
            <w:pPr>
              <w:pStyle w:val="TableContents"/>
              <w:bidi w:val="0"/>
              <w:spacing w:before="0" w:after="0"/>
              <w:ind w:left="0" w:right="0" w:firstLine="100"/>
              <w:jc w:val="left"/>
              <w:rPr/>
            </w:pPr>
            <w:r>
              <w:rPr/>
              <w:t> </w:t>
            </w:r>
          </w:p>
        </w:tc>
        <w:tc>
          <w:tcPr>
            <w:tcW w:w="15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14,769</w:t>
            </w:r>
          </w:p>
        </w:tc>
        <w:tc>
          <w:tcPr>
            <w:tcW w:w="1012"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22,923</w:t>
            </w:r>
          </w:p>
        </w:tc>
        <w:tc>
          <w:tcPr>
            <w:tcW w:w="263"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29,220</w:t>
            </w:r>
          </w:p>
        </w:tc>
        <w:tc>
          <w:tcPr>
            <w:tcW w:w="520" w:type="dxa"/>
            <w:tcBorders/>
            <w:vAlign w:val="center"/>
          </w:tcPr>
          <w:p>
            <w:pPr>
              <w:pStyle w:val="TableContents"/>
              <w:bidi w:val="0"/>
              <w:spacing w:before="0" w:after="0"/>
              <w:ind w:left="0" w:right="0" w:firstLine="100"/>
              <w:jc w:val="left"/>
              <w:rPr/>
            </w:pPr>
            <w:r>
              <w:rPr/>
              <w:t> </w:t>
            </w:r>
          </w:p>
        </w:tc>
      </w:tr>
      <w:tr>
        <w:trPr/>
        <w:tc>
          <w:tcPr>
            <w:tcW w:w="187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Add: Equity-based compensation</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12,363</w:t>
            </w:r>
          </w:p>
        </w:tc>
        <w:tc>
          <w:tcPr>
            <w:tcW w:w="284" w:type="dxa"/>
            <w:tcBorders/>
            <w:vAlign w:val="center"/>
          </w:tcPr>
          <w:p>
            <w:pPr>
              <w:pStyle w:val="TableContents"/>
              <w:bidi w:val="0"/>
              <w:spacing w:before="0" w:after="0"/>
              <w:ind w:left="0" w:right="0" w:firstLine="100"/>
              <w:jc w:val="left"/>
              <w:rPr/>
            </w:pPr>
            <w:r>
              <w:rPr/>
              <w:t> </w:t>
            </w:r>
          </w:p>
        </w:tc>
        <w:tc>
          <w:tcPr>
            <w:tcW w:w="15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9,005</w:t>
            </w:r>
          </w:p>
        </w:tc>
        <w:tc>
          <w:tcPr>
            <w:tcW w:w="1012"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23,491</w:t>
            </w:r>
          </w:p>
        </w:tc>
        <w:tc>
          <w:tcPr>
            <w:tcW w:w="263"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15,877</w:t>
            </w:r>
          </w:p>
        </w:tc>
        <w:tc>
          <w:tcPr>
            <w:tcW w:w="520" w:type="dxa"/>
            <w:tcBorders/>
            <w:vAlign w:val="center"/>
          </w:tcPr>
          <w:p>
            <w:pPr>
              <w:pStyle w:val="TableContents"/>
              <w:bidi w:val="0"/>
              <w:spacing w:before="0" w:after="0"/>
              <w:ind w:left="0" w:right="0" w:firstLine="100"/>
              <w:jc w:val="left"/>
              <w:rPr/>
            </w:pPr>
            <w:r>
              <w:rPr/>
              <w:t> </w:t>
            </w:r>
          </w:p>
        </w:tc>
      </w:tr>
      <w:tr>
        <w:trPr/>
        <w:tc>
          <w:tcPr>
            <w:tcW w:w="187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Add: Transaction, integration, and restructuring expenses</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3,571</w:t>
            </w:r>
          </w:p>
        </w:tc>
        <w:tc>
          <w:tcPr>
            <w:tcW w:w="284" w:type="dxa"/>
            <w:tcBorders/>
            <w:vAlign w:val="center"/>
          </w:tcPr>
          <w:p>
            <w:pPr>
              <w:pStyle w:val="TableContents"/>
              <w:bidi w:val="0"/>
              <w:spacing w:before="0" w:after="0"/>
              <w:ind w:left="0" w:right="0" w:firstLine="100"/>
              <w:jc w:val="left"/>
              <w:rPr/>
            </w:pPr>
            <w:r>
              <w:rPr/>
              <w:t> </w:t>
            </w:r>
          </w:p>
        </w:tc>
        <w:tc>
          <w:tcPr>
            <w:tcW w:w="15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2,107</w:t>
            </w:r>
          </w:p>
        </w:tc>
        <w:tc>
          <w:tcPr>
            <w:tcW w:w="1012"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6,161</w:t>
            </w:r>
          </w:p>
        </w:tc>
        <w:tc>
          <w:tcPr>
            <w:tcW w:w="263"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3,417</w:t>
            </w:r>
          </w:p>
        </w:tc>
        <w:tc>
          <w:tcPr>
            <w:tcW w:w="520" w:type="dxa"/>
            <w:tcBorders/>
            <w:vAlign w:val="center"/>
          </w:tcPr>
          <w:p>
            <w:pPr>
              <w:pStyle w:val="TableContents"/>
              <w:bidi w:val="0"/>
              <w:spacing w:before="0" w:after="0"/>
              <w:ind w:left="0" w:right="0" w:firstLine="100"/>
              <w:jc w:val="left"/>
              <w:rPr/>
            </w:pPr>
            <w:r>
              <w:rPr/>
              <w:t> </w:t>
            </w:r>
          </w:p>
        </w:tc>
      </w:tr>
      <w:tr>
        <w:trPr/>
        <w:tc>
          <w:tcPr>
            <w:tcW w:w="187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Add: Other non-recurring items</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56" w:type="dxa"/>
            <w:tcBorders/>
            <w:vAlign w:val="center"/>
          </w:tcPr>
          <w:p>
            <w:pPr>
              <w:pStyle w:val="TableContents"/>
              <w:bidi w:val="0"/>
              <w:spacing w:before="0" w:after="0"/>
              <w:ind w:left="10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1,259</w:t>
            </w:r>
          </w:p>
        </w:tc>
        <w:tc>
          <w:tcPr>
            <w:tcW w:w="10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1,876</w:t>
            </w:r>
          </w:p>
        </w:tc>
        <w:tc>
          <w:tcPr>
            <w:tcW w:w="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3,436</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1878" w:type="dxa"/>
            <w:tcBorders/>
            <w:vAlign w:val="center"/>
          </w:tcPr>
          <w:p>
            <w:pPr>
              <w:pStyle w:val="TableContents"/>
              <w:bidi w:val="0"/>
              <w:spacing w:before="0" w:after="0"/>
              <w:ind w:left="300" w:right="0" w:hanging="0"/>
              <w:jc w:val="left"/>
              <w:rPr>
                <w:rFonts w:ascii="Times New Roman;serif" w:hAnsi="Times New Roman;serif"/>
                <w:b/>
                <w:sz w:val="20"/>
              </w:rPr>
            </w:pPr>
            <w:r>
              <w:rPr>
                <w:rFonts w:ascii="Times New Roman;serif" w:hAnsi="Times New Roman;serif"/>
                <w:b/>
                <w:sz w:val="20"/>
              </w:rPr>
              <w:t>Adjusted Operating Income</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16,019</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56" w:type="dxa"/>
            <w:tcBorders/>
            <w:vAlign w:val="center"/>
          </w:tcPr>
          <w:p>
            <w:pPr>
              <w:pStyle w:val="TableContents"/>
              <w:bidi w:val="0"/>
              <w:spacing w:before="0" w:after="0"/>
              <w:ind w:left="10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15,262</w:t>
            </w:r>
          </w:p>
        </w:tc>
        <w:tc>
          <w:tcPr>
            <w:tcW w:w="10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30,109</w:t>
            </w:r>
          </w:p>
        </w:tc>
        <w:tc>
          <w:tcPr>
            <w:tcW w:w="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28,506</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187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Less: Interest expense, net</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2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(2,580</w:t>
            </w:r>
          </w:p>
        </w:tc>
        <w:tc>
          <w:tcPr>
            <w:tcW w:w="10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(1,001</w:t>
            </w:r>
          </w:p>
        </w:tc>
        <w:tc>
          <w:tcPr>
            <w:tcW w:w="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(4,464</w:t>
            </w:r>
          </w:p>
        </w:tc>
        <w:tc>
          <w:tcPr>
            <w:tcW w:w="5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187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Less: Recurring income tax benefit</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1,484</w:t>
            </w:r>
          </w:p>
        </w:tc>
        <w:tc>
          <w:tcPr>
            <w:tcW w:w="284" w:type="dxa"/>
            <w:tcBorders/>
            <w:vAlign w:val="center"/>
          </w:tcPr>
          <w:p>
            <w:pPr>
              <w:pStyle w:val="TableContents"/>
              <w:bidi w:val="0"/>
              <w:spacing w:before="0" w:after="0"/>
              <w:ind w:left="0" w:right="0" w:firstLine="100"/>
              <w:jc w:val="left"/>
              <w:rPr/>
            </w:pPr>
            <w:r>
              <w:rPr/>
              <w:t> </w:t>
            </w:r>
          </w:p>
        </w:tc>
        <w:tc>
          <w:tcPr>
            <w:tcW w:w="15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1012"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2,194</w:t>
            </w:r>
          </w:p>
        </w:tc>
        <w:tc>
          <w:tcPr>
            <w:tcW w:w="263"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w:t>
            </w:r>
          </w:p>
        </w:tc>
        <w:tc>
          <w:tcPr>
            <w:tcW w:w="520" w:type="dxa"/>
            <w:tcBorders/>
            <w:vAlign w:val="center"/>
          </w:tcPr>
          <w:p>
            <w:pPr>
              <w:pStyle w:val="TableContents"/>
              <w:bidi w:val="0"/>
              <w:spacing w:before="0" w:after="0"/>
              <w:ind w:left="0" w:right="0" w:firstLine="100"/>
              <w:jc w:val="left"/>
              <w:rPr/>
            </w:pPr>
            <w:r>
              <w:rPr/>
              <w:t> </w:t>
            </w:r>
          </w:p>
        </w:tc>
      </w:tr>
      <w:tr>
        <w:trPr/>
        <w:tc>
          <w:tcPr>
            <w:tcW w:w="187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Less: Foreign currency gain</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w:t>
            </w:r>
          </w:p>
        </w:tc>
        <w:tc>
          <w:tcPr>
            <w:tcW w:w="284" w:type="dxa"/>
            <w:tcBorders/>
            <w:vAlign w:val="center"/>
          </w:tcPr>
          <w:p>
            <w:pPr>
              <w:pStyle w:val="TableContents"/>
              <w:bidi w:val="0"/>
              <w:spacing w:before="0" w:after="0"/>
              <w:ind w:left="0" w:right="0" w:firstLine="100"/>
              <w:jc w:val="left"/>
              <w:rPr/>
            </w:pPr>
            <w:r>
              <w:rPr/>
              <w:t> </w:t>
            </w:r>
          </w:p>
        </w:tc>
        <w:tc>
          <w:tcPr>
            <w:tcW w:w="15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611</w:t>
            </w:r>
          </w:p>
        </w:tc>
        <w:tc>
          <w:tcPr>
            <w:tcW w:w="1012"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w:t>
            </w:r>
          </w:p>
        </w:tc>
        <w:tc>
          <w:tcPr>
            <w:tcW w:w="263"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758</w:t>
            </w:r>
          </w:p>
        </w:tc>
        <w:tc>
          <w:tcPr>
            <w:tcW w:w="520" w:type="dxa"/>
            <w:tcBorders/>
            <w:vAlign w:val="center"/>
          </w:tcPr>
          <w:p>
            <w:pPr>
              <w:pStyle w:val="TableContents"/>
              <w:bidi w:val="0"/>
              <w:spacing w:before="0" w:after="0"/>
              <w:ind w:left="0" w:right="0" w:firstLine="100"/>
              <w:jc w:val="left"/>
              <w:rPr/>
            </w:pPr>
            <w:r>
              <w:rPr/>
              <w:t> </w:t>
            </w:r>
          </w:p>
        </w:tc>
      </w:tr>
      <w:tr>
        <w:trPr/>
        <w:tc>
          <w:tcPr>
            <w:tcW w:w="187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Less: Tax impacts of adjustments to net loss</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(5,246</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10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(4,703</w:t>
            </w:r>
          </w:p>
        </w:tc>
        <w:tc>
          <w:tcPr>
            <w:tcW w:w="10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(10,104</w:t>
            </w:r>
          </w:p>
        </w:tc>
        <w:tc>
          <w:tcPr>
            <w:tcW w:w="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(8,964</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1878" w:type="dxa"/>
            <w:tcBorders/>
            <w:vAlign w:val="center"/>
          </w:tcPr>
          <w:p>
            <w:pPr>
              <w:pStyle w:val="TableContents"/>
              <w:bidi w:val="0"/>
              <w:spacing w:before="0" w:after="0"/>
              <w:ind w:left="300" w:right="0" w:hanging="0"/>
              <w:jc w:val="left"/>
              <w:rPr>
                <w:rFonts w:ascii="Times New Roman;serif" w:hAnsi="Times New Roman;serif"/>
                <w:b/>
                <w:sz w:val="20"/>
              </w:rPr>
            </w:pPr>
            <w:r>
              <w:rPr>
                <w:rFonts w:ascii="Times New Roman;serif" w:hAnsi="Times New Roman;serif"/>
                <w:b/>
                <w:sz w:val="20"/>
              </w:rPr>
              <w:t>Adjusted Net Income</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12,385</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56" w:type="dxa"/>
            <w:tcBorders/>
            <w:vAlign w:val="center"/>
          </w:tcPr>
          <w:p>
            <w:pPr>
              <w:pStyle w:val="TableContents"/>
              <w:bidi w:val="0"/>
              <w:spacing w:before="0" w:after="0"/>
              <w:ind w:left="10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8,803</w:t>
            </w:r>
          </w:p>
        </w:tc>
        <w:tc>
          <w:tcPr>
            <w:tcW w:w="10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21,468</w:t>
            </w:r>
          </w:p>
        </w:tc>
        <w:tc>
          <w:tcPr>
            <w:tcW w:w="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16,354</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1878"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20"/>
              </w:rPr>
              <w:t xml:space="preserve">Shares for Adjusted Net Income Per Diluted Share </w:t>
            </w:r>
            <w:r>
              <w:rPr>
                <w:rFonts w:ascii="Times New Roman;serif" w:hAnsi="Times New Roman;serif"/>
                <w:b w:val="false"/>
                <w:sz w:val="13"/>
              </w:rPr>
              <w:t>(a)</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155,599,967</w:t>
            </w:r>
          </w:p>
        </w:tc>
        <w:tc>
          <w:tcPr>
            <w:tcW w:w="284" w:type="dxa"/>
            <w:tcBorders/>
            <w:vAlign w:val="center"/>
          </w:tcPr>
          <w:p>
            <w:pPr>
              <w:pStyle w:val="TableContents"/>
              <w:bidi w:val="0"/>
              <w:spacing w:before="0" w:after="0"/>
              <w:ind w:left="0" w:right="0" w:firstLine="100"/>
              <w:jc w:val="left"/>
              <w:rPr/>
            </w:pPr>
            <w:r>
              <w:rPr/>
              <w:t> </w:t>
            </w:r>
          </w:p>
        </w:tc>
        <w:tc>
          <w:tcPr>
            <w:tcW w:w="15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154,658,469</w:t>
            </w:r>
          </w:p>
        </w:tc>
        <w:tc>
          <w:tcPr>
            <w:tcW w:w="1012"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155,352,114</w:t>
            </w:r>
          </w:p>
        </w:tc>
        <w:tc>
          <w:tcPr>
            <w:tcW w:w="263"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154,422,508</w:t>
            </w:r>
          </w:p>
        </w:tc>
        <w:tc>
          <w:tcPr>
            <w:tcW w:w="520" w:type="dxa"/>
            <w:tcBorders/>
            <w:vAlign w:val="center"/>
          </w:tcPr>
          <w:p>
            <w:pPr>
              <w:pStyle w:val="TableContents"/>
              <w:bidi w:val="0"/>
              <w:spacing w:before="0" w:after="0"/>
              <w:ind w:left="0" w:right="0" w:firstLine="100"/>
              <w:jc w:val="left"/>
              <w:rPr/>
            </w:pPr>
            <w:r>
              <w:rPr/>
              <w:t> </w:t>
            </w:r>
          </w:p>
        </w:tc>
      </w:tr>
      <w:tr>
        <w:trPr/>
        <w:tc>
          <w:tcPr>
            <w:tcW w:w="187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Adjusted Net Income Per Share</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0.08</w:t>
            </w:r>
          </w:p>
        </w:tc>
        <w:tc>
          <w:tcPr>
            <w:tcW w:w="284" w:type="dxa"/>
            <w:tcBorders/>
            <w:vAlign w:val="center"/>
          </w:tcPr>
          <w:p>
            <w:pPr>
              <w:pStyle w:val="TableContents"/>
              <w:bidi w:val="0"/>
              <w:spacing w:before="0" w:after="0"/>
              <w:ind w:left="0" w:right="0" w:firstLine="100"/>
              <w:jc w:val="left"/>
              <w:rPr/>
            </w:pPr>
            <w:r>
              <w:rPr/>
              <w:t> </w:t>
            </w:r>
          </w:p>
        </w:tc>
        <w:tc>
          <w:tcPr>
            <w:tcW w:w="15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1012" w:type="dxa"/>
            <w:tcBorders/>
            <w:vAlign w:val="center"/>
          </w:tcPr>
          <w:p>
            <w:pPr>
              <w:pStyle w:val="TableContents"/>
              <w:bidi w:val="0"/>
              <w:spacing w:before="0" w:after="0"/>
              <w:ind w:left="0" w:right="0" w:firstLine="800"/>
              <w:jc w:val="left"/>
              <w:rPr/>
            </w:pPr>
            <w:r>
              <w:rPr/>
              <w:t> </w:t>
            </w:r>
          </w:p>
        </w:tc>
        <w:tc>
          <w:tcPr>
            <w:tcW w:w="156" w:type="dxa"/>
            <w:tcBorders/>
            <w:vAlign w:val="center"/>
          </w:tcPr>
          <w:p>
            <w:pPr>
              <w:pStyle w:val="TableContents"/>
              <w:bidi w:val="0"/>
              <w:spacing w:before="0" w:after="0"/>
              <w:ind w:left="80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0.14</w:t>
            </w:r>
          </w:p>
        </w:tc>
        <w:tc>
          <w:tcPr>
            <w:tcW w:w="263" w:type="dxa"/>
            <w:tcBorders/>
            <w:vAlign w:val="center"/>
          </w:tcPr>
          <w:p>
            <w:pPr>
              <w:pStyle w:val="TableContents"/>
              <w:bidi w:val="0"/>
              <w:spacing w:before="0" w:after="0"/>
              <w:ind w:left="0" w:right="0" w:firstLine="100"/>
              <w:jc w:val="left"/>
              <w:rPr/>
            </w:pPr>
            <w:r>
              <w:rPr/>
              <w:t> </w:t>
            </w:r>
          </w:p>
        </w:tc>
        <w:tc>
          <w:tcPr>
            <w:tcW w:w="15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0.11</w:t>
            </w:r>
          </w:p>
        </w:tc>
        <w:tc>
          <w:tcPr>
            <w:tcW w:w="520" w:type="dxa"/>
            <w:tcBorders/>
            <w:vAlign w:val="center"/>
          </w:tcPr>
          <w:p>
            <w:pPr>
              <w:pStyle w:val="TableContents"/>
              <w:bidi w:val="0"/>
              <w:spacing w:before="0" w:after="0"/>
              <w:ind w:left="0" w:right="0" w:hanging="0"/>
              <w:jc w:val="left"/>
              <w:rPr/>
            </w:pPr>
            <w:r>
              <w:rPr/>
              <w:t> </w:t>
            </w:r>
          </w:p>
        </w:tc>
      </w:tr>
      <w:tr>
        <w:trPr/>
        <w:tc>
          <w:tcPr>
            <w:tcW w:w="1878" w:type="dxa"/>
            <w:tcBorders/>
            <w:vAlign w:val="center"/>
          </w:tcPr>
          <w:p>
            <w:pPr>
              <w:pStyle w:val="TableContents"/>
              <w:bidi w:val="0"/>
              <w:spacing w:before="0" w:after="0"/>
              <w:ind w:left="0" w:right="0" w:hanging="0"/>
              <w:jc w:val="left"/>
              <w:rPr/>
            </w:pPr>
            <w:r>
              <w:rPr/>
              <w:t> </w:t>
            </w:r>
          </w:p>
        </w:tc>
        <w:tc>
          <w:tcPr>
            <w:tcW w:w="1445" w:type="dxa"/>
            <w:gridSpan w:val="2"/>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1445" w:type="dxa"/>
            <w:gridSpan w:val="2"/>
            <w:tcBorders/>
            <w:vAlign w:val="center"/>
          </w:tcPr>
          <w:p>
            <w:pPr>
              <w:pStyle w:val="TableContents"/>
              <w:bidi w:val="0"/>
              <w:spacing w:before="0" w:after="0"/>
              <w:ind w:left="0" w:right="0" w:hanging="0"/>
              <w:jc w:val="left"/>
              <w:rPr/>
            </w:pPr>
            <w:r>
              <w:rPr/>
              <w:t> </w:t>
            </w:r>
          </w:p>
        </w:tc>
        <w:tc>
          <w:tcPr>
            <w:tcW w:w="1012"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1445" w:type="dxa"/>
            <w:gridSpan w:val="2"/>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1445" w:type="dxa"/>
            <w:gridSpan w:val="2"/>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left"/>
              <w:rPr/>
            </w:pPr>
            <w:r>
              <w:rPr/>
              <w:t> </w:t>
            </w:r>
          </w:p>
        </w:tc>
      </w:tr>
      <w:tr>
        <w:trPr/>
        <w:tc>
          <w:tcPr>
            <w:tcW w:w="9685" w:type="dxa"/>
            <w:gridSpan w:val="15"/>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 Diluted Adjusted Net Income Per Share is computed by giving effect to all potential weighted average Class A common stock and any securities that are convertible into Class A common stock, including Definitive OpCo units and restricted stock units. The dilutive effect of outstanding awards and convertible securities is reflected in diluted earnings per share by application of the treasury stock method assuming proceeds from unrecognized compensation as required by GAAP. Fully diluted shares are 161,996,676 and 158,992,716 as of June 30, 2023 and 2022, respectively.</w:t>
            </w:r>
          </w:p>
        </w:tc>
        <w:tc>
          <w:tcPr>
            <w:tcW w:w="520"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center"/>
        <w:rPr/>
      </w:pPr>
      <w:r>
        <w:rPr/>
        <w:t> </w:t>
      </w:r>
    </w:p>
    <w:tbl>
      <w:tblPr>
        <w:tblW w:w="10838" w:type="dxa"/>
        <w:jc w:val="left"/>
        <w:tblInd w:w="0" w:type="dxa"/>
        <w:tblLayout w:type="fixed"/>
        <w:tblCellMar>
          <w:top w:w="28" w:type="dxa"/>
          <w:left w:w="28" w:type="dxa"/>
          <w:bottom w:w="28" w:type="dxa"/>
          <w:right w:w="28" w:type="dxa"/>
        </w:tblCellMar>
      </w:tblPr>
      <w:tblGrid>
        <w:gridCol w:w="1351"/>
        <w:gridCol w:w="211"/>
        <w:gridCol w:w="736"/>
        <w:gridCol w:w="166"/>
        <w:gridCol w:w="146"/>
        <w:gridCol w:w="201"/>
        <w:gridCol w:w="520"/>
        <w:gridCol w:w="271"/>
        <w:gridCol w:w="146"/>
        <w:gridCol w:w="211"/>
        <w:gridCol w:w="736"/>
        <w:gridCol w:w="166"/>
        <w:gridCol w:w="146"/>
        <w:gridCol w:w="201"/>
        <w:gridCol w:w="520"/>
        <w:gridCol w:w="271"/>
        <w:gridCol w:w="146"/>
        <w:gridCol w:w="211"/>
        <w:gridCol w:w="736"/>
        <w:gridCol w:w="166"/>
        <w:gridCol w:w="146"/>
        <w:gridCol w:w="201"/>
        <w:gridCol w:w="520"/>
        <w:gridCol w:w="271"/>
        <w:gridCol w:w="146"/>
        <w:gridCol w:w="211"/>
        <w:gridCol w:w="736"/>
        <w:gridCol w:w="166"/>
        <w:gridCol w:w="146"/>
        <w:gridCol w:w="201"/>
        <w:gridCol w:w="520"/>
        <w:gridCol w:w="316"/>
      </w:tblGrid>
      <w:tr>
        <w:trPr/>
        <w:tc>
          <w:tcPr>
            <w:tcW w:w="1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522" w:type="dxa"/>
            <w:gridSpan w:val="31"/>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Reconciliation of Adjusted EBITDA to GAAP Net Loss</w:t>
            </w:r>
          </w:p>
        </w:tc>
        <w:tc>
          <w:tcPr>
            <w:tcW w:w="316" w:type="dxa"/>
            <w:tcBorders/>
            <w:vAlign w:val="center"/>
          </w:tcPr>
          <w:p>
            <w:pPr>
              <w:pStyle w:val="TableContents"/>
              <w:bidi w:val="0"/>
              <w:spacing w:before="0" w:after="0"/>
              <w:ind w:left="0" w:right="0" w:hanging="0"/>
              <w:jc w:val="center"/>
              <w:rPr/>
            </w:pPr>
            <w:r>
              <w:rPr/>
              <w:t> </w:t>
            </w:r>
          </w:p>
        </w:tc>
      </w:tr>
      <w:tr>
        <w:trPr/>
        <w:tc>
          <w:tcPr>
            <w:tcW w:w="10522" w:type="dxa"/>
            <w:gridSpan w:val="31"/>
            <w:tcBorders/>
            <w:vAlign w:val="center"/>
          </w:tcPr>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(in thousands; unaudited)</w:t>
            </w:r>
          </w:p>
        </w:tc>
        <w:tc>
          <w:tcPr>
            <w:tcW w:w="316" w:type="dxa"/>
            <w:tcBorders/>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center"/>
              <w:rPr/>
            </w:pPr>
            <w:r>
              <w:rPr/>
              <w:t> </w:t>
            </w:r>
          </w:p>
        </w:tc>
        <w:tc>
          <w:tcPr>
            <w:tcW w:w="4377"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77"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80"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80"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316" w:type="dxa"/>
            <w:tcBorders/>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pPr>
            <w:r>
              <w:rPr/>
              <w:t> </w:t>
            </w:r>
          </w:p>
        </w:tc>
        <w:tc>
          <w:tcPr>
            <w:tcW w:w="198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8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8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8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loss and margin</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(10,142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benefit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&amp; amortization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EBITDA and margin</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Other expense (income), net </w:t>
            </w:r>
            <w:r>
              <w:rPr>
                <w:rFonts w:ascii="Times New Roman;serif" w:hAnsi="Times New Roman;serif"/>
                <w:b w:val="false"/>
                <w:sz w:val="13"/>
              </w:rPr>
              <w:t>(a)</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Equity-based compensation </w:t>
            </w:r>
            <w:r>
              <w:rPr>
                <w:rFonts w:ascii="Times New Roman;serif" w:hAnsi="Times New Roman;serif"/>
                <w:b w:val="false"/>
                <w:sz w:val="13"/>
              </w:rPr>
              <w:t>(b)</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Transaction, integration, and restructuring expenses </w:t>
            </w:r>
            <w:r>
              <w:rPr>
                <w:rFonts w:ascii="Times New Roman;serif" w:hAnsi="Times New Roman;serif"/>
                <w:b w:val="false"/>
                <w:sz w:val="13"/>
              </w:rPr>
              <w:t>(c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Other non-recurring items </w:t>
            </w:r>
            <w:r>
              <w:rPr>
                <w:rFonts w:ascii="Times New Roman;serif" w:hAnsi="Times New Roman;serif"/>
                <w:b w:val="false"/>
                <w:sz w:val="13"/>
              </w:rPr>
              <w:t>(d)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Adjusted EBITDA and margin</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10522" w:type="dxa"/>
            <w:gridSpan w:val="31"/>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 Primarily represents foreign exchange and TRA liability remeasurement gains and losses.</w:t>
              <w:br/>
              <w:t>(b) Equity-based compensation represents non-cash compensation expense recognized in association with equity awards made to employees and directors.</w:t>
              <w:br/>
              <w:t>(c) Transaction and integration expenses primarily represent legal, accounting, and consulting expenses and fair value adjustments for contingent consideration related to our acquisitions. Restructuring expenses relate to our restructuring plan announced in the first quarter of 2023 and impairment and restructuring charges related to office relocations.</w:t>
              <w:br/>
              <w:t>(d) Non-recurring items represent expenses driven by events that are typically by nature one-time, non-operational, and unrelated to our core operations. These expenses are comprised primarily of professional fees related to financing, capital structure changes, and other non-recurring set-up costs related to public company operations. In addition, these expenses include sales tax accrual charges recorded during the three and six months ended June 30, 2023, of $0.2 million and $0.6 million, respectively and during the three and six months ended June 30, 2022, of $0.7 million and $1.2 million, respectively, after we became aware of a state sales tax liability for sales taxes that we may have been required to collect from customers in 2023 and in certain previous years, which amounts include assumed maximum penalties and interest.</w:t>
            </w:r>
          </w:p>
        </w:tc>
        <w:tc>
          <w:tcPr>
            <w:tcW w:w="316" w:type="dxa"/>
            <w:tcBorders/>
            <w:vAlign w:val="center"/>
          </w:tcPr>
          <w:p>
            <w:pPr>
              <w:pStyle w:val="TableContents"/>
              <w:bidi w:val="0"/>
              <w:spacing w:before="0" w:after="0"/>
              <w:ind w:left="0" w:right="0" w:hanging="0"/>
              <w:jc w:val="left"/>
              <w:rPr/>
            </w:pPr>
            <w:r>
              <w:rPr/>
              <w:t> </w:t>
            </w:r>
          </w:p>
        </w:tc>
      </w:tr>
    </w:tbl>
    <w:p>
      <w:pPr>
        <w:pStyle w:val="TextBody"/>
        <w:bidi w:val="0"/>
        <w:spacing w:before="0" w:after="240"/>
        <w:jc w:val="center"/>
        <w:rPr/>
      </w:pPr>
      <w:r>
        <w:rPr/>
        <w:t> </w:t>
      </w:r>
    </w:p>
    <w:tbl>
      <w:tblPr>
        <w:tblW w:w="10784" w:type="dxa"/>
        <w:jc w:val="left"/>
        <w:tblInd w:w="0" w:type="dxa"/>
        <w:tblLayout w:type="fixed"/>
        <w:tblCellMar>
          <w:top w:w="28" w:type="dxa"/>
          <w:left w:w="28" w:type="dxa"/>
          <w:bottom w:w="28" w:type="dxa"/>
          <w:right w:w="28" w:type="dxa"/>
        </w:tblCellMar>
      </w:tblPr>
      <w:tblGrid>
        <w:gridCol w:w="1366"/>
        <w:gridCol w:w="146"/>
        <w:gridCol w:w="211"/>
        <w:gridCol w:w="676"/>
        <w:gridCol w:w="146"/>
        <w:gridCol w:w="146"/>
        <w:gridCol w:w="213"/>
        <w:gridCol w:w="508"/>
        <w:gridCol w:w="271"/>
        <w:gridCol w:w="146"/>
        <w:gridCol w:w="211"/>
        <w:gridCol w:w="676"/>
        <w:gridCol w:w="146"/>
        <w:gridCol w:w="146"/>
        <w:gridCol w:w="213"/>
        <w:gridCol w:w="508"/>
        <w:gridCol w:w="271"/>
        <w:gridCol w:w="146"/>
        <w:gridCol w:w="211"/>
        <w:gridCol w:w="781"/>
        <w:gridCol w:w="146"/>
        <w:gridCol w:w="146"/>
        <w:gridCol w:w="213"/>
        <w:gridCol w:w="508"/>
        <w:gridCol w:w="271"/>
        <w:gridCol w:w="146"/>
        <w:gridCol w:w="211"/>
        <w:gridCol w:w="676"/>
        <w:gridCol w:w="146"/>
        <w:gridCol w:w="146"/>
        <w:gridCol w:w="213"/>
        <w:gridCol w:w="508"/>
        <w:gridCol w:w="316"/>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468" w:type="dxa"/>
            <w:gridSpan w:val="32"/>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Reconciliation of Adjusted Gross Profit and Margin to GAAP Gross Profit and Margin</w:t>
            </w:r>
          </w:p>
        </w:tc>
        <w:tc>
          <w:tcPr>
            <w:tcW w:w="316" w:type="dxa"/>
            <w:tcBorders/>
            <w:vAlign w:val="center"/>
          </w:tcPr>
          <w:p>
            <w:pPr>
              <w:pStyle w:val="TableContents"/>
              <w:bidi w:val="0"/>
              <w:spacing w:before="0" w:after="0"/>
              <w:ind w:left="0" w:right="0" w:hanging="0"/>
              <w:jc w:val="center"/>
              <w:rPr/>
            </w:pPr>
            <w:r>
              <w:rPr/>
              <w:t> </w:t>
            </w:r>
          </w:p>
        </w:tc>
      </w:tr>
      <w:tr>
        <w:trPr/>
        <w:tc>
          <w:tcPr>
            <w:tcW w:w="10468" w:type="dxa"/>
            <w:gridSpan w:val="32"/>
            <w:tcBorders/>
            <w:vAlign w:val="center"/>
          </w:tcPr>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(in thousands; unaudited)</w:t>
            </w:r>
          </w:p>
        </w:tc>
        <w:tc>
          <w:tcPr>
            <w:tcW w:w="316" w:type="dxa"/>
            <w:tcBorders/>
            <w:vAlign w:val="center"/>
          </w:tcPr>
          <w:p>
            <w:pPr>
              <w:pStyle w:val="TableContents"/>
              <w:bidi w:val="0"/>
              <w:spacing w:before="0" w:after="0"/>
              <w:ind w:left="0" w:right="0" w:hanging="0"/>
              <w:jc w:val="center"/>
              <w:rPr/>
            </w:pPr>
            <w:r>
              <w:rPr/>
              <w:t> </w:t>
            </w:r>
          </w:p>
        </w:tc>
      </w:tr>
      <w:tr>
        <w:trPr/>
        <w:tc>
          <w:tcPr>
            <w:tcW w:w="1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1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7"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2"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0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0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0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0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6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6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Reported gross profit</w:t>
            </w:r>
            <w:r>
              <w:rPr>
                <w:rFonts w:ascii="Times New Roman" w:hAnsi="Times New Roman"/>
                <w:sz w:val="20"/>
              </w:rPr>
              <w:t xml:space="preserve"> </w:t>
            </w:r>
            <w:r>
              <w:rPr>
                <w:rFonts w:ascii="Times New Roman;serif" w:hAnsi="Times New Roman;serif"/>
                <w:b/>
                <w:sz w:val="20"/>
              </w:rPr>
              <w:t>and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97,084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81,566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intangible assets acquired through business</w:t>
              <w:br/>
              <w:t>   combinations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compensation costs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3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Adjusted gross profit and margin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52,399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102,242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92,432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Arial;sans-serif" w:hAnsi="Arial;sans-serif"/>
          <w:b/>
          <w:sz w:val="21"/>
        </w:rPr>
      </w:pPr>
      <w:bookmarkStart w:id="4" w:name="dh-ex99_2.htm"/>
      <w:bookmarkStart w:id="5" w:name="ksdhex99_2"/>
      <w:bookmarkEnd w:id="4"/>
      <w:bookmarkEnd w:id="5"/>
      <w:r>
        <w:rPr>
          <w:rFonts w:ascii="Arial;sans-serif" w:hAnsi="Arial;sans-serif"/>
          <w:b/>
          <w:sz w:val="21"/>
        </w:rPr>
        <w:t>Exhibit 99.2</w:t>
      </w:r>
      <w:r>
        <w:br w:type="page"/>
      </w:r>
    </w:p>
    <w:p>
      <w:pPr>
        <w:pStyle w:val="TextBody"/>
        <w:bidi w:val="0"/>
        <w:spacing w:before="0" w:after="120"/>
        <w:jc w:val="center"/>
        <w:rPr/>
      </w:pPr>
      <w:r>
        <w:rPr/>
        <w:t> </w:t>
      </w:r>
    </w:p>
    <w:p>
      <w:pPr>
        <w:pStyle w:val="TextBody"/>
        <w:bidi w:val="0"/>
        <w:spacing w:before="0" w:after="120"/>
        <w:jc w:val="center"/>
        <w:rPr>
          <w:rFonts w:ascii="Arial;sans-serif" w:hAnsi="Arial;sans-serif"/>
          <w:b/>
          <w:sz w:val="21"/>
        </w:rPr>
      </w:pPr>
      <w:r>
        <w:rPr>
          <w:rFonts w:ascii="Arial;sans-serif" w:hAnsi="Arial;sans-serif"/>
          <w:b/>
          <w:sz w:val="21"/>
        </w:rPr>
        <w:t>Definitive Healthcare Acquires Populi</w:t>
      </w:r>
    </w:p>
    <w:p>
      <w:pPr>
        <w:pStyle w:val="TextBody"/>
        <w:bidi w:val="0"/>
        <w:spacing w:before="0" w:after="0"/>
        <w:jc w:val="center"/>
        <w:rPr>
          <w:rFonts w:ascii="Arial;sans-serif" w:hAnsi="Arial;sans-serif"/>
          <w:b w:val="false"/>
          <w:i/>
          <w:sz w:val="21"/>
        </w:rPr>
      </w:pPr>
      <w:r>
        <w:rPr>
          <w:rFonts w:ascii="Arial;sans-serif" w:hAnsi="Arial;sans-serif"/>
          <w:b w:val="false"/>
          <w:i/>
          <w:sz w:val="21"/>
        </w:rPr>
        <w:t>Acquisition broadens Definitive Healthcare’s suite of healthcare commercial intelligence solutions with new data, analytics, and visualization tools tailor-built for the provider market</w:t>
      </w:r>
    </w:p>
    <w:p>
      <w:pPr>
        <w:pStyle w:val="TextBody"/>
        <w:bidi w:val="0"/>
        <w:spacing w:before="0" w:after="0"/>
        <w:jc w:val="center"/>
        <w:rPr/>
      </w:pPr>
      <w:r>
        <w:rPr/>
        <w:t> </w:t>
      </w:r>
    </w:p>
    <w:p>
      <w:pPr>
        <w:pStyle w:val="TextBody"/>
        <w:bidi w:val="0"/>
        <w:spacing w:before="0" w:after="0"/>
        <w:jc w:val="left"/>
        <w:rPr>
          <w:rFonts w:ascii="Times New Roman" w:hAnsi="Times New Roman"/>
          <w:sz w:val="20"/>
        </w:rPr>
      </w:pPr>
      <w:r>
        <w:rPr>
          <w:rFonts w:ascii="Arial;sans-serif" w:hAnsi="Arial;sans-serif"/>
          <w:b/>
          <w:sz w:val="21"/>
        </w:rPr>
        <w:t xml:space="preserve">FRAMINGHAM, MA (August 14, 2023) – </w:t>
      </w:r>
      <w:r>
        <w:rPr>
          <w:rFonts w:ascii="Arial;sans-serif" w:hAnsi="Arial;sans-serif"/>
          <w:b w:val="false"/>
          <w:sz w:val="21"/>
        </w:rPr>
        <w:t>Definitive Healthcare</w:t>
      </w:r>
      <w:r>
        <w:rPr>
          <w:rFonts w:ascii="Times New Roman" w:hAnsi="Times New Roman"/>
          <w:sz w:val="20"/>
        </w:rPr>
        <w:t xml:space="preserve"> </w:t>
      </w:r>
      <w:r>
        <w:rPr>
          <w:rFonts w:ascii="Arial;sans-serif" w:hAnsi="Arial;sans-serif"/>
          <w:b w:val="false"/>
          <w:sz w:val="21"/>
        </w:rPr>
        <w:t>(NASDAQ: DH), an industry leader in healthcare commercial intelligence, today announced its acquisition of Populi, a provider-focused data and analytics company that works with healthcare organizations to optimize physician relationships, reduce network leakage, and expand market share. This acquisition furthers Definitive Healthcare’s commitment to leadership in the healthcare commercial intelligence market across the entire healthcare ecosystem, including life sciences, providers, and diversified industries.</w:t>
      </w:r>
    </w:p>
    <w:p>
      <w:pPr>
        <w:pStyle w:val="TextBody"/>
        <w:bidi w:val="0"/>
        <w:spacing w:before="0" w:after="0"/>
        <w:jc w:val="left"/>
        <w:rPr/>
      </w:pPr>
      <w:r>
        <w:rPr/>
        <w:t> </w:t>
      </w:r>
    </w:p>
    <w:p>
      <w:pPr>
        <w:pStyle w:val="TextBody"/>
        <w:bidi w:val="0"/>
        <w:spacing w:before="0" w:after="0"/>
        <w:jc w:val="left"/>
        <w:rPr/>
      </w:pPr>
      <w:r>
        <w:rPr/>
        <w:t>“</w:t>
      </w:r>
      <w:r>
        <w:rPr>
          <w:rFonts w:ascii="Arial;sans-serif" w:hAnsi="Arial;sans-serif"/>
          <w:b w:val="false"/>
          <w:sz w:val="21"/>
        </w:rPr>
        <w:t>Populi provides the dynamic, highly visual commercial intelligence that healthcare organizations need to grow,” said Robert Musslewhite, CEO of Definitive Healthcare. “Our acquisition strategy is to find companies that either provide a new set of proprietary data to enhance our overall offering or provide a new capability to leverage our existing data in new use cases. Populi checks both boxes, and we’re thrilled to have them join the Definitive Healthcare team.”</w:t>
      </w:r>
    </w:p>
    <w:p>
      <w:pPr>
        <w:pStyle w:val="TextBody"/>
        <w:bidi w:val="0"/>
        <w:spacing w:before="0" w:after="0"/>
        <w:jc w:val="left"/>
        <w:rPr/>
      </w:pPr>
      <w:r>
        <w:rPr/>
        <w:t> </w:t>
      </w:r>
    </w:p>
    <w:p>
      <w:pPr>
        <w:pStyle w:val="TextBody"/>
        <w:bidi w:val="0"/>
        <w:spacing w:before="0" w:after="0"/>
        <w:jc w:val="left"/>
        <w:rPr>
          <w:rFonts w:ascii="Arial;sans-serif" w:hAnsi="Arial;sans-serif"/>
          <w:b w:val="false"/>
          <w:sz w:val="21"/>
        </w:rPr>
      </w:pPr>
      <w:r>
        <w:rPr>
          <w:rFonts w:ascii="Arial;sans-serif" w:hAnsi="Arial;sans-serif"/>
          <w:b w:val="false"/>
          <w:sz w:val="21"/>
        </w:rPr>
        <w:t>Founded in 2020, Populi delivers healthcare commercial intelligence for the provider market, serving some of the country’s largest healthcare systems, including the University of Pennsylvania Health System, and Henry Ford Health. Populi’s product suites include:</w:t>
      </w:r>
    </w:p>
    <w:p>
      <w:pPr>
        <w:pStyle w:val="TextBody"/>
        <w:bidi w:val="0"/>
        <w:spacing w:before="120" w:after="0"/>
        <w:jc w:val="left"/>
        <w:rPr/>
      </w:pPr>
      <w:r>
        <w:rPr/>
        <w:t>•</w:t>
      </w:r>
    </w:p>
    <w:p>
      <w:pPr>
        <w:pStyle w:val="TextBody"/>
        <w:bidi w:val="0"/>
        <w:spacing w:before="120" w:after="0"/>
        <w:jc w:val="left"/>
        <w:rPr>
          <w:rFonts w:ascii="Arial;sans-serif" w:hAnsi="Arial;sans-serif"/>
          <w:b w:val="false"/>
          <w:sz w:val="21"/>
        </w:rPr>
      </w:pPr>
      <w:r>
        <w:rPr>
          <w:rFonts w:ascii="Arial;sans-serif" w:hAnsi="Arial;sans-serif"/>
          <w:b w:val="false"/>
          <w:sz w:val="21"/>
        </w:rPr>
        <w:t>Provider Intelligence: Helps organizations assess network integrity, understand patient outmigration, and target providers.</w:t>
      </w:r>
    </w:p>
    <w:p>
      <w:pPr>
        <w:pStyle w:val="TextBody"/>
        <w:bidi w:val="0"/>
        <w:spacing w:before="120" w:after="0"/>
        <w:jc w:val="left"/>
        <w:rPr/>
      </w:pPr>
      <w:r>
        <w:rPr/>
        <w:t>•</w:t>
      </w:r>
    </w:p>
    <w:p>
      <w:pPr>
        <w:pStyle w:val="TextBody"/>
        <w:bidi w:val="0"/>
        <w:spacing w:before="120" w:after="0"/>
        <w:jc w:val="left"/>
        <w:rPr>
          <w:rFonts w:ascii="Arial;sans-serif" w:hAnsi="Arial;sans-serif"/>
          <w:b w:val="false"/>
          <w:sz w:val="21"/>
        </w:rPr>
      </w:pPr>
      <w:r>
        <w:rPr>
          <w:rFonts w:ascii="Arial;sans-serif" w:hAnsi="Arial;sans-serif"/>
          <w:b w:val="false"/>
          <w:sz w:val="21"/>
        </w:rPr>
        <w:t>Market Intelligence: Enables organizations to analyze market size and share, understand patient utilization of services, and gain competitive insights.</w:t>
      </w:r>
    </w:p>
    <w:p>
      <w:pPr>
        <w:pStyle w:val="TextBody"/>
        <w:bidi w:val="0"/>
        <w:spacing w:before="120" w:after="0"/>
        <w:jc w:val="left"/>
        <w:rPr/>
      </w:pPr>
      <w:r>
        <w:rPr/>
        <w:t>•</w:t>
      </w:r>
    </w:p>
    <w:p>
      <w:pPr>
        <w:pStyle w:val="TextBody"/>
        <w:bidi w:val="0"/>
        <w:spacing w:before="120" w:after="283"/>
        <w:jc w:val="left"/>
        <w:rPr>
          <w:rFonts w:ascii="Arial;sans-serif" w:hAnsi="Arial;sans-serif"/>
          <w:b w:val="false"/>
          <w:sz w:val="21"/>
        </w:rPr>
      </w:pPr>
      <w:r>
        <w:rPr>
          <w:rFonts w:ascii="Arial;sans-serif" w:hAnsi="Arial;sans-serif"/>
          <w:b w:val="false"/>
          <w:sz w:val="21"/>
        </w:rPr>
        <w:t>Population Intelligence: Helps organizations segment and target consumer audiences, build campaigns, match and append patient records, and implement digital activation.</w:t>
      </w:r>
    </w:p>
    <w:p>
      <w:pPr>
        <w:pStyle w:val="TextBody"/>
        <w:bidi w:val="0"/>
        <w:spacing w:before="0" w:after="0"/>
        <w:jc w:val="left"/>
        <w:rPr/>
      </w:pPr>
      <w:r>
        <w:rPr/>
        <w:t> </w:t>
      </w:r>
    </w:p>
    <w:p>
      <w:pPr>
        <w:pStyle w:val="TextBody"/>
        <w:bidi w:val="0"/>
        <w:spacing w:before="0" w:after="0"/>
        <w:jc w:val="left"/>
        <w:rPr/>
      </w:pPr>
      <w:r>
        <w:rPr/>
        <w:t>“</w:t>
      </w:r>
      <w:r>
        <w:rPr>
          <w:rFonts w:ascii="Arial;sans-serif" w:hAnsi="Arial;sans-serif"/>
          <w:b w:val="false"/>
          <w:sz w:val="21"/>
        </w:rPr>
        <w:t>Over the last few years, we focused on building a dynamic, comprehensive solution proven to be incredibly valuable to our provider customers,” said Bill Moschella, CEO and co-founder of Populi. “As we looked towards the next phase of our growth, Definitive Healthcare was the perfect company for us to join forces with to bring our healthcare commercial intelligence to more organizations across the care continuum. With a common vision, a similar approach towards healthcare analytics, and a shared set of cultural values, we couldn’t be more excited to be a part of the Definitive Healthcare family.”</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Arial;sans-serif" w:hAnsi="Arial;sans-serif"/>
          <w:b w:val="false"/>
          <w:sz w:val="21"/>
        </w:rPr>
      </w:pPr>
      <w:r>
        <w:rPr>
          <w:rFonts w:ascii="Arial;sans-serif" w:hAnsi="Arial;sans-serif"/>
          <w:b w:val="false"/>
          <w:sz w:val="21"/>
        </w:rPr>
        <w:t>The acquisition of Populi strengthens Definitive Healthcare’s top-ranked Atlas Dataset with new data assets and additions to claims data, including medical and hospital records, along with consumer-level data and social determinants of health. With this new data from Populi, multiple departments across an organization can gain even deeper intelligence about their market. For example, a VP of marketing may quickly build a patient cohort analysis to identify all knee replacement patients who recently moved long distance to Massachusetts, while a director of business development may first examine how many patients are leaving their primary service area to go to competitors, then dig deeper to identify specific physicians and individual behaviors that are driving the macro trends.</w:t>
      </w:r>
    </w:p>
    <w:p>
      <w:pPr>
        <w:pStyle w:val="TextBody"/>
        <w:bidi w:val="0"/>
        <w:spacing w:before="0" w:after="0"/>
        <w:jc w:val="left"/>
        <w:rPr/>
      </w:pPr>
      <w:r>
        <w:rPr/>
        <w:t> </w:t>
      </w:r>
    </w:p>
    <w:p>
      <w:pPr>
        <w:pStyle w:val="TextBody"/>
        <w:bidi w:val="0"/>
        <w:spacing w:before="0" w:after="0"/>
        <w:jc w:val="left"/>
        <w:rPr/>
      </w:pPr>
      <w:r>
        <w:rPr/>
        <w:t>“</w:t>
      </w:r>
      <w:r>
        <w:rPr>
          <w:rFonts w:ascii="Arial;sans-serif" w:hAnsi="Arial;sans-serif"/>
          <w:b w:val="false"/>
          <w:sz w:val="21"/>
        </w:rPr>
        <w:t>Populi has been an important part of our growth strategy,” said Tanya Andreadis, Chief Marketing Officer at University of Pennsylvania Health System. “Populi’s commercial intelligence has helped us better understand and more accurately target prospective patients in support of a variety of patient acquisition programs. We’re excited to see the combined impact of Populi and Definitive Healthcare.”</w:t>
      </w:r>
    </w:p>
    <w:p>
      <w:pPr>
        <w:pStyle w:val="TextBody"/>
        <w:bidi w:val="0"/>
        <w:spacing w:before="0" w:after="0"/>
        <w:jc w:val="left"/>
        <w:rPr/>
      </w:pPr>
      <w:r>
        <w:rPr/>
        <w:t> </w:t>
      </w:r>
    </w:p>
    <w:p>
      <w:pPr>
        <w:pStyle w:val="TextBody"/>
        <w:bidi w:val="0"/>
        <w:spacing w:before="0" w:after="0"/>
        <w:jc w:val="left"/>
        <w:rPr>
          <w:rFonts w:ascii="Arial;sans-serif" w:hAnsi="Arial;sans-serif"/>
          <w:b w:val="false"/>
          <w:sz w:val="21"/>
        </w:rPr>
      </w:pPr>
      <w:r>
        <w:rPr>
          <w:rFonts w:ascii="Arial;sans-serif" w:hAnsi="Arial;sans-serif"/>
          <w:b w:val="false"/>
          <w:sz w:val="21"/>
        </w:rPr>
        <w:t>In addition to the provider-focused dataset and analytics, Populi has a self-service portal and purpose-built tech stack that includes API and connector technology. Populi can easily and quickly deliver analytics to clients’ internal systems such as Salesforce, Tableau, and AWS. Populi’s dynamic technology allows clients to easily customize visuals by geography, timeframe, service lines, procedure codes, providers, and patient cohort, so they can understand their market at every level.</w:t>
      </w:r>
    </w:p>
    <w:p>
      <w:pPr>
        <w:pStyle w:val="TextBody"/>
        <w:bidi w:val="0"/>
        <w:spacing w:before="0" w:after="0"/>
        <w:jc w:val="left"/>
        <w:rPr/>
      </w:pPr>
      <w:r>
        <w:rPr/>
        <w:t> </w:t>
      </w:r>
    </w:p>
    <w:p>
      <w:pPr>
        <w:pStyle w:val="TextBody"/>
        <w:bidi w:val="0"/>
        <w:spacing w:before="0" w:after="0"/>
        <w:jc w:val="left"/>
        <w:rPr>
          <w:rFonts w:ascii="Arial;sans-serif" w:hAnsi="Arial;sans-serif"/>
          <w:b w:val="false"/>
          <w:sz w:val="21"/>
        </w:rPr>
      </w:pPr>
      <w:r>
        <w:rPr>
          <w:rFonts w:ascii="Arial;sans-serif" w:hAnsi="Arial;sans-serif"/>
          <w:b w:val="false"/>
          <w:sz w:val="21"/>
        </w:rPr>
        <w:t>To learn more about Definitive Healthcare’s acquisition of Populi, visit: https://www.definitivehc.com/populi</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Arial;sans-serif" w:hAnsi="Arial;sans-serif"/>
          <w:b/>
          <w:sz w:val="21"/>
        </w:rPr>
      </w:pPr>
      <w:r>
        <w:rPr>
          <w:rFonts w:ascii="Arial;sans-serif" w:hAnsi="Arial;sans-serif"/>
          <w:b/>
          <w:sz w:val="21"/>
        </w:rPr>
        <w:t>About Definitive Healthcare</w:t>
      </w:r>
    </w:p>
    <w:p>
      <w:pPr>
        <w:pStyle w:val="TextBody"/>
        <w:bidi w:val="0"/>
        <w:spacing w:before="0" w:after="0"/>
        <w:jc w:val="left"/>
        <w:rPr/>
      </w:pPr>
      <w:r>
        <w:rPr/>
        <w:t> </w:t>
      </w:r>
    </w:p>
    <w:p>
      <w:pPr>
        <w:pStyle w:val="TextBody"/>
        <w:bidi w:val="0"/>
        <w:spacing w:before="0" w:after="0"/>
        <w:jc w:val="left"/>
        <w:rPr>
          <w:rFonts w:ascii="Arial;sans-serif" w:hAnsi="Arial;sans-serif"/>
          <w:b w:val="false"/>
          <w:sz w:val="21"/>
        </w:rPr>
      </w:pPr>
      <w:r>
        <w:rPr>
          <w:rFonts w:ascii="Arial;sans-serif" w:hAnsi="Arial;sans-serif"/>
          <w:b w:val="false"/>
          <w:sz w:val="21"/>
        </w:rPr>
        <w:t>At Definitive Healthcare, our passion is to transform data, analytics, and expertise into healthcare commercial intelligence. We help clients uncover the right markets, opportunities, and people, so they can shape tomorrow’s healthcare industry. Our SaaS platform creates new paths to commercial success in the healthcare market, so companies can identify where to go next. Learn more at definitivehc.com.</w:t>
      </w:r>
    </w:p>
    <w:p>
      <w:pPr>
        <w:pStyle w:val="TextBody"/>
        <w:bidi w:val="0"/>
        <w:spacing w:before="0" w:after="0"/>
        <w:jc w:val="left"/>
        <w:rPr/>
      </w:pPr>
      <w:r>
        <w:rPr/>
        <w:t> </w:t>
      </w:r>
    </w:p>
    <w:p>
      <w:pPr>
        <w:pStyle w:val="TextBody"/>
        <w:bidi w:val="0"/>
        <w:spacing w:before="0" w:after="0"/>
        <w:jc w:val="left"/>
        <w:rPr>
          <w:rFonts w:ascii="Arial;sans-serif" w:hAnsi="Arial;sans-serif"/>
          <w:b/>
          <w:sz w:val="21"/>
        </w:rPr>
      </w:pPr>
      <w:r>
        <w:rPr>
          <w:rFonts w:ascii="Arial;sans-serif" w:hAnsi="Arial;sans-serif"/>
          <w:b/>
          <w:sz w:val="21"/>
        </w:rPr>
        <w:t>Forward-Looking Statements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i/>
          <w:sz w:val="21"/>
        </w:rPr>
        <w:t>This press release includes forward-looking statements that reflect our current views with respect to future events.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“should,” “may,” “will,” “contemplates,” “anticipates,” “intends,” “plans,” “seeks,” “believes,” “estimates,” “expects” or similar words or variations thereof, or the negative thereof, references to future periods, or by the inclusion of forecasts or projections. Examples of forward-looking statements include, but are not limited to, statements we make regarding product features and the anticipated benefits of our acquisition of Populi.</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Arial;sans-serif" w:hAnsi="Arial;sans-serif"/>
          <w:b w:val="false"/>
          <w:i/>
          <w:sz w:val="21"/>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our inability to realize expected business or financial benefits from acquisitions and the risk that our acquisitions or investments could prove difficult to integrate, disrupt our business, dilute stockholder value and adversely affect our business, financial condition and results of operations.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Arial;sans-serif" w:hAnsi="Arial;sans-serif"/>
          <w:b w:val="false"/>
          <w:i/>
          <w:sz w:val="21"/>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Arial;sans-serif" w:hAnsi="Arial;sans-serif"/>
          <w:b w:val="false"/>
          <w:i/>
          <w:sz w:val="21"/>
        </w:rPr>
        <w:t>For additional discussion of factors that could impact our operational and financial results, refer to our Amendment No. 1 on Form 10-K/A to our Annual Report on Form 10-K for the fiscal year ended December 31, 2022, our Amendment No. 1 on Form 10-Q/A to our Quarterly Report on Form 10-Q for the quarter ended March 31, 2023, as well as our Current Reports on Form 8-K and other subsequent SEC filings, which are or will be available on the Investor Relations page of our website at ir.definitivehc.com and on the SEC website at www.sec.gov.</w:t>
      </w:r>
      <w:r>
        <w:rPr>
          <w:rFonts w:ascii="Times New Roman" w:hAnsi="Times New Roman"/>
          <w:sz w:val="20"/>
        </w:rPr>
        <w:t xml:space="preserve"> </w:t>
      </w:r>
    </w:p>
    <w:p>
      <w:pPr>
        <w:pStyle w:val="TextBody"/>
        <w:bidi w:val="0"/>
        <w:spacing w:before="0" w:after="0"/>
        <w:jc w:val="left"/>
        <w:rPr>
          <w:rFonts w:ascii="Arial;sans-serif" w:hAnsi="Arial;sans-serif"/>
          <w:b w:val="false"/>
          <w:i/>
          <w:sz w:val="21"/>
        </w:rPr>
      </w:pPr>
      <w:r>
        <w:rPr>
          <w:rFonts w:ascii="Arial;sans-serif" w:hAnsi="Arial;sans-serif"/>
          <w:b w:val="false"/>
          <w:i/>
          <w:sz w:val="21"/>
        </w:rPr>
        <w:t>All information in this press release speaks only as of the date on which it is made. We undertake no obligation to publicly update this information, whether as a result of new information, future developments or otherwise, except as may be required by law.</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Arial;sans-serif" w:hAnsi="Arial;sans-serif"/>
          <w:b/>
          <w:sz w:val="21"/>
        </w:rPr>
      </w:pPr>
      <w:r>
        <w:rPr>
          <w:rFonts w:ascii="Arial;sans-serif" w:hAnsi="Arial;sans-serif"/>
          <w:b/>
          <w:sz w:val="21"/>
        </w:rPr>
        <w:t>Media Contacts</w:t>
      </w:r>
    </w:p>
    <w:p>
      <w:pPr>
        <w:pStyle w:val="TextBody"/>
        <w:bidi w:val="0"/>
        <w:spacing w:before="0" w:after="0"/>
        <w:jc w:val="left"/>
        <w:rPr>
          <w:rFonts w:ascii="Arial;sans-serif" w:hAnsi="Arial;sans-serif"/>
          <w:b w:val="false"/>
          <w:sz w:val="21"/>
        </w:rPr>
      </w:pPr>
      <w:r>
        <w:rPr>
          <w:rFonts w:ascii="Arial;sans-serif" w:hAnsi="Arial;sans-serif"/>
          <w:b w:val="false"/>
          <w:sz w:val="21"/>
        </w:rPr>
        <w:t xml:space="preserve">Danielle Johns  </w:t>
        <w:br/>
        <w:t>djohns@definitivehc.com</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sz w:val="21"/>
        </w:rPr>
        <w:t>Highwire PR:</w:t>
      </w:r>
      <w:r>
        <w:rPr>
          <w:rFonts w:ascii="Times New Roman" w:hAnsi="Times New Roman"/>
          <w:sz w:val="20"/>
        </w:rPr>
        <w:t xml:space="preserve">  </w:t>
      </w:r>
      <w:r>
        <w:rPr>
          <w:rFonts w:ascii="Arial;sans-serif" w:hAnsi="Arial;sans-serif"/>
          <w:b w:val="false"/>
          <w:sz w:val="21"/>
        </w:rPr>
        <w:br/>
        <w:t>definitivehealthcare@highwirepr.com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sz w:val="21"/>
        </w:rPr>
        <w:t>Investor Relations Contact:</w:t>
      </w:r>
      <w:r>
        <w:rPr>
          <w:rFonts w:ascii="Times New Roman" w:hAnsi="Times New Roman"/>
          <w:sz w:val="20"/>
        </w:rPr>
        <w:t xml:space="preserve">  </w:t>
      </w:r>
      <w:r>
        <w:rPr>
          <w:rFonts w:ascii="Arial;sans-serif" w:hAnsi="Arial;sans-serif"/>
          <w:b w:val="false"/>
          <w:sz w:val="21"/>
        </w:rPr>
        <w:br/>
        <w:t xml:space="preserve">Brian Denyeau  </w:t>
        <w:br/>
        <w:t xml:space="preserve">ICR for Definitive Healthcare  </w:t>
        <w:br/>
        <w:t>brian.denyeau@icrinc.com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7709</Words>
  <Characters>43577</Characters>
  <CharactersWithSpaces>52173</CharactersWithSpaces>
  <Paragraphs>3289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