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111760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135255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8"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1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2025</w:t>
      </w:r>
    </w:p>
    <w:p>
      <w:pPr>
        <w:spacing w:after="0" w:line="12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29"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12" w:lineRule="exact"/>
        <w:rPr>
          <w:sz w:val="24"/>
          <w:szCs w:val="24"/>
          <w:color w:val="auto"/>
        </w:rPr>
      </w:pPr>
    </w:p>
    <w:tbl>
      <w:tblPr>
        <w:tblLayout w:type="fixed"/>
        <w:tblInd w:w="3620" w:type="dxa"/>
        <w:tblCellMar>
          <w:top w:w="0" w:type="dxa"/>
          <w:left w:w="0" w:type="dxa"/>
          <w:bottom w:w="0" w:type="dxa"/>
          <w:right w:w="0" w:type="dxa"/>
        </w:tblCellMar>
      </w:tblPr>
      <w:tr>
        <w:trPr>
          <w:trHeight w:val="184"/>
        </w:trPr>
        <w:tc>
          <w:tcPr>
            <w:tcW w:w="2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800" w:type="dxa"/>
            <w:vAlign w:val="bottom"/>
            <w:tcBorders>
              <w:bottom w:val="single" w:sz="8" w:color="auto"/>
            </w:tcBorders>
          </w:tcPr>
          <w:p>
            <w:pPr>
              <w:spacing w:after="0"/>
              <w:rPr>
                <w:sz w:val="16"/>
                <w:szCs w:val="16"/>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w:t>
            </w:r>
          </w:p>
        </w:tc>
      </w:tr>
      <w:tr>
        <w:trPr>
          <w:trHeight w:val="325"/>
        </w:trPr>
        <w:tc>
          <w:tcPr>
            <w:tcW w:w="3260" w:type="dxa"/>
            <w:vAlign w:val="bottom"/>
            <w:gridSpan w:val="3"/>
          </w:tcPr>
          <w:p>
            <w:pPr>
              <w:ind w:left="740"/>
              <w:spacing w:after="0"/>
              <w:rPr>
                <w:sz w:val="20"/>
                <w:szCs w:val="20"/>
                <w:color w:val="auto"/>
              </w:rPr>
            </w:pPr>
            <w:r>
              <w:rPr>
                <w:rFonts w:ascii="Times New Roman" w:cs="Times New Roman" w:eastAsia="Times New Roman" w:hAnsi="Times New Roman"/>
                <w:sz w:val="16"/>
                <w:szCs w:val="16"/>
                <w:b w:val="1"/>
                <w:bCs w:val="1"/>
                <w:color w:val="auto"/>
              </w:rPr>
              <w:t>Commission File Number 001-40815</w:t>
            </w:r>
          </w:p>
        </w:tc>
      </w:tr>
    </w:tbl>
    <w:p>
      <w:pPr>
        <w:spacing w:after="0" w:line="17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1"/>
          <w:szCs w:val="41"/>
          <w:b w:val="1"/>
          <w:bCs w:val="1"/>
          <w:color w:val="auto"/>
        </w:rPr>
        <w:t>Definitive Healthcare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-295910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7620" w:type="dxa"/>
            <w:vAlign w:val="bottom"/>
            <w:gridSpan w:val="7"/>
          </w:tcPr>
          <w:p>
            <w:pPr>
              <w:jc w:val="center"/>
              <w:ind w:left="3523"/>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3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4500" w:type="dxa"/>
            <w:vAlign w:val="bottom"/>
            <w:gridSpan w:val="3"/>
            <w:vMerge w:val="restart"/>
          </w:tcPr>
          <w:p>
            <w:pPr>
              <w:jc w:val="center"/>
              <w:ind w:left="1043"/>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2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20" w:type="dxa"/>
            <w:vAlign w:val="bottom"/>
            <w:vMerge w:val="restart"/>
          </w:tcPr>
          <w:p>
            <w:pPr>
              <w:jc w:val="right"/>
              <w:ind w:right="2344"/>
              <w:spacing w:after="0"/>
              <w:rPr>
                <w:sz w:val="20"/>
                <w:szCs w:val="20"/>
                <w:color w:val="auto"/>
              </w:rPr>
            </w:pPr>
            <w:r>
              <w:rPr>
                <w:rFonts w:ascii="Times New Roman" w:cs="Times New Roman" w:eastAsia="Times New Roman" w:hAnsi="Times New Roman"/>
                <w:sz w:val="16"/>
                <w:szCs w:val="16"/>
                <w:b w:val="1"/>
                <w:bCs w:val="1"/>
                <w:color w:val="auto"/>
              </w:rPr>
              <w:t>86-3988281</w:t>
            </w:r>
          </w:p>
        </w:tc>
        <w:tc>
          <w:tcPr>
            <w:tcW w:w="0" w:type="dxa"/>
            <w:vAlign w:val="bottom"/>
          </w:tcPr>
          <w:p>
            <w:pPr>
              <w:spacing w:after="0"/>
              <w:rPr>
                <w:sz w:val="1"/>
                <w:szCs w:val="1"/>
                <w:color w:val="auto"/>
              </w:rPr>
            </w:pPr>
          </w:p>
        </w:tc>
      </w:tr>
      <w:tr>
        <w:trPr>
          <w:trHeight w:val="293"/>
        </w:trPr>
        <w:tc>
          <w:tcPr>
            <w:tcW w:w="4500" w:type="dxa"/>
            <w:vAlign w:val="bottom"/>
            <w:gridSpan w:val="3"/>
            <w:vMerge w:val="continue"/>
          </w:tcPr>
          <w:p>
            <w:pPr>
              <w:spacing w:after="0"/>
              <w:rPr>
                <w:sz w:val="24"/>
                <w:szCs w:val="24"/>
                <w:color w:val="auto"/>
              </w:rPr>
            </w:pPr>
          </w:p>
        </w:tc>
        <w:tc>
          <w:tcPr>
            <w:tcW w:w="2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500" w:type="dxa"/>
            <w:vAlign w:val="bottom"/>
            <w:gridSpan w:val="3"/>
          </w:tcPr>
          <w:p>
            <w:pPr>
              <w:jc w:val="center"/>
              <w:ind w:left="1063"/>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20" w:type="dxa"/>
            <w:vAlign w:val="bottom"/>
          </w:tcPr>
          <w:p>
            <w:pPr>
              <w:jc w:val="center"/>
              <w:ind w:right="1904"/>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4500" w:type="dxa"/>
            <w:vAlign w:val="bottom"/>
            <w:gridSpan w:val="3"/>
          </w:tcPr>
          <w:p>
            <w:pPr>
              <w:jc w:val="center"/>
              <w:ind w:left="1063"/>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20" w:type="dxa"/>
            <w:vAlign w:val="bottom"/>
          </w:tcPr>
          <w:p>
            <w:pPr>
              <w:jc w:val="center"/>
              <w:ind w:right="1924"/>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305"/>
        </w:trPr>
        <w:tc>
          <w:tcPr>
            <w:tcW w:w="4500" w:type="dxa"/>
            <w:vAlign w:val="bottom"/>
            <w:gridSpan w:val="3"/>
          </w:tcPr>
          <w:p>
            <w:pPr>
              <w:jc w:val="center"/>
              <w:ind w:left="1043"/>
              <w:spacing w:after="0"/>
              <w:rPr>
                <w:sz w:val="20"/>
                <w:szCs w:val="20"/>
                <w:color w:val="auto"/>
              </w:rPr>
            </w:pPr>
            <w:r>
              <w:rPr>
                <w:rFonts w:ascii="Times New Roman" w:cs="Times New Roman" w:eastAsia="Times New Roman" w:hAnsi="Times New Roman"/>
                <w:sz w:val="16"/>
                <w:szCs w:val="16"/>
                <w:b w:val="1"/>
                <w:bCs w:val="1"/>
                <w:color w:val="auto"/>
              </w:rPr>
              <w:t>492 Old Connecticut Path, Suite 401</w:t>
            </w:r>
          </w:p>
        </w:tc>
        <w:tc>
          <w:tcPr>
            <w:tcW w:w="2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500" w:type="dxa"/>
            <w:vAlign w:val="bottom"/>
            <w:gridSpan w:val="3"/>
          </w:tcPr>
          <w:p>
            <w:pPr>
              <w:jc w:val="center"/>
              <w:ind w:left="1043"/>
              <w:spacing w:after="0"/>
              <w:rPr>
                <w:sz w:val="20"/>
                <w:szCs w:val="20"/>
                <w:color w:val="auto"/>
              </w:rPr>
            </w:pPr>
            <w:r>
              <w:rPr>
                <w:rFonts w:ascii="Times New Roman" w:cs="Times New Roman" w:eastAsia="Times New Roman" w:hAnsi="Times New Roman"/>
                <w:sz w:val="16"/>
                <w:szCs w:val="16"/>
                <w:b w:val="1"/>
                <w:bCs w:val="1"/>
                <w:color w:val="auto"/>
              </w:rPr>
              <w:t>Framingham, MA</w:t>
            </w:r>
          </w:p>
        </w:tc>
        <w:tc>
          <w:tcPr>
            <w:tcW w:w="2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20" w:type="dxa"/>
            <w:vAlign w:val="bottom"/>
          </w:tcPr>
          <w:p>
            <w:pPr>
              <w:jc w:val="right"/>
              <w:ind w:right="2524"/>
              <w:spacing w:after="0"/>
              <w:rPr>
                <w:sz w:val="20"/>
                <w:szCs w:val="20"/>
                <w:color w:val="auto"/>
              </w:rPr>
            </w:pPr>
            <w:r>
              <w:rPr>
                <w:rFonts w:ascii="Times New Roman" w:cs="Times New Roman" w:eastAsia="Times New Roman" w:hAnsi="Times New Roman"/>
                <w:sz w:val="16"/>
                <w:szCs w:val="16"/>
                <w:b w:val="1"/>
                <w:bCs w:val="1"/>
                <w:color w:val="auto"/>
              </w:rPr>
              <w:t>01701</w:t>
            </w:r>
          </w:p>
        </w:tc>
        <w:tc>
          <w:tcPr>
            <w:tcW w:w="0" w:type="dxa"/>
            <w:vAlign w:val="bottom"/>
          </w:tcPr>
          <w:p>
            <w:pPr>
              <w:spacing w:after="0"/>
              <w:rPr>
                <w:sz w:val="1"/>
                <w:szCs w:val="1"/>
                <w:color w:val="auto"/>
              </w:rPr>
            </w:pPr>
          </w:p>
        </w:tc>
      </w:tr>
      <w:tr>
        <w:trPr>
          <w:trHeight w:val="190"/>
        </w:trPr>
        <w:tc>
          <w:tcPr>
            <w:tcW w:w="4500" w:type="dxa"/>
            <w:vAlign w:val="bottom"/>
            <w:gridSpan w:val="3"/>
          </w:tcPr>
          <w:p>
            <w:pPr>
              <w:jc w:val="center"/>
              <w:ind w:left="104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20" w:type="dxa"/>
            <w:vAlign w:val="bottom"/>
          </w:tcPr>
          <w:p>
            <w:pPr>
              <w:jc w:val="center"/>
              <w:ind w:right="1924"/>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309"/>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(508) 720-4224</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7620" w:type="dxa"/>
            <w:vAlign w:val="bottom"/>
            <w:gridSpan w:val="7"/>
          </w:tcPr>
          <w:p>
            <w:pPr>
              <w:jc w:val="center"/>
              <w:ind w:left="352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500" w:type="dxa"/>
            <w:vAlign w:val="bottom"/>
            <w:gridSpan w:val="3"/>
            <w:vMerge w:val="restart"/>
          </w:tcPr>
          <w:p>
            <w:pPr>
              <w:ind w:left="5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2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4500" w:type="dxa"/>
            <w:vAlign w:val="bottom"/>
            <w:gridSpan w:val="3"/>
            <w:vMerge w:val="continue"/>
          </w:tcPr>
          <w:p>
            <w:pPr>
              <w:spacing w:after="0"/>
              <w:rPr>
                <w:sz w:val="24"/>
                <w:szCs w:val="24"/>
                <w:color w:val="auto"/>
              </w:rPr>
            </w:pPr>
          </w:p>
        </w:tc>
        <w:tc>
          <w:tcPr>
            <w:tcW w:w="2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365"/>
        </w:trPr>
        <w:tc>
          <w:tcPr>
            <w:tcW w:w="450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Class A Common Stock, $0.001 par value</w:t>
            </w:r>
          </w:p>
        </w:tc>
        <w:tc>
          <w:tcPr>
            <w:tcW w:w="3120" w:type="dxa"/>
            <w:vAlign w:val="bottom"/>
            <w:gridSpan w:val="4"/>
          </w:tcPr>
          <w:p>
            <w:pPr>
              <w:jc w:val="center"/>
              <w:ind w:right="920"/>
              <w:spacing w:after="0"/>
              <w:rPr>
                <w:sz w:val="20"/>
                <w:szCs w:val="20"/>
                <w:color w:val="auto"/>
              </w:rPr>
            </w:pPr>
            <w:r>
              <w:rPr>
                <w:rFonts w:ascii="Times New Roman" w:cs="Times New Roman" w:eastAsia="Times New Roman" w:hAnsi="Times New Roman"/>
                <w:sz w:val="16"/>
                <w:szCs w:val="16"/>
                <w:b w:val="1"/>
                <w:bCs w:val="1"/>
                <w:color w:val="auto"/>
                <w:w w:val="99"/>
              </w:rPr>
              <w:t>DH</w:t>
            </w:r>
          </w:p>
        </w:tc>
        <w:tc>
          <w:tcPr>
            <w:tcW w:w="362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bl>
    <w:p>
      <w:pPr>
        <w:spacing w:after="0" w:line="100" w:lineRule="exact"/>
        <w:rPr>
          <w:sz w:val="24"/>
          <w:szCs w:val="24"/>
          <w:color w:val="auto"/>
        </w:rPr>
      </w:pPr>
    </w:p>
    <w:p>
      <w:pPr>
        <w:ind w:firstLine="50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ind w:right="18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jc w:val="both"/>
        <w:ind w:right="200" w:firstLine="50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272"/>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3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240" w:type="dxa"/>
            <w:vAlign w:val="bottom"/>
          </w:tcPr>
          <w:p>
            <w:pPr>
              <w:ind w:left="2900"/>
              <w:spacing w:after="0"/>
              <w:rPr>
                <w:sz w:val="20"/>
                <w:szCs w:val="20"/>
                <w:color w:val="auto"/>
              </w:rPr>
            </w:pPr>
            <w:r>
              <w:rPr>
                <w:rFonts w:ascii="Times New Roman" w:cs="Times New Roman" w:eastAsia="Times New Roman" w:hAnsi="Times New Roman"/>
                <w:sz w:val="16"/>
                <w:szCs w:val="16"/>
                <w:color w:val="auto"/>
              </w:rPr>
              <w:t>Accelerated Filer</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3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240" w:type="dxa"/>
            <w:vAlign w:val="bottom"/>
          </w:tcPr>
          <w:p>
            <w:pPr>
              <w:ind w:left="29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18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240" w:type="dxa"/>
            <w:vAlign w:val="bottom"/>
          </w:tcPr>
          <w:p>
            <w:pPr>
              <w:ind w:left="2900"/>
              <w:spacing w:after="0"/>
              <w:rPr>
                <w:sz w:val="20"/>
                <w:szCs w:val="20"/>
                <w:color w:val="auto"/>
              </w:rPr>
            </w:pPr>
            <w:r>
              <w:rPr>
                <w:rFonts w:ascii="Times New Roman" w:cs="Times New Roman" w:eastAsia="Times New Roman" w:hAnsi="Times New Roman"/>
                <w:sz w:val="16"/>
                <w:szCs w:val="16"/>
                <w:color w:val="auto"/>
              </w:rPr>
              <w:t>Emerging growth company</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4" w:lineRule="exact"/>
        <w:rPr>
          <w:sz w:val="24"/>
          <w:szCs w:val="24"/>
          <w:color w:val="auto"/>
        </w:rPr>
      </w:pPr>
    </w:p>
    <w:p>
      <w:pPr>
        <w:jc w:val="both"/>
        <w:ind w:right="6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left="520" w:right="2100"/>
        <w:spacing w:after="0" w:line="27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by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August 4, 2025, the number of outstanding shares of the registrant’s Class A Common Stock was 104,086,210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634365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69"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18"/>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Glossary</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45"/>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320" w:type="dxa"/>
            <w:vAlign w:val="bottom"/>
            <w:tcBorders>
              <w:top w:val="single" w:sz="8" w:color="0000FF"/>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1820" w:type="dxa"/>
            <w:vAlign w:val="bottom"/>
            <w:tcBorders>
              <w:top w:val="single" w:sz="8" w:color="0000FF"/>
            </w:tcBorders>
            <w:gridSpan w:val="2"/>
          </w:tcPr>
          <w:p>
            <w:pPr>
              <w:spacing w:after="0"/>
              <w:rPr>
                <w:sz w:val="24"/>
                <w:szCs w:val="24"/>
                <w:color w:val="auto"/>
              </w:rPr>
            </w:pPr>
          </w:p>
        </w:tc>
        <w:tc>
          <w:tcPr>
            <w:tcW w:w="5140" w:type="dxa"/>
            <w:vAlign w:val="bottom"/>
            <w:gridSpan w:val="12"/>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44"/>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2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(Unaudited)</w:t>
            </w:r>
          </w:p>
        </w:tc>
        <w:tc>
          <w:tcPr>
            <w:tcW w:w="20" w:type="dxa"/>
            <w:vAlign w:val="bottom"/>
            <w:tcBorders>
              <w:bottom w:val="single" w:sz="8" w:color="0000EE"/>
            </w:tcBorders>
          </w:tcPr>
          <w:p>
            <w:pPr>
              <w:spacing w:after="0"/>
              <w:rPr>
                <w:sz w:val="24"/>
                <w:szCs w:val="24"/>
                <w:color w:val="auto"/>
              </w:rPr>
            </w:pPr>
          </w:p>
        </w:tc>
        <w:tc>
          <w:tcPr>
            <w:tcW w:w="4680" w:type="dxa"/>
            <w:vAlign w:val="bottom"/>
            <w:gridSpan w:val="8"/>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45"/>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3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Loss (Unaudited)</w:t>
            </w:r>
          </w:p>
        </w:tc>
        <w:tc>
          <w:tcPr>
            <w:tcW w:w="20" w:type="dxa"/>
            <w:vAlign w:val="bottom"/>
            <w:tcBorders>
              <w:bottom w:val="single" w:sz="8" w:color="0000EE"/>
            </w:tcBorders>
          </w:tcPr>
          <w:p>
            <w:pPr>
              <w:spacing w:after="0"/>
              <w:rPr>
                <w:sz w:val="24"/>
                <w:szCs w:val="24"/>
                <w:color w:val="auto"/>
              </w:rPr>
            </w:pPr>
          </w:p>
        </w:tc>
        <w:tc>
          <w:tcPr>
            <w:tcW w:w="3960" w:type="dxa"/>
            <w:vAlign w:val="bottom"/>
            <w:gridSpan w:val="3"/>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344"/>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5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Changes in Total Equity (Unaudited)</w:t>
            </w:r>
          </w:p>
        </w:tc>
        <w:tc>
          <w:tcPr>
            <w:tcW w:w="3740" w:type="dxa"/>
            <w:vAlign w:val="bottom"/>
            <w:gridSpan w:val="2"/>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344"/>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1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Notes to the Condensed Consolidated Financial Statements (Unaudited)</w:t>
            </w:r>
          </w:p>
        </w:tc>
        <w:tc>
          <w:tcPr>
            <w:tcW w:w="20" w:type="dxa"/>
            <w:vAlign w:val="bottom"/>
            <w:tcBorders>
              <w:bottom w:val="single" w:sz="8" w:color="0000EE"/>
            </w:tcBorders>
          </w:tcPr>
          <w:p>
            <w:pPr>
              <w:spacing w:after="0"/>
              <w:rPr>
                <w:sz w:val="24"/>
                <w:szCs w:val="24"/>
                <w:color w:val="auto"/>
              </w:rPr>
            </w:pPr>
          </w:p>
        </w:tc>
        <w:tc>
          <w:tcPr>
            <w:tcW w:w="4080" w:type="dxa"/>
            <w:vAlign w:val="bottom"/>
            <w:gridSpan w:val="5"/>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0" w:type="dxa"/>
            <w:vAlign w:val="bottom"/>
          </w:tcPr>
          <w:p>
            <w:pPr>
              <w:spacing w:after="0"/>
              <w:rPr>
                <w:sz w:val="1"/>
                <w:szCs w:val="1"/>
                <w:color w:val="auto"/>
              </w:rPr>
            </w:pPr>
          </w:p>
        </w:tc>
      </w:tr>
      <w:tr>
        <w:trPr>
          <w:trHeight w:val="344"/>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2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0" w:type="dxa"/>
            <w:vAlign w:val="bottom"/>
          </w:tcPr>
          <w:p>
            <w:pPr>
              <w:spacing w:after="0"/>
              <w:rPr>
                <w:sz w:val="1"/>
                <w:szCs w:val="1"/>
                <w:color w:val="auto"/>
              </w:rPr>
            </w:pPr>
          </w:p>
        </w:tc>
      </w:tr>
      <w:tr>
        <w:trPr>
          <w:trHeight w:val="345"/>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8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0" w:type="dxa"/>
            <w:vAlign w:val="bottom"/>
          </w:tcPr>
          <w:p>
            <w:pPr>
              <w:spacing w:after="0"/>
              <w:rPr>
                <w:sz w:val="1"/>
                <w:szCs w:val="1"/>
                <w:color w:val="auto"/>
              </w:rPr>
            </w:pPr>
          </w:p>
        </w:tc>
      </w:tr>
      <w:tr>
        <w:trPr>
          <w:trHeight w:val="345"/>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430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980" w:type="dxa"/>
            <w:vAlign w:val="bottom"/>
            <w:gridSpan w:val="11"/>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0" w:type="dxa"/>
            <w:vAlign w:val="bottom"/>
          </w:tcPr>
          <w:p>
            <w:pPr>
              <w:spacing w:after="0"/>
              <w:rPr>
                <w:sz w:val="1"/>
                <w:szCs w:val="1"/>
                <w:color w:val="auto"/>
              </w:rPr>
            </w:pPr>
          </w:p>
        </w:tc>
      </w:tr>
      <w:tr>
        <w:trPr>
          <w:trHeight w:val="20"/>
        </w:trPr>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40" w:type="dxa"/>
            <w:vAlign w:val="bottom"/>
            <w:gridSpan w:val="1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20" w:type="dxa"/>
            <w:vAlign w:val="bottom"/>
            <w:gridSpan w:val="2"/>
            <w:vMerge w:val="continue"/>
          </w:tcPr>
          <w:p>
            <w:pPr>
              <w:spacing w:after="0"/>
              <w:rPr>
                <w:sz w:val="24"/>
                <w:szCs w:val="24"/>
                <w:color w:val="auto"/>
              </w:rPr>
            </w:pPr>
          </w:p>
        </w:tc>
        <w:tc>
          <w:tcPr>
            <w:tcW w:w="92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0" w:type="dxa"/>
            <w:vAlign w:val="bottom"/>
          </w:tcPr>
          <w:p>
            <w:pPr>
              <w:spacing w:after="0"/>
              <w:rPr>
                <w:sz w:val="1"/>
                <w:szCs w:val="1"/>
                <w:color w:val="auto"/>
              </w:rPr>
            </w:pPr>
          </w:p>
        </w:tc>
      </w:tr>
      <w:tr>
        <w:trPr>
          <w:trHeight w:val="344"/>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560" w:type="dxa"/>
            <w:vAlign w:val="bottom"/>
            <w:tcBorders>
              <w:top w:val="single" w:sz="8" w:color="0000FF"/>
            </w:tcBorders>
            <w:gridSpan w:val="2"/>
          </w:tcPr>
          <w:p>
            <w:pPr>
              <w:spacing w:after="0"/>
              <w:rPr>
                <w:sz w:val="24"/>
                <w:szCs w:val="24"/>
                <w:color w:val="auto"/>
              </w:rPr>
            </w:pPr>
          </w:p>
        </w:tc>
        <w:tc>
          <w:tcPr>
            <w:tcW w:w="7380" w:type="dxa"/>
            <w:vAlign w:val="bottom"/>
            <w:gridSpan w:val="15"/>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0" w:type="dxa"/>
            <w:vAlign w:val="bottom"/>
          </w:tcPr>
          <w:p>
            <w:pPr>
              <w:spacing w:after="0"/>
              <w:rPr>
                <w:sz w:val="1"/>
                <w:szCs w:val="1"/>
                <w:color w:val="auto"/>
              </w:rPr>
            </w:pPr>
          </w:p>
        </w:tc>
      </w:tr>
      <w:tr>
        <w:trPr>
          <w:trHeight w:val="345"/>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40" w:type="dxa"/>
            <w:vAlign w:val="bottom"/>
            <w:gridSpan w:val="1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2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0" w:type="dxa"/>
            <w:vAlign w:val="bottom"/>
          </w:tcPr>
          <w:p>
            <w:pPr>
              <w:spacing w:after="0"/>
              <w:rPr>
                <w:sz w:val="1"/>
                <w:szCs w:val="1"/>
                <w:color w:val="auto"/>
              </w:rPr>
            </w:pPr>
          </w:p>
        </w:tc>
      </w:tr>
      <w:tr>
        <w:trPr>
          <w:trHeight w:val="345"/>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940" w:type="dxa"/>
            <w:vAlign w:val="bottom"/>
            <w:gridSpan w:val="10"/>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0" w:type="dxa"/>
            <w:vAlign w:val="bottom"/>
          </w:tcPr>
          <w:p>
            <w:pPr>
              <w:spacing w:after="0"/>
              <w:rPr>
                <w:sz w:val="1"/>
                <w:szCs w:val="1"/>
                <w:color w:val="auto"/>
              </w:rPr>
            </w:pPr>
          </w:p>
        </w:tc>
      </w:tr>
      <w:tr>
        <w:trPr>
          <w:trHeight w:val="344"/>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960" w:type="dxa"/>
            <w:vAlign w:val="bottom"/>
            <w:gridSpan w:val="14"/>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0" w:type="dxa"/>
            <w:vAlign w:val="bottom"/>
          </w:tcPr>
          <w:p>
            <w:pPr>
              <w:spacing w:after="0"/>
              <w:rPr>
                <w:sz w:val="1"/>
                <w:szCs w:val="1"/>
                <w:color w:val="auto"/>
              </w:rPr>
            </w:pPr>
          </w:p>
        </w:tc>
      </w:tr>
      <w:tr>
        <w:trPr>
          <w:trHeight w:val="345"/>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2"/>
          </w:tcPr>
          <w:p>
            <w:pPr>
              <w:spacing w:after="0"/>
              <w:rPr>
                <w:sz w:val="24"/>
                <w:szCs w:val="24"/>
                <w:color w:val="auto"/>
              </w:rPr>
            </w:pPr>
          </w:p>
        </w:tc>
        <w:tc>
          <w:tcPr>
            <w:tcW w:w="7520" w:type="dxa"/>
            <w:vAlign w:val="bottom"/>
            <w:gridSpan w:val="16"/>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0" w:type="dxa"/>
            <w:vAlign w:val="bottom"/>
          </w:tcPr>
          <w:p>
            <w:pPr>
              <w:spacing w:after="0"/>
              <w:rPr>
                <w:sz w:val="1"/>
                <w:szCs w:val="1"/>
                <w:color w:val="auto"/>
              </w:rPr>
            </w:pPr>
          </w:p>
        </w:tc>
      </w:tr>
      <w:tr>
        <w:trPr>
          <w:trHeight w:val="345"/>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2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Exhibits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0" w:type="dxa"/>
            <w:vAlign w:val="bottom"/>
          </w:tcPr>
          <w:p>
            <w:pPr>
              <w:spacing w:after="0"/>
              <w:rPr>
                <w:sz w:val="1"/>
                <w:szCs w:val="1"/>
                <w:color w:val="auto"/>
              </w:rPr>
            </w:pPr>
          </w:p>
        </w:tc>
      </w:tr>
      <w:tr>
        <w:trPr>
          <w:trHeight w:val="344"/>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6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0" w:type="dxa"/>
            <w:vAlign w:val="bottom"/>
          </w:tcPr>
          <w:p>
            <w:pPr>
              <w:spacing w:after="0"/>
              <w:rPr>
                <w:sz w:val="1"/>
                <w:szCs w:val="1"/>
                <w:color w:val="auto"/>
              </w:rPr>
            </w:pPr>
          </w:p>
        </w:tc>
      </w:tr>
      <w:tr>
        <w:trPr>
          <w:trHeight w:val="790"/>
        </w:trPr>
        <w:tc>
          <w:tcPr>
            <w:tcW w:w="76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5180" w:type="dxa"/>
            <w:vAlign w:val="bottom"/>
            <w:gridSpan w:val="15"/>
          </w:tcPr>
          <w:p>
            <w:pPr>
              <w:ind w:left="456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GLOSSARY</w:t>
      </w:r>
    </w:p>
    <w:p>
      <w:pPr>
        <w:spacing w:after="0" w:line="337"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7"/>
          <w:szCs w:val="17"/>
          <w:color w:val="auto"/>
        </w:rPr>
        <w:t>As used in this Quarterly Report on Form 10-Q (“Quarterly Report”), the terms identified below have the meanings specified below unless otherwise noted or the context indicates otherwise. References in this Quarterly Report to “Definitive Healthcare Corp.” refer to Definitive Healthcare Corp. and not to any of its subsidiaries unless the context indicates otherwise. References in this Quarterly Report to “Definitive Healthcare,” “Definitive,” the “Company,” “we,” “us,” and “our” refer to Definitive Healthcare Corp. and its consolidated subsidiaries unless the context indicates otherwise.</w:t>
      </w:r>
    </w:p>
    <w:p>
      <w:pPr>
        <w:spacing w:after="0" w:line="56"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Advent</w:t>
      </w:r>
      <w:r>
        <w:rPr>
          <w:rFonts w:ascii="Times New Roman" w:cs="Times New Roman" w:eastAsia="Times New Roman" w:hAnsi="Times New Roman"/>
          <w:sz w:val="18"/>
          <w:szCs w:val="18"/>
          <w:color w:val="auto"/>
        </w:rPr>
        <w:t>” refers to funds affiliated with Advent International, a global private equity firm.</w:t>
      </w:r>
    </w:p>
    <w:p>
      <w:pPr>
        <w:spacing w:after="0" w:line="27" w:lineRule="exact"/>
        <w:rPr>
          <w:rFonts w:ascii="Times New Roman" w:cs="Times New Roman" w:eastAsia="Times New Roman" w:hAnsi="Times New Roman"/>
          <w:sz w:val="18"/>
          <w:szCs w:val="18"/>
          <w:color w:val="auto"/>
        </w:rPr>
      </w:pPr>
    </w:p>
    <w:p>
      <w:pPr>
        <w:ind w:left="1020" w:right="20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AIDH Buyer</w:t>
      </w:r>
      <w:r>
        <w:rPr>
          <w:rFonts w:ascii="Times New Roman" w:cs="Times New Roman" w:eastAsia="Times New Roman" w:hAnsi="Times New Roman"/>
          <w:sz w:val="18"/>
          <w:szCs w:val="18"/>
          <w:color w:val="auto"/>
        </w:rPr>
        <w:t>” refers to AIDH Buyer, LLC, which is a wholly owned subsidiary of Definitive OpCo (as the term is defined below) and the direct parent company of DH Holdings.</w:t>
      </w:r>
    </w:p>
    <w:p>
      <w:pPr>
        <w:ind w:left="102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AIDH Management Holdings, LLC</w:t>
      </w:r>
      <w:r>
        <w:rPr>
          <w:rFonts w:ascii="Times New Roman" w:cs="Times New Roman" w:eastAsia="Times New Roman" w:hAnsi="Times New Roman"/>
          <w:sz w:val="18"/>
          <w:szCs w:val="18"/>
          <w:color w:val="auto"/>
        </w:rPr>
        <w:t>” is a special purpose investment vehicle through which certain persons, primarily employees and certain legacy investors, indirectly hold interests in Definitive OpCo.</w:t>
      </w:r>
    </w:p>
    <w:p>
      <w:pPr>
        <w:ind w:left="1020" w:right="8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Amended LLC Agreement</w:t>
      </w:r>
      <w:r>
        <w:rPr>
          <w:rFonts w:ascii="Times New Roman" w:cs="Times New Roman" w:eastAsia="Times New Roman" w:hAnsi="Times New Roman"/>
          <w:sz w:val="18"/>
          <w:szCs w:val="18"/>
          <w:color w:val="auto"/>
        </w:rPr>
        <w:t>” refers to the second amended and restated limited liability company agreement entered into by Definitive Opco pursuant to which members have the right to exchange all or a portion of their LLC units (as the term is defined below) for newly issued shares of Class A Common Stock in Definitive Healthcare Corp.</w:t>
      </w:r>
    </w:p>
    <w:p>
      <w:pPr>
        <w:spacing w:after="0" w:line="1" w:lineRule="exact"/>
        <w:rPr>
          <w:rFonts w:ascii="Times New Roman" w:cs="Times New Roman" w:eastAsia="Times New Roman" w:hAnsi="Times New Roman"/>
          <w:sz w:val="18"/>
          <w:szCs w:val="18"/>
          <w:color w:val="auto"/>
        </w:rPr>
      </w:pPr>
    </w:p>
    <w:p>
      <w:pPr>
        <w:ind w:left="1020" w:right="14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ARR</w:t>
      </w:r>
      <w:r>
        <w:rPr>
          <w:rFonts w:ascii="Times New Roman" w:cs="Times New Roman" w:eastAsia="Times New Roman" w:hAnsi="Times New Roman"/>
          <w:sz w:val="18"/>
          <w:szCs w:val="18"/>
          <w:color w:val="auto"/>
        </w:rPr>
        <w:t>” refers to annual recurring revenue as of period end, which is calculated by aggregating annual subscription revenue from committed contractual amounts for all existing customers during that period. ARR may also include, in rare circumstances, existing customers with expired contracts who have provided oral or written commitments to renew.</w:t>
      </w:r>
    </w:p>
    <w:p>
      <w:pPr>
        <w:spacing w:after="0" w:line="1" w:lineRule="exact"/>
        <w:rPr>
          <w:rFonts w:ascii="Times New Roman" w:cs="Times New Roman" w:eastAsia="Times New Roman" w:hAnsi="Times New Roman"/>
          <w:sz w:val="18"/>
          <w:szCs w:val="18"/>
          <w:color w:val="auto"/>
        </w:rPr>
      </w:pPr>
    </w:p>
    <w:p>
      <w:pPr>
        <w:ind w:left="1020" w:right="14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Blocker 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Blocker Companies</w:t>
      </w:r>
      <w:r>
        <w:rPr>
          <w:rFonts w:ascii="Times New Roman" w:cs="Times New Roman" w:eastAsia="Times New Roman" w:hAnsi="Times New Roman"/>
          <w:sz w:val="18"/>
          <w:szCs w:val="18"/>
          <w:color w:val="auto"/>
        </w:rPr>
        <w:t>” refers to certain entities treated as corporations for U.S. federal income tax purposes that held LLC units in Definitive OpCo which, through the Reorganization Transactions (as the term is defined below), were merged into Definitive Healthcare Corp. and are now holders of Class A Common Stock.</w:t>
      </w:r>
    </w:p>
    <w:p>
      <w:pPr>
        <w:spacing w:after="0" w:line="1" w:lineRule="exact"/>
        <w:rPr>
          <w:rFonts w:ascii="Times New Roman" w:cs="Times New Roman" w:eastAsia="Times New Roman" w:hAnsi="Times New Roman"/>
          <w:sz w:val="18"/>
          <w:szCs w:val="18"/>
          <w:color w:val="auto"/>
        </w:rPr>
      </w:pPr>
    </w:p>
    <w:p>
      <w:pPr>
        <w:ind w:left="1020" w:right="6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Pre-IPO LLC Members</w:t>
      </w:r>
      <w:r>
        <w:rPr>
          <w:rFonts w:ascii="Times New Roman" w:cs="Times New Roman" w:eastAsia="Times New Roman" w:hAnsi="Times New Roman"/>
          <w:sz w:val="18"/>
          <w:szCs w:val="18"/>
          <w:color w:val="auto"/>
        </w:rPr>
        <w:t>” refers to certain Pre-IPO LLC Members who retained their equity ownership in Definitive OpCo in the form of LLC Units immediately following the consummation of the Reorganization Transactions.</w:t>
      </w:r>
    </w:p>
    <w:p>
      <w:pPr>
        <w:ind w:left="1020" w:right="42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Definitive OpCo</w:t>
      </w:r>
      <w:r>
        <w:rPr>
          <w:rFonts w:ascii="Times New Roman" w:cs="Times New Roman" w:eastAsia="Times New Roman" w:hAnsi="Times New Roman"/>
          <w:sz w:val="18"/>
          <w:szCs w:val="18"/>
          <w:color w:val="auto"/>
        </w:rPr>
        <w:t>” refers to AIDH TopCo, LLC, a Delaware limited liability company, and a subsidiary of Definitive Healthcare Corp., following the Reorganization Transactions.</w:t>
      </w:r>
    </w:p>
    <w:p>
      <w:pPr>
        <w:ind w:left="1020" w:right="10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DH Holdings</w:t>
      </w:r>
      <w:r>
        <w:rPr>
          <w:rFonts w:ascii="Times New Roman" w:cs="Times New Roman" w:eastAsia="Times New Roman" w:hAnsi="Times New Roman"/>
          <w:sz w:val="18"/>
          <w:szCs w:val="18"/>
          <w:color w:val="auto"/>
        </w:rPr>
        <w:t>” refers to Definitive Healthcare Holdings, LLC, a Delaware limited liability company and wholly owned subsidiary of AIDH Buyer.</w:t>
      </w: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refers to the initial public offering of Class A Common Stock of Definitive Healthcare Corp.</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LLC Units</w:t>
      </w:r>
      <w:r>
        <w:rPr>
          <w:rFonts w:ascii="Times New Roman" w:cs="Times New Roman" w:eastAsia="Times New Roman" w:hAnsi="Times New Roman"/>
          <w:sz w:val="18"/>
          <w:szCs w:val="18"/>
          <w:color w:val="auto"/>
        </w:rPr>
        <w:t>” refers to limited liability company interests in Definitive OpCo.</w:t>
      </w:r>
    </w:p>
    <w:p>
      <w:pPr>
        <w:spacing w:after="0" w:line="9" w:lineRule="exact"/>
        <w:rPr>
          <w:rFonts w:ascii="Times New Roman" w:cs="Times New Roman" w:eastAsia="Times New Roman" w:hAnsi="Times New Roman"/>
          <w:sz w:val="18"/>
          <w:szCs w:val="18"/>
          <w:color w:val="auto"/>
        </w:rPr>
      </w:pPr>
    </w:p>
    <w:p>
      <w:pPr>
        <w:ind w:left="1020" w:right="2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NDR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Net Dollar Retention Rate</w:t>
      </w:r>
      <w:r>
        <w:rPr>
          <w:rFonts w:ascii="Times New Roman" w:cs="Times New Roman" w:eastAsia="Times New Roman" w:hAnsi="Times New Roman"/>
          <w:sz w:val="18"/>
          <w:szCs w:val="18"/>
          <w:color w:val="auto"/>
        </w:rPr>
        <w:t>” refers to net dollar retention rate, which we calculate as the percentage of ARR retained from existing customers across a defined period, after accounting for upsell, down-sell, pricing changes, and churn. We calculate net dollar retention as beginning ARR for a period, plus (i) expansion ARR (including, but not limited to, upsell and pricing increases), less (ii) churn (including, but not limited to, non-renewals and contractions), divided by (iii) beginning ARR for the same period.</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Populi</w:t>
      </w:r>
      <w:r>
        <w:rPr>
          <w:rFonts w:ascii="Times New Roman" w:cs="Times New Roman" w:eastAsia="Times New Roman" w:hAnsi="Times New Roman"/>
          <w:sz w:val="18"/>
          <w:szCs w:val="18"/>
          <w:color w:val="auto"/>
        </w:rPr>
        <w:t>” refers to Populi, Inc., a Delaware corporation.</w:t>
      </w:r>
    </w:p>
    <w:p>
      <w:pPr>
        <w:spacing w:after="0" w:line="9" w:lineRule="exact"/>
        <w:rPr>
          <w:rFonts w:ascii="Times New Roman" w:cs="Times New Roman" w:eastAsia="Times New Roman" w:hAnsi="Times New Roman"/>
          <w:sz w:val="18"/>
          <w:szCs w:val="18"/>
          <w:color w:val="auto"/>
        </w:rPr>
      </w:pPr>
    </w:p>
    <w:p>
      <w:pPr>
        <w:ind w:left="1020" w:right="24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Pre-IPO LLC Members</w:t>
      </w:r>
      <w:r>
        <w:rPr>
          <w:rFonts w:ascii="Times New Roman" w:cs="Times New Roman" w:eastAsia="Times New Roman" w:hAnsi="Times New Roman"/>
          <w:sz w:val="18"/>
          <w:szCs w:val="18"/>
          <w:color w:val="auto"/>
        </w:rPr>
        <w:t>” refers to certain affiliates of Spectrum Equity (as the term is defined below), Jason Krantz, DH Holdings, AIDH Management Holdings, LLC, certain affiliates of Advent, and certain other minority equity holders of Definitive OpCo prior to the Reorganization Transactions.</w:t>
      </w:r>
    </w:p>
    <w:p>
      <w:pPr>
        <w:spacing w:after="0" w:line="1" w:lineRule="exact"/>
        <w:rPr>
          <w:rFonts w:ascii="Times New Roman" w:cs="Times New Roman" w:eastAsia="Times New Roman" w:hAnsi="Times New Roman"/>
          <w:sz w:val="18"/>
          <w:szCs w:val="18"/>
          <w:color w:val="auto"/>
        </w:rPr>
      </w:pPr>
    </w:p>
    <w:p>
      <w:pPr>
        <w:ind w:left="1020" w:right="20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Reorganization Parties</w:t>
      </w:r>
      <w:r>
        <w:rPr>
          <w:rFonts w:ascii="Times New Roman" w:cs="Times New Roman" w:eastAsia="Times New Roman" w:hAnsi="Times New Roman"/>
          <w:sz w:val="18"/>
          <w:szCs w:val="18"/>
          <w:color w:val="auto"/>
        </w:rPr>
        <w:t>” refers to the shareholders of the Blocker Companies prior to the merger of the Blocker Companies into Definitive Healthcare Corp.</w:t>
      </w:r>
    </w:p>
    <w:p>
      <w:pPr>
        <w:ind w:left="1020" w:right="94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Reorganization Transactions</w:t>
      </w:r>
      <w:r>
        <w:rPr>
          <w:rFonts w:ascii="Times New Roman" w:cs="Times New Roman" w:eastAsia="Times New Roman" w:hAnsi="Times New Roman"/>
          <w:sz w:val="18"/>
          <w:szCs w:val="18"/>
          <w:color w:val="auto"/>
        </w:rPr>
        <w:t xml:space="preserve">” refers to transactions completed in connection with the Company’s IPO as defined within Note 1. </w:t>
      </w:r>
      <w:r>
        <w:rPr>
          <w:rFonts w:ascii="Times New Roman" w:cs="Times New Roman" w:eastAsia="Times New Roman" w:hAnsi="Times New Roman"/>
          <w:sz w:val="18"/>
          <w:szCs w:val="18"/>
          <w:i w:val="1"/>
          <w:iCs w:val="1"/>
          <w:color w:val="auto"/>
        </w:rPr>
        <w:t xml:space="preserve">Organization and Basis of Presentation </w:t>
      </w:r>
      <w:r>
        <w:rPr>
          <w:rFonts w:ascii="Times New Roman" w:cs="Times New Roman" w:eastAsia="Times New Roman" w:hAnsi="Times New Roman"/>
          <w:sz w:val="18"/>
          <w:szCs w:val="18"/>
          <w:color w:val="auto"/>
        </w:rPr>
        <w:t>included in Part I, Item 1 of this Quarterly Report.</w:t>
      </w: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Spectrum Equity</w:t>
      </w:r>
      <w:r>
        <w:rPr>
          <w:rFonts w:ascii="Times New Roman" w:cs="Times New Roman" w:eastAsia="Times New Roman" w:hAnsi="Times New Roman"/>
          <w:sz w:val="18"/>
          <w:szCs w:val="18"/>
          <w:color w:val="auto"/>
        </w:rPr>
        <w:t>” refers to investment funds associated with Spectrum Equity Management, L.P., a private equity firm.</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Sponsors</w:t>
      </w:r>
      <w:r>
        <w:rPr>
          <w:rFonts w:ascii="Times New Roman" w:cs="Times New Roman" w:eastAsia="Times New Roman" w:hAnsi="Times New Roman"/>
          <w:sz w:val="18"/>
          <w:szCs w:val="18"/>
          <w:color w:val="auto"/>
        </w:rPr>
        <w:t>” refers collectively to Advent and Spectrum Equity.</w:t>
      </w:r>
    </w:p>
    <w:p>
      <w:pPr>
        <w:spacing w:after="0" w:line="9" w:lineRule="exact"/>
        <w:rPr>
          <w:rFonts w:ascii="Times New Roman" w:cs="Times New Roman" w:eastAsia="Times New Roman" w:hAnsi="Times New Roman"/>
          <w:sz w:val="18"/>
          <w:szCs w:val="18"/>
          <w:color w:val="auto"/>
        </w:rPr>
      </w:pPr>
    </w:p>
    <w:p>
      <w:pPr>
        <w:ind w:left="1020" w:right="42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Receivable Agreement</w:t>
      </w:r>
      <w:r>
        <w:rPr>
          <w:rFonts w:ascii="Times New Roman" w:cs="Times New Roman" w:eastAsia="Times New Roman" w:hAnsi="Times New Roman"/>
          <w:sz w:val="18"/>
          <w:szCs w:val="18"/>
          <w:color w:val="auto"/>
        </w:rPr>
        <w:t>” refers to the Tax Receivable Agreement, dated September 14, 2021, between Definitive Healthcare Corp., Definitive OpCo, and the TRA Parties (as the term is defined below).</w:t>
      </w:r>
    </w:p>
    <w:p>
      <w:pPr>
        <w:ind w:left="1020" w:right="500" w:hanging="503"/>
        <w:spacing w:after="0" w:line="26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 Parties</w:t>
      </w:r>
      <w:r>
        <w:rPr>
          <w:rFonts w:ascii="Times New Roman" w:cs="Times New Roman" w:eastAsia="Times New Roman" w:hAnsi="Times New Roman"/>
          <w:sz w:val="18"/>
          <w:szCs w:val="18"/>
          <w:color w:val="auto"/>
        </w:rPr>
        <w:t>” refers to the Continuing Pre-IPO LLC Members, the Reorganization Parties, and any future party to the Tax Receivable Agreement.</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This Quarterly Report contains forward-looking statements. Forward-looking statements can be identified by words such as “anticipates,” “intends,” “plans,” “seeks,” “believes,” “estimates,” “expects” and similar references to future periods, or by the inclusion of forecasts or projections. Examples of forward-looking statements include, but are not limited to, statements we make regarding the outlook for our future business and financial performance, such as those contained in “Management’s Discussion and Analysis of Financial Condition and Results of Operations.”</w:t>
      </w:r>
    </w:p>
    <w:p>
      <w:pPr>
        <w:spacing w:after="0" w:line="7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but are not limited to, regional, national, or global political, economic, business, competitive, market, and regulatory conditions.</w:t>
      </w:r>
    </w:p>
    <w:p>
      <w:pPr>
        <w:spacing w:after="0" w:line="7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For the reasons described above, we caution you against relying on any forward-looking statements, which should also be read in conjunction with Part I, Item 1A, “Risk Factors,” in our Annual Report on Form 10-K for the year ended December 31, 2024 (the “2024 Form 10-K”) filed with the Securities and Exchange Commission (“SEC”) on February 27, 2025, and Part II, Item 1A in this Quarterly Report and the other cautionary statements that are included elsewhere in this Quarterly Report and in our public filings, including under “Management’s Discussion and Analysis of Financial Condition and Results of Operations.” Any forward-looking statement made by us speaks only as of the date on which we make it. We undertake no obligation to publicly update or revise any forward-looking statement, whether as a result of new information, future developments, or otherwise, except as may be required by law.</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(in thousands, except number of shares and par value)</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80,984</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105,378</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184,786</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37,507</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53,232</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2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13,040</w:t>
            </w: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contract costs</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13,181</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13,736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370,172</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10,512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3,791</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7,521</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2,300</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Deferred contract costs</w:t>
            </w:r>
          </w:p>
        </w:tc>
        <w:tc>
          <w:tcPr>
            <w:tcW w:w="22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13,268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14,389</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271,237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297,933</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216,752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393,283</w:t>
            </w:r>
          </w:p>
        </w:tc>
        <w:tc>
          <w:tcPr>
            <w:tcW w:w="100" w:type="dxa"/>
            <w:vAlign w:val="bottom"/>
          </w:tcPr>
          <w:p>
            <w:pPr>
              <w:spacing w:after="0"/>
              <w:rPr>
                <w:sz w:val="18"/>
                <w:szCs w:val="18"/>
                <w:color w:val="auto"/>
              </w:rPr>
            </w:pPr>
          </w:p>
        </w:tc>
      </w:tr>
      <w:tr>
        <w:trPr>
          <w:trHeight w:val="249"/>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770,145</w:t>
            </w:r>
          </w:p>
        </w:tc>
        <w:tc>
          <w:tcPr>
            <w:tcW w:w="16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1,089,389</w:t>
            </w:r>
          </w:p>
        </w:tc>
      </w:tr>
      <w:tr>
        <w:trPr>
          <w:trHeight w:val="197"/>
        </w:trPr>
        <w:tc>
          <w:tcPr>
            <w:tcW w:w="77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7,898</w:t>
            </w:r>
          </w:p>
        </w:tc>
        <w:tc>
          <w:tcPr>
            <w:tcW w:w="16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10,763</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31,271</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40,896</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93,344</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Term loan</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13,750</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100" w:type="dxa"/>
            <w:vAlign w:val="bottom"/>
          </w:tcPr>
          <w:p>
            <w:pPr>
              <w:spacing w:after="0"/>
              <w:rPr>
                <w:sz w:val="18"/>
                <w:szCs w:val="18"/>
                <w:color w:val="auto"/>
              </w:rPr>
            </w:pPr>
          </w:p>
        </w:tc>
      </w:tr>
      <w:tr>
        <w:trPr>
          <w:trHeight w:val="210"/>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151,252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161,161</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Long term liabilities: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574</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Term loan</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229,368</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7,586</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receivable agreements liability</w:t>
            </w:r>
          </w:p>
        </w:tc>
        <w:tc>
          <w:tcPr>
            <w:tcW w:w="22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22,605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49,511</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14,288</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25,088</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9,449</w:t>
            </w:r>
          </w:p>
        </w:tc>
        <w:tc>
          <w:tcPr>
            <w:tcW w:w="100" w:type="dxa"/>
            <w:vAlign w:val="bottom"/>
          </w:tcPr>
          <w:p>
            <w:pPr>
              <w:spacing w:after="0"/>
              <w:rPr>
                <w:sz w:val="18"/>
                <w:szCs w:val="18"/>
                <w:color w:val="auto"/>
              </w:rPr>
            </w:pPr>
          </w:p>
        </w:tc>
      </w:tr>
      <w:tr>
        <w:trPr>
          <w:trHeight w:val="210"/>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358,912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482,195</w:t>
            </w:r>
          </w:p>
        </w:tc>
      </w:tr>
      <w:tr>
        <w:trPr>
          <w:trHeight w:val="425"/>
        </w:trPr>
        <w:tc>
          <w:tcPr>
            <w:tcW w:w="77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Equity:</w:t>
            </w:r>
          </w:p>
        </w:tc>
        <w:tc>
          <w:tcPr>
            <w:tcW w:w="2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198"/>
        </w:trPr>
        <w:tc>
          <w:tcPr>
            <w:tcW w:w="77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Class A Common Stock, par value $0.001, 600,000,000 shares authorized, 104,746,981 and</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113,953,554 shares issued and outstanding at June 30, 2025 and December 31, 2024, respectively</w:t>
            </w:r>
          </w:p>
        </w:tc>
        <w:tc>
          <w:tcPr>
            <w:tcW w:w="22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114</w:t>
            </w:r>
          </w:p>
        </w:tc>
      </w:tr>
      <w:tr>
        <w:trPr>
          <w:trHeight w:val="198"/>
        </w:trPr>
        <w:tc>
          <w:tcPr>
            <w:tcW w:w="77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Class B Common Stock, par value $0.00001, 65,000,000 shares authorized, 38,395,357 shares issued</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outstanding at June 30, 2025, and 39,439,198 and 39,375,806 shares issued and outstanding,</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respectively, at December 31, 2024</w:t>
            </w:r>
          </w:p>
        </w:tc>
        <w:tc>
          <w:tcPr>
            <w:tcW w:w="22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1,060,200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1,085,445</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deficit</w:t>
            </w:r>
          </w:p>
        </w:tc>
        <w:tc>
          <w:tcPr>
            <w:tcW w:w="2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(610)</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(755,353)</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(640,574)</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162,819</w:t>
            </w:r>
          </w:p>
        </w:tc>
        <w:tc>
          <w:tcPr>
            <w:tcW w:w="100" w:type="dxa"/>
            <w:vAlign w:val="bottom"/>
          </w:tcPr>
          <w:p>
            <w:pPr>
              <w:spacing w:after="0"/>
              <w:rPr>
                <w:sz w:val="18"/>
                <w:szCs w:val="18"/>
                <w:color w:val="auto"/>
              </w:rPr>
            </w:pPr>
          </w:p>
        </w:tc>
      </w:tr>
      <w:tr>
        <w:trPr>
          <w:trHeight w:val="210"/>
        </w:trPr>
        <w:tc>
          <w:tcPr>
            <w:tcW w:w="77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411,233</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607,194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770,145</w:t>
            </w:r>
          </w:p>
        </w:tc>
        <w:tc>
          <w:tcPr>
            <w:tcW w:w="16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1,089,389</w:t>
            </w:r>
          </w:p>
        </w:tc>
      </w:tr>
      <w:tr>
        <w:trPr>
          <w:trHeight w:val="20"/>
        </w:trPr>
        <w:tc>
          <w:tcPr>
            <w:tcW w:w="7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-5185410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-5185410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-4070985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-4053840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-4070985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-4053840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-1833880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 w:name="page6"/>
    <w:bookmarkEnd w:id="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(in thousands, except share amounts and per share data)</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4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0" w:type="dxa"/>
            <w:vAlign w:val="bottom"/>
          </w:tcPr>
          <w:p>
            <w:pPr>
              <w:spacing w:after="0"/>
              <w:rPr>
                <w:sz w:val="15"/>
                <w:szCs w:val="15"/>
                <w:color w:val="auto"/>
              </w:rPr>
            </w:pPr>
          </w:p>
        </w:tc>
        <w:tc>
          <w:tcPr>
            <w:tcW w:w="260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536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60,750</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63,737</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119,941</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127,217</w:t>
            </w:r>
          </w:p>
        </w:tc>
        <w:tc>
          <w:tcPr>
            <w:tcW w:w="10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Cost of revenue exclusive of amortization</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8,800</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9,904</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18,941</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19,640</w:t>
            </w:r>
          </w:p>
        </w:tc>
        <w:tc>
          <w:tcPr>
            <w:tcW w:w="100" w:type="dxa"/>
            <w:vAlign w:val="bottom"/>
            <w:shd w:val="clear" w:color="auto" w:fill="CFF0FC"/>
          </w:tcPr>
          <w:p>
            <w:pPr>
              <w:spacing w:after="0"/>
              <w:rPr>
                <w:sz w:val="18"/>
                <w:szCs w:val="18"/>
                <w:color w:val="auto"/>
              </w:rPr>
            </w:pP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5,337</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10,627</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6,741</w:t>
            </w:r>
          </w:p>
        </w:tc>
        <w:tc>
          <w:tcPr>
            <w:tcW w:w="100" w:type="dxa"/>
            <w:vAlign w:val="bottom"/>
          </w:tcPr>
          <w:p>
            <w:pPr>
              <w:spacing w:after="0"/>
              <w:rPr>
                <w:sz w:val="18"/>
                <w:szCs w:val="18"/>
                <w:color w:val="auto"/>
              </w:rPr>
            </w:pPr>
          </w:p>
        </w:tc>
      </w:tr>
      <w:tr>
        <w:trPr>
          <w:trHeight w:val="210"/>
        </w:trPr>
        <w:tc>
          <w:tcPr>
            <w:tcW w:w="53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46,613</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50,454</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90,373</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100,836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20,469</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21,545</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41,122</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43,305</w:t>
            </w:r>
          </w:p>
        </w:tc>
        <w:tc>
          <w:tcPr>
            <w:tcW w:w="100" w:type="dxa"/>
            <w:vAlign w:val="bottom"/>
            <w:shd w:val="clear" w:color="auto" w:fill="CFF0FC"/>
          </w:tcPr>
          <w:p>
            <w:pPr>
              <w:spacing w:after="0"/>
              <w:rPr>
                <w:sz w:val="18"/>
                <w:szCs w:val="18"/>
                <w:color w:val="auto"/>
              </w:rPr>
            </w:pP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Product development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20,254</w:t>
            </w:r>
          </w:p>
        </w:tc>
        <w:tc>
          <w:tcPr>
            <w:tcW w:w="100" w:type="dxa"/>
            <w:vAlign w:val="bottom"/>
          </w:tcPr>
          <w:p>
            <w:pPr>
              <w:spacing w:after="0"/>
              <w:rPr>
                <w:sz w:val="18"/>
                <w:szCs w:val="18"/>
                <w:color w:val="auto"/>
              </w:rPr>
            </w:pPr>
          </w:p>
        </w:tc>
      </w:tr>
      <w:tr>
        <w:trPr>
          <w:trHeight w:val="216"/>
        </w:trPr>
        <w:tc>
          <w:tcPr>
            <w:tcW w:w="5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12,673</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12,527</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24,942</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29,410</w:t>
            </w:r>
          </w:p>
        </w:tc>
        <w:tc>
          <w:tcPr>
            <w:tcW w:w="100" w:type="dxa"/>
            <w:vAlign w:val="bottom"/>
            <w:shd w:val="clear" w:color="auto" w:fill="CFF0FC"/>
          </w:tcPr>
          <w:p>
            <w:pPr>
              <w:spacing w:after="0"/>
              <w:rPr>
                <w:sz w:val="18"/>
                <w:szCs w:val="18"/>
                <w:color w:val="auto"/>
              </w:rPr>
            </w:pP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18,731</w:t>
            </w:r>
          </w:p>
        </w:tc>
        <w:tc>
          <w:tcPr>
            <w:tcW w:w="100" w:type="dxa"/>
            <w:vAlign w:val="bottom"/>
          </w:tcPr>
          <w:p>
            <w:pPr>
              <w:spacing w:after="0"/>
              <w:rPr>
                <w:sz w:val="18"/>
                <w:szCs w:val="18"/>
                <w:color w:val="auto"/>
              </w:rPr>
            </w:pPr>
          </w:p>
        </w:tc>
      </w:tr>
      <w:tr>
        <w:trPr>
          <w:trHeight w:val="216"/>
        </w:trPr>
        <w:tc>
          <w:tcPr>
            <w:tcW w:w="5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Transaction, integration, and restructuring expenses</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11,385</w:t>
            </w:r>
          </w:p>
        </w:tc>
        <w:tc>
          <w:tcPr>
            <w:tcW w:w="100" w:type="dxa"/>
            <w:vAlign w:val="bottom"/>
            <w:shd w:val="clear" w:color="auto" w:fill="CFF0FC"/>
          </w:tcPr>
          <w:p>
            <w:pPr>
              <w:spacing w:after="0"/>
              <w:rPr>
                <w:sz w:val="18"/>
                <w:szCs w:val="18"/>
                <w:color w:val="auto"/>
              </w:rPr>
            </w:pP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Goodwill impairment</w:t>
            </w:r>
          </w:p>
        </w:tc>
        <w:tc>
          <w:tcPr>
            <w:tcW w:w="22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363,641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176,531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363,641</w:t>
            </w:r>
          </w:p>
        </w:tc>
        <w:tc>
          <w:tcPr>
            <w:tcW w:w="100" w:type="dxa"/>
            <w:vAlign w:val="bottom"/>
          </w:tcPr>
          <w:p>
            <w:pPr>
              <w:spacing w:after="0"/>
              <w:rPr>
                <w:sz w:val="18"/>
                <w:szCs w:val="18"/>
                <w:color w:val="auto"/>
              </w:rPr>
            </w:pPr>
          </w:p>
        </w:tc>
      </w:tr>
      <w:tr>
        <w:trPr>
          <w:trHeight w:val="210"/>
        </w:trPr>
        <w:tc>
          <w:tcPr>
            <w:tcW w:w="53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50,783</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420,095</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279,329</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486,726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(4,170)</w:t>
            </w:r>
          </w:p>
        </w:tc>
        <w:tc>
          <w:tcPr>
            <w:tcW w:w="2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(369,641)</w:t>
            </w:r>
          </w:p>
        </w:tc>
        <w:tc>
          <w:tcPr>
            <w:tcW w:w="2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(188,956)</w:t>
            </w:r>
          </w:p>
        </w:tc>
        <w:tc>
          <w:tcPr>
            <w:tcW w:w="2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(385,890)</w:t>
            </w: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7,644</w:t>
            </w:r>
          </w:p>
        </w:tc>
        <w:tc>
          <w:tcPr>
            <w:tcW w:w="100" w:type="dxa"/>
            <w:vAlign w:val="bottom"/>
          </w:tcPr>
          <w:p>
            <w:pPr>
              <w:spacing w:after="0"/>
              <w:rPr>
                <w:sz w:val="18"/>
                <w:szCs w:val="18"/>
                <w:color w:val="auto"/>
              </w:rPr>
            </w:pPr>
          </w:p>
        </w:tc>
      </w:tr>
      <w:tr>
        <w:trPr>
          <w:trHeight w:val="216"/>
        </w:trPr>
        <w:tc>
          <w:tcPr>
            <w:tcW w:w="5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(2,990)</w:t>
            </w: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(3,763)</w:t>
            </w: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(5,423)</w:t>
            </w:r>
          </w:p>
        </w:tc>
        <w:tc>
          <w:tcPr>
            <w:tcW w:w="2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(7,579)</w:t>
            </w: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 gain on remeasurement of tax receivable agreement liability</w:t>
            </w:r>
          </w:p>
        </w:tc>
        <w:tc>
          <w:tcPr>
            <w:tcW w:w="2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(2,901)</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41,701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43,968</w:t>
            </w:r>
          </w:p>
        </w:tc>
        <w:tc>
          <w:tcPr>
            <w:tcW w:w="100" w:type="dxa"/>
            <w:vAlign w:val="bottom"/>
          </w:tcPr>
          <w:p>
            <w:pPr>
              <w:spacing w:after="0"/>
              <w:rPr>
                <w:sz w:val="18"/>
                <w:szCs w:val="18"/>
                <w:color w:val="auto"/>
              </w:rPr>
            </w:pPr>
          </w:p>
        </w:tc>
      </w:tr>
      <w:tr>
        <w:trPr>
          <w:trHeight w:val="216"/>
        </w:trPr>
        <w:tc>
          <w:tcPr>
            <w:tcW w:w="5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Loss on partial extinguishment of debt</w:t>
            </w: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(507)</w:t>
            </w:r>
          </w:p>
        </w:tc>
        <w:tc>
          <w:tcPr>
            <w:tcW w:w="2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(497)</w:t>
            </w:r>
          </w:p>
        </w:tc>
        <w:tc>
          <w:tcPr>
            <w:tcW w:w="2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(1,466)</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18"/>
                <w:szCs w:val="18"/>
                <w:color w:val="auto"/>
              </w:rPr>
            </w:pPr>
          </w:p>
        </w:tc>
      </w:tr>
      <w:tr>
        <w:trPr>
          <w:trHeight w:val="20"/>
        </w:trPr>
        <w:tc>
          <w:tcPr>
            <w:tcW w:w="5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(4,639)</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41,554</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14,168</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44,305</w:t>
            </w:r>
          </w:p>
        </w:tc>
        <w:tc>
          <w:tcPr>
            <w:tcW w:w="100" w:type="dxa"/>
            <w:vAlign w:val="bottom"/>
            <w:shd w:val="clear" w:color="auto" w:fill="CFF0FC"/>
          </w:tcPr>
          <w:p>
            <w:pPr>
              <w:spacing w:after="0"/>
              <w:rPr>
                <w:sz w:val="18"/>
                <w:szCs w:val="18"/>
                <w:color w:val="auto"/>
              </w:rPr>
            </w:pPr>
          </w:p>
        </w:tc>
      </w:tr>
      <w:tr>
        <w:trPr>
          <w:trHeight w:val="20"/>
        </w:trPr>
        <w:tc>
          <w:tcPr>
            <w:tcW w:w="53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2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(8,809)</w:t>
            </w:r>
          </w:p>
        </w:tc>
        <w:tc>
          <w:tcPr>
            <w:tcW w:w="2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(328,087)</w:t>
            </w:r>
          </w:p>
        </w:tc>
        <w:tc>
          <w:tcPr>
            <w:tcW w:w="2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(174,788)</w:t>
            </w:r>
          </w:p>
        </w:tc>
        <w:tc>
          <w:tcPr>
            <w:tcW w:w="2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(341,585)</w:t>
            </w:r>
          </w:p>
        </w:tc>
      </w:tr>
      <w:tr>
        <w:trPr>
          <w:trHeight w:val="216"/>
        </w:trPr>
        <w:tc>
          <w:tcPr>
            <w:tcW w:w="5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(456)</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21,900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22,680</w:t>
            </w:r>
          </w:p>
        </w:tc>
        <w:tc>
          <w:tcPr>
            <w:tcW w:w="100" w:type="dxa"/>
            <w:vAlign w:val="bottom"/>
            <w:shd w:val="clear" w:color="auto" w:fill="CFF0FC"/>
          </w:tcPr>
          <w:p>
            <w:pPr>
              <w:spacing w:after="0"/>
              <w:rPr>
                <w:sz w:val="18"/>
                <w:szCs w:val="18"/>
                <w:color w:val="auto"/>
              </w:rPr>
            </w:pPr>
          </w:p>
        </w:tc>
      </w:tr>
      <w:tr>
        <w:trPr>
          <w:trHeight w:val="20"/>
        </w:trPr>
        <w:tc>
          <w:tcPr>
            <w:tcW w:w="53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(9,265)</w:t>
            </w:r>
          </w:p>
        </w:tc>
        <w:tc>
          <w:tcPr>
            <w:tcW w:w="2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(306,187)</w:t>
            </w:r>
          </w:p>
        </w:tc>
        <w:tc>
          <w:tcPr>
            <w:tcW w:w="2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(164,358)</w:t>
            </w:r>
          </w:p>
        </w:tc>
        <w:tc>
          <w:tcPr>
            <w:tcW w:w="2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(318,905)</w:t>
            </w:r>
          </w:p>
        </w:tc>
      </w:tr>
      <w:tr>
        <w:trPr>
          <w:trHeight w:val="20"/>
        </w:trPr>
        <w:tc>
          <w:tcPr>
            <w:tcW w:w="5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(1,714)</w:t>
            </w: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(92,552)</w:t>
            </w: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(49,579)</w:t>
            </w:r>
          </w:p>
        </w:tc>
        <w:tc>
          <w:tcPr>
            <w:tcW w:w="2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(95,752)</w:t>
            </w:r>
          </w:p>
        </w:tc>
      </w:tr>
      <w:tr>
        <w:trPr>
          <w:trHeight w:val="20"/>
        </w:trPr>
        <w:tc>
          <w:tcPr>
            <w:tcW w:w="53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loss attributable to Definitive Healthcare Corp.</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(7,551)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(213,635)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(114,779)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(223,153)</w:t>
            </w:r>
          </w:p>
        </w:tc>
      </w:tr>
      <w:tr>
        <w:trPr>
          <w:trHeight w:val="20"/>
        </w:trPr>
        <w:tc>
          <w:tcPr>
            <w:tcW w:w="5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3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of Class A Common Stock:</w:t>
            </w: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 and diluted</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(1.90)</w:t>
            </w:r>
          </w:p>
        </w:tc>
      </w:tr>
      <w:tr>
        <w:trPr>
          <w:trHeight w:val="20"/>
        </w:trPr>
        <w:tc>
          <w:tcPr>
            <w:tcW w:w="5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3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 average Class A Common Stock outstanding:</w:t>
            </w: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 and diluted</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106,815,740</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117,750,392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109,782,640</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117,591,956</w:t>
            </w:r>
          </w:p>
        </w:tc>
        <w:tc>
          <w:tcPr>
            <w:tcW w:w="100" w:type="dxa"/>
            <w:vAlign w:val="bottom"/>
          </w:tcPr>
          <w:p>
            <w:pPr>
              <w:spacing w:after="0"/>
              <w:rPr>
                <w:sz w:val="18"/>
                <w:szCs w:val="18"/>
                <w:color w:val="auto"/>
              </w:rPr>
            </w:pPr>
          </w:p>
        </w:tc>
      </w:tr>
      <w:tr>
        <w:trPr>
          <w:trHeight w:val="20"/>
        </w:trPr>
        <w:tc>
          <w:tcPr>
            <w:tcW w:w="5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-3573780</wp:posOffset>
            </wp:positionV>
            <wp:extent cx="768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-3573780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-3573780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-3573780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-2459355</wp:posOffset>
            </wp:positionV>
            <wp:extent cx="768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-2459355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-2459355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-2459355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-1344930</wp:posOffset>
            </wp:positionV>
            <wp:extent cx="76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-1344930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-1344930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-1344930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-1062355</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-1062355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-1062355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-1062355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-770890</wp:posOffset>
            </wp:positionV>
            <wp:extent cx="768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-770890</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-770890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-770890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08" w:right="45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00" w:type="dxa"/>
            <w:vAlign w:val="bottom"/>
          </w:tcPr>
          <w:p>
            <w:pPr>
              <w:spacing w:after="0"/>
              <w:rPr>
                <w:sz w:val="15"/>
                <w:szCs w:val="15"/>
                <w:color w:val="auto"/>
              </w:rPr>
            </w:pPr>
          </w:p>
        </w:tc>
        <w:tc>
          <w:tcPr>
            <w:tcW w:w="2900" w:type="dxa"/>
            <w:vAlign w:val="bottom"/>
            <w:gridSpan w:val="7"/>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5"/>
                <w:szCs w:val="15"/>
                <w:color w:val="auto"/>
              </w:rPr>
            </w:pPr>
          </w:p>
        </w:tc>
        <w:tc>
          <w:tcPr>
            <w:tcW w:w="256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550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55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720" w:type="dxa"/>
            <w:vAlign w:val="bottom"/>
            <w:shd w:val="clear" w:color="auto" w:fill="CFF0FC"/>
          </w:tcPr>
          <w:p>
            <w:pPr>
              <w:jc w:val="right"/>
              <w:ind w:right="59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w w:val="98"/>
              </w:rPr>
              <w:t>(9,265)</w:t>
            </w: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(306,187)</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(164,358)</w:t>
            </w:r>
          </w:p>
        </w:tc>
        <w:tc>
          <w:tcPr>
            <w:tcW w:w="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(318,905)</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0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72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5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Unrealized loss on available-for-sale securities</w:t>
            </w:r>
          </w:p>
        </w:tc>
        <w:tc>
          <w:tcPr>
            <w:tcW w:w="72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(175)</w:t>
            </w:r>
          </w:p>
        </w:tc>
      </w:tr>
      <w:tr>
        <w:trPr>
          <w:trHeight w:val="216"/>
        </w:trPr>
        <w:tc>
          <w:tcPr>
            <w:tcW w:w="550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Unrealized loss on interest rate hedging instruments</w:t>
            </w:r>
          </w:p>
        </w:tc>
        <w:tc>
          <w:tcPr>
            <w:tcW w:w="72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(809)</w:t>
            </w: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(1,653)</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(1,049)</w:t>
            </w:r>
          </w:p>
        </w:tc>
      </w:tr>
      <w:tr>
        <w:trPr>
          <w:trHeight w:val="20"/>
        </w:trPr>
        <w:tc>
          <w:tcPr>
            <w:tcW w:w="5500" w:type="dxa"/>
            <w:vAlign w:val="bottom"/>
            <w:tcBorders>
              <w:right w:val="single" w:sz="8" w:color="CFF0FC"/>
            </w:tcBorders>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Comprehensive loss</w:t>
            </w:r>
          </w:p>
        </w:tc>
        <w:tc>
          <w:tcPr>
            <w:tcW w:w="72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8"/>
              </w:rPr>
              <w:t>(9,364)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(306,986)</w:t>
            </w: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(165,337)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(320,289)</w:t>
            </w:r>
          </w:p>
        </w:tc>
      </w:tr>
      <w:tr>
        <w:trPr>
          <w:trHeight w:val="216"/>
        </w:trPr>
        <w:tc>
          <w:tcPr>
            <w:tcW w:w="550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 Comprehensive loss attributable to noncontrolling interests</w:t>
            </w:r>
          </w:p>
        </w:tc>
        <w:tc>
          <w:tcPr>
            <w:tcW w:w="72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w w:val="98"/>
              </w:rPr>
              <w:t>(1,740)</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(92,750)</w:t>
            </w: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(49,831)</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(96,084)</w:t>
            </w:r>
          </w:p>
        </w:tc>
      </w:tr>
      <w:tr>
        <w:trPr>
          <w:trHeight w:val="20"/>
        </w:trPr>
        <w:tc>
          <w:tcPr>
            <w:tcW w:w="5500" w:type="dxa"/>
            <w:vAlign w:val="bottom"/>
            <w:tcBorders>
              <w:right w:val="single" w:sz="8" w:color="CFF0FC"/>
            </w:tcBorders>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Comprehensive loss attributable to Definitive Healthcare Corp.</w:t>
            </w:r>
          </w:p>
        </w:tc>
        <w:tc>
          <w:tcPr>
            <w:tcW w:w="720" w:type="dxa"/>
            <w:vAlign w:val="bottom"/>
          </w:tcPr>
          <w:p>
            <w:pPr>
              <w:jc w:val="right"/>
              <w:ind w:right="59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8"/>
              </w:rPr>
              <w:t>(7,624)</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(214,236)</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(115,506)</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(224,205)</w:t>
            </w:r>
          </w:p>
        </w:tc>
      </w:tr>
      <w:tr>
        <w:trPr>
          <w:trHeight w:val="20"/>
        </w:trPr>
        <w:tc>
          <w:tcPr>
            <w:tcW w:w="55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-453390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-453390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-453390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-170815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-170815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-170815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6"/>
          <w:szCs w:val="16"/>
          <w:b w:val="1"/>
          <w:bCs w:val="1"/>
          <w:color w:val="auto"/>
        </w:rPr>
        <w:t>DEFINITIVE HEALTHCARE CORP.</w:t>
      </w:r>
    </w:p>
    <w:p>
      <w:pPr>
        <w:spacing w:after="0" w:line="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CHANGES IN TOTAL EQUITY</w:t>
      </w:r>
    </w:p>
    <w:p>
      <w:pPr>
        <w:spacing w:after="0" w:line="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i w:val="1"/>
          <w:iCs w:val="1"/>
          <w:color w:val="auto"/>
        </w:rPr>
        <w:t>(in thousands, except share amounts)</w:t>
      </w:r>
    </w:p>
    <w:p>
      <w:pPr>
        <w:spacing w:after="0" w:line="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16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12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40" w:type="dxa"/>
            <w:vAlign w:val="bottom"/>
          </w:tcPr>
          <w:p>
            <w:pPr>
              <w:spacing w:after="0"/>
              <w:rPr>
                <w:sz w:val="12"/>
                <w:szCs w:val="12"/>
                <w:color w:val="auto"/>
              </w:rPr>
            </w:pPr>
          </w:p>
        </w:tc>
        <w:tc>
          <w:tcPr>
            <w:tcW w:w="9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0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40" w:type="dxa"/>
            <w:vAlign w:val="bottom"/>
          </w:tcPr>
          <w:p>
            <w:pPr>
              <w:spacing w:after="0"/>
              <w:rPr>
                <w:sz w:val="12"/>
                <w:szCs w:val="12"/>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Pr>
          <w:p>
            <w:pPr>
              <w:spacing w:after="0"/>
              <w:rPr>
                <w:sz w:val="12"/>
                <w:szCs w:val="12"/>
                <w:color w:val="auto"/>
              </w:rPr>
            </w:pPr>
          </w:p>
        </w:tc>
        <w:tc>
          <w:tcPr>
            <w:tcW w:w="8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80" w:type="dxa"/>
            <w:vAlign w:val="bottom"/>
            <w:gridSpan w:val="3"/>
            <w:vMerge w:val="continue"/>
          </w:tcPr>
          <w:p>
            <w:pPr>
              <w:spacing w:after="0"/>
              <w:rPr>
                <w:sz w:val="12"/>
                <w:szCs w:val="12"/>
                <w:color w:val="auto"/>
              </w:rPr>
            </w:pPr>
          </w:p>
        </w:tc>
        <w:tc>
          <w:tcPr>
            <w:tcW w:w="9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w:t>
            </w:r>
          </w:p>
        </w:tc>
        <w:tc>
          <w:tcPr>
            <w:tcW w:w="9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2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16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ve</w:t>
            </w:r>
          </w:p>
        </w:tc>
        <w:tc>
          <w:tcPr>
            <w:tcW w:w="100" w:type="dxa"/>
            <w:vAlign w:val="bottom"/>
          </w:tcPr>
          <w:p>
            <w:pPr>
              <w:spacing w:after="0"/>
              <w:rPr>
                <w:sz w:val="12"/>
                <w:szCs w:val="12"/>
                <w:color w:val="auto"/>
              </w:rPr>
            </w:pPr>
          </w:p>
        </w:tc>
        <w:tc>
          <w:tcPr>
            <w:tcW w:w="82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ng</w:t>
            </w: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260" w:type="dxa"/>
            <w:vAlign w:val="bottom"/>
          </w:tcPr>
          <w:p>
            <w:pPr>
              <w:spacing w:after="0"/>
              <w:rPr>
                <w:sz w:val="15"/>
                <w:szCs w:val="15"/>
                <w:color w:val="auto"/>
              </w:rPr>
            </w:pPr>
          </w:p>
        </w:tc>
        <w:tc>
          <w:tcPr>
            <w:tcW w:w="114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92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78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26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Balance at January 1, 2025</w:t>
            </w:r>
          </w:p>
        </w:tc>
        <w:tc>
          <w:tcPr>
            <w:tcW w:w="11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113,953,554</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114</w:t>
            </w:r>
          </w:p>
        </w:tc>
        <w:tc>
          <w:tcPr>
            <w:tcW w:w="12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39,439,198</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shd w:val="clear" w:color="auto" w:fill="CFF0FC"/>
          </w:tcPr>
          <w:p>
            <w:pPr>
              <w:ind w:left="600"/>
              <w:spacing w:after="0" w:line="156"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$ 1,085,445</w:t>
            </w:r>
          </w:p>
        </w:tc>
        <w:tc>
          <w:tcPr>
            <w:tcW w:w="10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(640,574)</w:t>
            </w:r>
          </w:p>
        </w:tc>
        <w:tc>
          <w:tcPr>
            <w:tcW w:w="160" w:type="dxa"/>
            <w:vAlign w:val="bottom"/>
            <w:shd w:val="clear" w:color="auto" w:fill="CFF0FC"/>
          </w:tcPr>
          <w:p>
            <w:pPr>
              <w:jc w:val="right"/>
              <w:ind w:right="6"/>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right w:val="single" w:sz="8" w:color="CFF0FC"/>
            </w:tcBorders>
            <w:gridSpan w:val="2"/>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(610)</w:t>
            </w:r>
          </w:p>
        </w:tc>
        <w:tc>
          <w:tcPr>
            <w:tcW w:w="1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162,819</w:t>
            </w:r>
          </w:p>
        </w:tc>
        <w:tc>
          <w:tcPr>
            <w:tcW w:w="10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607,194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Net loss</w:t>
            </w:r>
          </w:p>
        </w:tc>
        <w:tc>
          <w:tcPr>
            <w:tcW w:w="126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90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780" w:type="dxa"/>
            <w:vAlign w:val="bottom"/>
          </w:tcPr>
          <w:p>
            <w:pPr>
              <w:ind w:left="6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(107,228)</w:t>
            </w:r>
          </w:p>
        </w:tc>
        <w:tc>
          <w:tcPr>
            <w:tcW w:w="160" w:type="dxa"/>
            <w:vAlign w:val="bottom"/>
          </w:tcPr>
          <w:p>
            <w:pPr>
              <w:spacing w:after="0"/>
              <w:rPr>
                <w:sz w:val="14"/>
                <w:szCs w:val="14"/>
                <w:color w:val="auto"/>
              </w:rPr>
            </w:pPr>
          </w:p>
        </w:tc>
        <w:tc>
          <w:tcPr>
            <w:tcW w:w="82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(47,865)</w:t>
            </w:r>
          </w:p>
        </w:tc>
        <w:tc>
          <w:tcPr>
            <w:tcW w:w="140" w:type="dxa"/>
            <w:vAlign w:val="bottom"/>
          </w:tcPr>
          <w:p>
            <w:pPr>
              <w:spacing w:after="0"/>
              <w:rPr>
                <w:sz w:val="14"/>
                <w:szCs w:val="14"/>
                <w:color w:val="auto"/>
              </w:rPr>
            </w:pPr>
          </w:p>
        </w:tc>
        <w:tc>
          <w:tcPr>
            <w:tcW w:w="8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(155,093)</w:t>
            </w:r>
          </w:p>
        </w:tc>
        <w:tc>
          <w:tcPr>
            <w:tcW w:w="0" w:type="dxa"/>
            <w:vAlign w:val="bottom"/>
          </w:tcPr>
          <w:p>
            <w:pPr>
              <w:spacing w:after="0"/>
              <w:rPr>
                <w:sz w:val="1"/>
                <w:szCs w:val="1"/>
                <w:color w:val="auto"/>
              </w:rPr>
            </w:pPr>
          </w:p>
        </w:tc>
      </w:tr>
      <w:tr>
        <w:trPr>
          <w:trHeight w:val="162"/>
        </w:trPr>
        <w:tc>
          <w:tcPr>
            <w:tcW w:w="226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Other comprehensive loss</w:t>
            </w:r>
          </w:p>
        </w:tc>
        <w:tc>
          <w:tcPr>
            <w:tcW w:w="126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ind w:left="6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880" w:type="dxa"/>
            <w:vAlign w:val="bottom"/>
            <w:tcBorders>
              <w:right w:val="single" w:sz="8" w:color="CFF0FC"/>
            </w:tcBorders>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4"/>
                <w:szCs w:val="14"/>
                <w:color w:val="auto"/>
              </w:rPr>
            </w:pPr>
          </w:p>
        </w:tc>
        <w:tc>
          <w:tcPr>
            <w:tcW w:w="820" w:type="dxa"/>
            <w:vAlign w:val="bottom"/>
            <w:tcBorders>
              <w:right w:val="single" w:sz="8" w:color="CFF0FC"/>
            </w:tcBorders>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(654)</w:t>
            </w:r>
          </w:p>
        </w:tc>
        <w:tc>
          <w:tcPr>
            <w:tcW w:w="100" w:type="dxa"/>
            <w:vAlign w:val="bottom"/>
            <w:shd w:val="clear" w:color="auto" w:fill="CFF0FC"/>
          </w:tcPr>
          <w:p>
            <w:pPr>
              <w:spacing w:after="0"/>
              <w:rPr>
                <w:sz w:val="14"/>
                <w:szCs w:val="14"/>
                <w:color w:val="auto"/>
              </w:rPr>
            </w:pPr>
          </w:p>
        </w:tc>
        <w:tc>
          <w:tcPr>
            <w:tcW w:w="820" w:type="dxa"/>
            <w:vAlign w:val="bottom"/>
            <w:tcBorders>
              <w:right w:val="single" w:sz="8" w:color="CFF0FC"/>
            </w:tcBorders>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(226)</w:t>
            </w: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(880)</w:t>
            </w:r>
          </w:p>
        </w:tc>
        <w:tc>
          <w:tcPr>
            <w:tcW w:w="0" w:type="dxa"/>
            <w:vAlign w:val="bottom"/>
          </w:tcPr>
          <w:p>
            <w:pPr>
              <w:spacing w:after="0"/>
              <w:rPr>
                <w:sz w:val="1"/>
                <w:szCs w:val="1"/>
                <w:color w:val="auto"/>
              </w:rPr>
            </w:pPr>
          </w:p>
        </w:tc>
      </w:tr>
      <w:tr>
        <w:trPr>
          <w:trHeight w:val="162"/>
        </w:trPr>
        <w:tc>
          <w:tcPr>
            <w:tcW w:w="22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Vested incentive units</w:t>
            </w:r>
          </w:p>
        </w:tc>
        <w:tc>
          <w:tcPr>
            <w:tcW w:w="126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90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780" w:type="dxa"/>
            <w:vAlign w:val="bottom"/>
          </w:tcPr>
          <w:p>
            <w:pPr>
              <w:ind w:left="6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3"/>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(186)</w:t>
            </w:r>
          </w:p>
        </w:tc>
        <w:tc>
          <w:tcPr>
            <w:tcW w:w="120" w:type="dxa"/>
            <w:vAlign w:val="bottom"/>
          </w:tcPr>
          <w:p>
            <w:pPr>
              <w:spacing w:after="0"/>
              <w:rPr>
                <w:sz w:val="14"/>
                <w:szCs w:val="14"/>
                <w:color w:val="auto"/>
              </w:rPr>
            </w:pPr>
          </w:p>
        </w:tc>
        <w:tc>
          <w:tcPr>
            <w:tcW w:w="76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186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45"/>
        </w:trPr>
        <w:tc>
          <w:tcPr>
            <w:tcW w:w="2260" w:type="dxa"/>
            <w:vAlign w:val="bottom"/>
            <w:shd w:val="clear" w:color="auto" w:fill="CFF0FC"/>
          </w:tcPr>
          <w:p>
            <w:pPr>
              <w:spacing w:after="0" w:line="145" w:lineRule="exact"/>
              <w:rPr>
                <w:sz w:val="20"/>
                <w:szCs w:val="20"/>
                <w:color w:val="auto"/>
              </w:rPr>
            </w:pPr>
            <w:r>
              <w:rPr>
                <w:rFonts w:ascii="Times New Roman" w:cs="Times New Roman" w:eastAsia="Times New Roman" w:hAnsi="Times New Roman"/>
                <w:sz w:val="15"/>
                <w:szCs w:val="15"/>
                <w:color w:val="auto"/>
              </w:rPr>
              <w:t>Issuance of Class A Common Stock</w:t>
            </w:r>
          </w:p>
        </w:tc>
        <w:tc>
          <w:tcPr>
            <w:tcW w:w="1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2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upon vesting of RSUs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1,279,156</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901</w:t>
            </w:r>
          </w:p>
        </w:tc>
        <w:tc>
          <w:tcPr>
            <w:tcW w:w="10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5"/>
                <w:szCs w:val="15"/>
                <w:color w:val="auto"/>
              </w:rPr>
            </w:pPr>
          </w:p>
        </w:tc>
        <w:tc>
          <w:tcPr>
            <w:tcW w:w="8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82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(902)</w:t>
            </w:r>
          </w:p>
        </w:tc>
        <w:tc>
          <w:tcPr>
            <w:tcW w:w="1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45"/>
        </w:trPr>
        <w:tc>
          <w:tcPr>
            <w:tcW w:w="226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Shares withheld related to net share</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260" w:type="dxa"/>
            <w:vAlign w:val="bottom"/>
          </w:tcPr>
          <w:p>
            <w:pPr>
              <w:spacing w:after="0"/>
              <w:rPr>
                <w:sz w:val="20"/>
                <w:szCs w:val="20"/>
                <w:color w:val="auto"/>
              </w:rPr>
            </w:pPr>
            <w:r>
              <w:rPr>
                <w:rFonts w:ascii="Times New Roman" w:cs="Times New Roman" w:eastAsia="Times New Roman" w:hAnsi="Times New Roman"/>
                <w:sz w:val="15"/>
                <w:szCs w:val="15"/>
                <w:color w:val="auto"/>
              </w:rPr>
              <w:t>settlement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(423,245)</w:t>
            </w:r>
          </w:p>
        </w:tc>
        <w:tc>
          <w:tcPr>
            <w:tcW w:w="14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780" w:type="dxa"/>
            <w:vAlign w:val="bottom"/>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(1,874)</w:t>
            </w:r>
          </w:p>
        </w:tc>
        <w:tc>
          <w:tcPr>
            <w:tcW w:w="12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(1,874)</w:t>
            </w:r>
          </w:p>
        </w:tc>
        <w:tc>
          <w:tcPr>
            <w:tcW w:w="0" w:type="dxa"/>
            <w:vAlign w:val="bottom"/>
          </w:tcPr>
          <w:p>
            <w:pPr>
              <w:spacing w:after="0"/>
              <w:rPr>
                <w:sz w:val="1"/>
                <w:szCs w:val="1"/>
                <w:color w:val="auto"/>
              </w:rPr>
            </w:pPr>
          </w:p>
        </w:tc>
      </w:tr>
      <w:tr>
        <w:trPr>
          <w:trHeight w:val="145"/>
        </w:trPr>
        <w:tc>
          <w:tcPr>
            <w:tcW w:w="2260" w:type="dxa"/>
            <w:vAlign w:val="bottom"/>
            <w:shd w:val="clear" w:color="auto" w:fill="CFF0FC"/>
          </w:tcPr>
          <w:p>
            <w:pPr>
              <w:spacing w:after="0" w:line="145" w:lineRule="exact"/>
              <w:rPr>
                <w:sz w:val="20"/>
                <w:szCs w:val="20"/>
                <w:color w:val="auto"/>
              </w:rPr>
            </w:pPr>
            <w:r>
              <w:rPr>
                <w:rFonts w:ascii="Times New Roman" w:cs="Times New Roman" w:eastAsia="Times New Roman" w:hAnsi="Times New Roman"/>
                <w:sz w:val="15"/>
                <w:szCs w:val="15"/>
                <w:color w:val="auto"/>
              </w:rPr>
              <w:t>Repurchases of Class A Common</w:t>
            </w:r>
          </w:p>
        </w:tc>
        <w:tc>
          <w:tcPr>
            <w:tcW w:w="1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2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Stock</w:t>
            </w: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5"/>
                <w:szCs w:val="15"/>
                <w:color w:val="auto"/>
              </w:rPr>
              <w:t>(5,604,751)</w:t>
            </w:r>
          </w:p>
        </w:tc>
        <w:tc>
          <w:tcPr>
            <w:tcW w:w="1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5"/>
                <w:szCs w:val="15"/>
                <w:color w:val="auto"/>
              </w:rPr>
              <w:t>(5)</w:t>
            </w: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right w:val="single" w:sz="8" w:color="CFF0FC"/>
            </w:tcBorders>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(27,105)</w:t>
            </w:r>
          </w:p>
        </w:tc>
        <w:tc>
          <w:tcPr>
            <w:tcW w:w="12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5"/>
                <w:szCs w:val="15"/>
                <w:color w:val="auto"/>
              </w:rPr>
            </w:pPr>
          </w:p>
        </w:tc>
        <w:tc>
          <w:tcPr>
            <w:tcW w:w="8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5,955</w:t>
            </w:r>
          </w:p>
        </w:tc>
        <w:tc>
          <w:tcPr>
            <w:tcW w:w="10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(21,155)</w:t>
            </w:r>
          </w:p>
        </w:tc>
        <w:tc>
          <w:tcPr>
            <w:tcW w:w="0" w:type="dxa"/>
            <w:vAlign w:val="bottom"/>
          </w:tcPr>
          <w:p>
            <w:pPr>
              <w:spacing w:after="0"/>
              <w:rPr>
                <w:sz w:val="1"/>
                <w:szCs w:val="1"/>
                <w:color w:val="auto"/>
              </w:rPr>
            </w:pPr>
          </w:p>
        </w:tc>
      </w:tr>
      <w:tr>
        <w:trPr>
          <w:trHeight w:val="145"/>
        </w:trPr>
        <w:tc>
          <w:tcPr>
            <w:tcW w:w="226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Effect of changes in LLC</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ownership, including LLC unit</w:t>
            </w: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260" w:type="dxa"/>
            <w:vAlign w:val="bottom"/>
          </w:tcPr>
          <w:p>
            <w:pPr>
              <w:spacing w:after="0"/>
              <w:rPr>
                <w:sz w:val="20"/>
                <w:szCs w:val="20"/>
                <w:color w:val="auto"/>
              </w:rPr>
            </w:pPr>
            <w:r>
              <w:rPr>
                <w:rFonts w:ascii="Times New Roman" w:cs="Times New Roman" w:eastAsia="Times New Roman" w:hAnsi="Times New Roman"/>
                <w:sz w:val="15"/>
                <w:szCs w:val="15"/>
                <w:color w:val="auto"/>
              </w:rPr>
              <w:t>exchanges</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441,443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(441,443)</w:t>
            </w:r>
          </w:p>
        </w:tc>
        <w:tc>
          <w:tcPr>
            <w:tcW w:w="140" w:type="dxa"/>
            <w:vAlign w:val="bottom"/>
          </w:tcPr>
          <w:p>
            <w:pPr>
              <w:spacing w:after="0"/>
              <w:rPr>
                <w:sz w:val="15"/>
                <w:szCs w:val="15"/>
                <w:color w:val="auto"/>
              </w:rPr>
            </w:pPr>
          </w:p>
        </w:tc>
        <w:tc>
          <w:tcPr>
            <w:tcW w:w="780" w:type="dxa"/>
            <w:vAlign w:val="bottom"/>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9,113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(8,719)</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26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Forfeited unvested incentive units</w:t>
            </w:r>
          </w:p>
        </w:tc>
        <w:tc>
          <w:tcPr>
            <w:tcW w:w="126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(571)</w:t>
            </w: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ind w:left="6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880" w:type="dxa"/>
            <w:vAlign w:val="bottom"/>
            <w:tcBorders>
              <w:right w:val="single" w:sz="8" w:color="CFF0FC"/>
            </w:tcBorders>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4"/>
                <w:szCs w:val="14"/>
                <w:color w:val="auto"/>
              </w:rPr>
            </w:pPr>
          </w:p>
        </w:tc>
        <w:tc>
          <w:tcPr>
            <w:tcW w:w="820" w:type="dxa"/>
            <w:vAlign w:val="bottom"/>
            <w:tcBorders>
              <w:right w:val="single" w:sz="8" w:color="CFF0FC"/>
            </w:tcBorders>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820" w:type="dxa"/>
            <w:vAlign w:val="bottom"/>
            <w:tcBorders>
              <w:right w:val="single" w:sz="8" w:color="CFF0FC"/>
            </w:tcBorders>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2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Equity-based compensation</w:t>
            </w:r>
          </w:p>
        </w:tc>
        <w:tc>
          <w:tcPr>
            <w:tcW w:w="126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90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780" w:type="dxa"/>
            <w:vAlign w:val="bottom"/>
          </w:tcPr>
          <w:p>
            <w:pPr>
              <w:ind w:left="6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5,438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1,881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7,319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260" w:type="dxa"/>
            <w:vAlign w:val="bottom"/>
            <w:tcBorders>
              <w:top w:val="single" w:sz="8" w:color="CFF0FC"/>
            </w:tcBorders>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Balance at March 31, 2025</w:t>
            </w:r>
          </w:p>
        </w:tc>
        <w:tc>
          <w:tcPr>
            <w:tcW w:w="114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109,646,157</w:t>
            </w:r>
          </w:p>
        </w:tc>
        <w:tc>
          <w:tcPr>
            <w:tcW w:w="1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110</w:t>
            </w:r>
          </w:p>
        </w:tc>
        <w:tc>
          <w:tcPr>
            <w:tcW w:w="120" w:type="dxa"/>
            <w:vAlign w:val="bottom"/>
            <w:tcBorders>
              <w:top w:val="single" w:sz="8" w:color="CFF0FC"/>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38,997,184</w:t>
            </w:r>
          </w:p>
        </w:tc>
        <w:tc>
          <w:tcPr>
            <w:tcW w:w="1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top w:val="single" w:sz="8" w:color="auto"/>
            </w:tcBorders>
            <w:shd w:val="clear" w:color="auto" w:fill="CFF0FC"/>
          </w:tcPr>
          <w:p>
            <w:pPr>
              <w:ind w:left="60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$ 1,071,732</w:t>
            </w:r>
          </w:p>
        </w:tc>
        <w:tc>
          <w:tcPr>
            <w:tcW w:w="100" w:type="dxa"/>
            <w:vAlign w:val="bottom"/>
            <w:tcBorders>
              <w:top w:val="single" w:sz="8" w:color="CFF0FC"/>
              <w:right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(747,802)</w:t>
            </w:r>
          </w:p>
        </w:tc>
        <w:tc>
          <w:tcPr>
            <w:tcW w:w="1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6"/>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(1,264)</w:t>
            </w:r>
          </w:p>
        </w:tc>
        <w:tc>
          <w:tcPr>
            <w:tcW w:w="100" w:type="dxa"/>
            <w:vAlign w:val="bottom"/>
            <w:tcBorders>
              <w:top w:val="single" w:sz="8" w:color="CFF0FC"/>
              <w:right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113,129</w:t>
            </w:r>
          </w:p>
        </w:tc>
        <w:tc>
          <w:tcPr>
            <w:tcW w:w="100" w:type="dxa"/>
            <w:vAlign w:val="bottom"/>
            <w:tcBorders>
              <w:top w:val="single" w:sz="8" w:color="CFF0FC"/>
              <w:right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435,905</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Net loss</w:t>
            </w:r>
          </w:p>
        </w:tc>
        <w:tc>
          <w:tcPr>
            <w:tcW w:w="126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90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780" w:type="dxa"/>
            <w:vAlign w:val="bottom"/>
          </w:tcPr>
          <w:p>
            <w:pPr>
              <w:ind w:left="6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(7,551)</w:t>
            </w:r>
          </w:p>
        </w:tc>
        <w:tc>
          <w:tcPr>
            <w:tcW w:w="160" w:type="dxa"/>
            <w:vAlign w:val="bottom"/>
          </w:tcPr>
          <w:p>
            <w:pPr>
              <w:spacing w:after="0"/>
              <w:rPr>
                <w:sz w:val="14"/>
                <w:szCs w:val="14"/>
                <w:color w:val="auto"/>
              </w:rPr>
            </w:pPr>
          </w:p>
        </w:tc>
        <w:tc>
          <w:tcPr>
            <w:tcW w:w="82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(1,714)</w:t>
            </w:r>
          </w:p>
        </w:tc>
        <w:tc>
          <w:tcPr>
            <w:tcW w:w="140" w:type="dxa"/>
            <w:vAlign w:val="bottom"/>
          </w:tcPr>
          <w:p>
            <w:pPr>
              <w:spacing w:after="0"/>
              <w:rPr>
                <w:sz w:val="14"/>
                <w:szCs w:val="14"/>
                <w:color w:val="auto"/>
              </w:rPr>
            </w:pPr>
          </w:p>
        </w:tc>
        <w:tc>
          <w:tcPr>
            <w:tcW w:w="8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(9,265)</w:t>
            </w:r>
          </w:p>
        </w:tc>
        <w:tc>
          <w:tcPr>
            <w:tcW w:w="0" w:type="dxa"/>
            <w:vAlign w:val="bottom"/>
          </w:tcPr>
          <w:p>
            <w:pPr>
              <w:spacing w:after="0"/>
              <w:rPr>
                <w:sz w:val="1"/>
                <w:szCs w:val="1"/>
                <w:color w:val="auto"/>
              </w:rPr>
            </w:pPr>
          </w:p>
        </w:tc>
      </w:tr>
      <w:tr>
        <w:trPr>
          <w:trHeight w:val="162"/>
        </w:trPr>
        <w:tc>
          <w:tcPr>
            <w:tcW w:w="226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Other comprehensive loss</w:t>
            </w:r>
          </w:p>
        </w:tc>
        <w:tc>
          <w:tcPr>
            <w:tcW w:w="126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ind w:left="6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880" w:type="dxa"/>
            <w:vAlign w:val="bottom"/>
            <w:tcBorders>
              <w:right w:val="single" w:sz="8" w:color="CFF0FC"/>
            </w:tcBorders>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4"/>
                <w:szCs w:val="14"/>
                <w:color w:val="auto"/>
              </w:rPr>
            </w:pPr>
          </w:p>
        </w:tc>
        <w:tc>
          <w:tcPr>
            <w:tcW w:w="820" w:type="dxa"/>
            <w:vAlign w:val="bottom"/>
            <w:tcBorders>
              <w:right w:val="single" w:sz="8" w:color="CFF0FC"/>
            </w:tcBorders>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(73)</w:t>
            </w:r>
          </w:p>
        </w:tc>
        <w:tc>
          <w:tcPr>
            <w:tcW w:w="100" w:type="dxa"/>
            <w:vAlign w:val="bottom"/>
            <w:shd w:val="clear" w:color="auto" w:fill="CFF0FC"/>
          </w:tcPr>
          <w:p>
            <w:pPr>
              <w:spacing w:after="0"/>
              <w:rPr>
                <w:sz w:val="14"/>
                <w:szCs w:val="14"/>
                <w:color w:val="auto"/>
              </w:rPr>
            </w:pPr>
          </w:p>
        </w:tc>
        <w:tc>
          <w:tcPr>
            <w:tcW w:w="820" w:type="dxa"/>
            <w:vAlign w:val="bottom"/>
            <w:tcBorders>
              <w:right w:val="single" w:sz="8" w:color="CFF0FC"/>
            </w:tcBorders>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(26)</w:t>
            </w: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(99)</w:t>
            </w:r>
          </w:p>
        </w:tc>
        <w:tc>
          <w:tcPr>
            <w:tcW w:w="0" w:type="dxa"/>
            <w:vAlign w:val="bottom"/>
          </w:tcPr>
          <w:p>
            <w:pPr>
              <w:spacing w:after="0"/>
              <w:rPr>
                <w:sz w:val="1"/>
                <w:szCs w:val="1"/>
                <w:color w:val="auto"/>
              </w:rPr>
            </w:pPr>
          </w:p>
        </w:tc>
      </w:tr>
      <w:tr>
        <w:trPr>
          <w:trHeight w:val="162"/>
        </w:trPr>
        <w:tc>
          <w:tcPr>
            <w:tcW w:w="22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Vested incentive units</w:t>
            </w:r>
          </w:p>
        </w:tc>
        <w:tc>
          <w:tcPr>
            <w:tcW w:w="126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90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780" w:type="dxa"/>
            <w:vAlign w:val="bottom"/>
          </w:tcPr>
          <w:p>
            <w:pPr>
              <w:ind w:left="6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3"/>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(4)</w:t>
            </w:r>
          </w:p>
        </w:tc>
        <w:tc>
          <w:tcPr>
            <w:tcW w:w="120" w:type="dxa"/>
            <w:vAlign w:val="bottom"/>
          </w:tcPr>
          <w:p>
            <w:pPr>
              <w:spacing w:after="0"/>
              <w:rPr>
                <w:sz w:val="14"/>
                <w:szCs w:val="14"/>
                <w:color w:val="auto"/>
              </w:rPr>
            </w:pPr>
          </w:p>
        </w:tc>
        <w:tc>
          <w:tcPr>
            <w:tcW w:w="76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45"/>
        </w:trPr>
        <w:tc>
          <w:tcPr>
            <w:tcW w:w="2260" w:type="dxa"/>
            <w:vAlign w:val="bottom"/>
            <w:shd w:val="clear" w:color="auto" w:fill="CFF0FC"/>
          </w:tcPr>
          <w:p>
            <w:pPr>
              <w:spacing w:after="0" w:line="145" w:lineRule="exact"/>
              <w:rPr>
                <w:sz w:val="20"/>
                <w:szCs w:val="20"/>
                <w:color w:val="auto"/>
              </w:rPr>
            </w:pPr>
            <w:r>
              <w:rPr>
                <w:rFonts w:ascii="Times New Roman" w:cs="Times New Roman" w:eastAsia="Times New Roman" w:hAnsi="Times New Roman"/>
                <w:sz w:val="15"/>
                <w:szCs w:val="15"/>
                <w:color w:val="auto"/>
              </w:rPr>
              <w:t>Issuance of Class A Common Stock</w:t>
            </w:r>
          </w:p>
        </w:tc>
        <w:tc>
          <w:tcPr>
            <w:tcW w:w="1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2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upon vesting of RSUs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654,437</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345</w:t>
            </w:r>
          </w:p>
        </w:tc>
        <w:tc>
          <w:tcPr>
            <w:tcW w:w="10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5"/>
                <w:szCs w:val="15"/>
                <w:color w:val="auto"/>
              </w:rPr>
            </w:pPr>
          </w:p>
        </w:tc>
        <w:tc>
          <w:tcPr>
            <w:tcW w:w="8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82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(346)</w:t>
            </w:r>
          </w:p>
        </w:tc>
        <w:tc>
          <w:tcPr>
            <w:tcW w:w="1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45"/>
        </w:trPr>
        <w:tc>
          <w:tcPr>
            <w:tcW w:w="226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Shares withheld related to net share</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260" w:type="dxa"/>
            <w:vAlign w:val="bottom"/>
          </w:tcPr>
          <w:p>
            <w:pPr>
              <w:spacing w:after="0"/>
              <w:rPr>
                <w:sz w:val="20"/>
                <w:szCs w:val="20"/>
                <w:color w:val="auto"/>
              </w:rPr>
            </w:pPr>
            <w:r>
              <w:rPr>
                <w:rFonts w:ascii="Times New Roman" w:cs="Times New Roman" w:eastAsia="Times New Roman" w:hAnsi="Times New Roman"/>
                <w:sz w:val="15"/>
                <w:szCs w:val="15"/>
                <w:color w:val="auto"/>
              </w:rPr>
              <w:t>settlement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(196,303)</w:t>
            </w:r>
          </w:p>
        </w:tc>
        <w:tc>
          <w:tcPr>
            <w:tcW w:w="14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780" w:type="dxa"/>
            <w:vAlign w:val="bottom"/>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(609)</w:t>
            </w:r>
          </w:p>
        </w:tc>
        <w:tc>
          <w:tcPr>
            <w:tcW w:w="12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(609)</w:t>
            </w:r>
          </w:p>
        </w:tc>
        <w:tc>
          <w:tcPr>
            <w:tcW w:w="0" w:type="dxa"/>
            <w:vAlign w:val="bottom"/>
          </w:tcPr>
          <w:p>
            <w:pPr>
              <w:spacing w:after="0"/>
              <w:rPr>
                <w:sz w:val="1"/>
                <w:szCs w:val="1"/>
                <w:color w:val="auto"/>
              </w:rPr>
            </w:pPr>
          </w:p>
        </w:tc>
      </w:tr>
      <w:tr>
        <w:trPr>
          <w:trHeight w:val="145"/>
        </w:trPr>
        <w:tc>
          <w:tcPr>
            <w:tcW w:w="2260" w:type="dxa"/>
            <w:vAlign w:val="bottom"/>
            <w:shd w:val="clear" w:color="auto" w:fill="CFF0FC"/>
          </w:tcPr>
          <w:p>
            <w:pPr>
              <w:spacing w:after="0" w:line="145" w:lineRule="exact"/>
              <w:rPr>
                <w:sz w:val="20"/>
                <w:szCs w:val="20"/>
                <w:color w:val="auto"/>
              </w:rPr>
            </w:pPr>
            <w:r>
              <w:rPr>
                <w:rFonts w:ascii="Times New Roman" w:cs="Times New Roman" w:eastAsia="Times New Roman" w:hAnsi="Times New Roman"/>
                <w:sz w:val="15"/>
                <w:szCs w:val="15"/>
                <w:color w:val="auto"/>
              </w:rPr>
              <w:t>Repurchases of Class A Common</w:t>
            </w:r>
          </w:p>
        </w:tc>
        <w:tc>
          <w:tcPr>
            <w:tcW w:w="1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2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Stock</w:t>
            </w: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5"/>
                <w:szCs w:val="15"/>
                <w:color w:val="auto"/>
              </w:rPr>
              <w:t>(5,959,137)</w:t>
            </w:r>
          </w:p>
        </w:tc>
        <w:tc>
          <w:tcPr>
            <w:tcW w:w="1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5"/>
                <w:szCs w:val="15"/>
                <w:color w:val="auto"/>
              </w:rPr>
              <w:t>(6)</w:t>
            </w: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right w:val="single" w:sz="8" w:color="CFF0FC"/>
            </w:tcBorders>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(23,624)</w:t>
            </w:r>
          </w:p>
        </w:tc>
        <w:tc>
          <w:tcPr>
            <w:tcW w:w="12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5"/>
                <w:szCs w:val="15"/>
                <w:color w:val="auto"/>
              </w:rPr>
            </w:pPr>
          </w:p>
        </w:tc>
        <w:tc>
          <w:tcPr>
            <w:tcW w:w="8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4,554</w:t>
            </w:r>
          </w:p>
        </w:tc>
        <w:tc>
          <w:tcPr>
            <w:tcW w:w="10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(19,076)</w:t>
            </w:r>
          </w:p>
        </w:tc>
        <w:tc>
          <w:tcPr>
            <w:tcW w:w="0" w:type="dxa"/>
            <w:vAlign w:val="bottom"/>
          </w:tcPr>
          <w:p>
            <w:pPr>
              <w:spacing w:after="0"/>
              <w:rPr>
                <w:sz w:val="1"/>
                <w:szCs w:val="1"/>
                <w:color w:val="auto"/>
              </w:rPr>
            </w:pPr>
          </w:p>
        </w:tc>
      </w:tr>
      <w:tr>
        <w:trPr>
          <w:trHeight w:val="145"/>
        </w:trPr>
        <w:tc>
          <w:tcPr>
            <w:tcW w:w="226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Effect of changes in LLC</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ownership, including LLC unit</w:t>
            </w: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260" w:type="dxa"/>
            <w:vAlign w:val="bottom"/>
          </w:tcPr>
          <w:p>
            <w:pPr>
              <w:spacing w:after="0"/>
              <w:rPr>
                <w:sz w:val="20"/>
                <w:szCs w:val="20"/>
                <w:color w:val="auto"/>
              </w:rPr>
            </w:pPr>
            <w:r>
              <w:rPr>
                <w:rFonts w:ascii="Times New Roman" w:cs="Times New Roman" w:eastAsia="Times New Roman" w:hAnsi="Times New Roman"/>
                <w:sz w:val="15"/>
                <w:szCs w:val="15"/>
                <w:color w:val="auto"/>
              </w:rPr>
              <w:t>exchanges</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601,827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(601,827)</w:t>
            </w:r>
          </w:p>
        </w:tc>
        <w:tc>
          <w:tcPr>
            <w:tcW w:w="140" w:type="dxa"/>
            <w:vAlign w:val="bottom"/>
          </w:tcPr>
          <w:p>
            <w:pPr>
              <w:spacing w:after="0"/>
              <w:rPr>
                <w:sz w:val="15"/>
                <w:szCs w:val="15"/>
                <w:color w:val="auto"/>
              </w:rPr>
            </w:pPr>
          </w:p>
        </w:tc>
        <w:tc>
          <w:tcPr>
            <w:tcW w:w="780" w:type="dxa"/>
            <w:vAlign w:val="bottom"/>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7,242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(7,018)</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26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Equity-based compensation</w:t>
            </w:r>
          </w:p>
        </w:tc>
        <w:tc>
          <w:tcPr>
            <w:tcW w:w="126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ind w:left="6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5,118</w:t>
            </w:r>
          </w:p>
        </w:tc>
        <w:tc>
          <w:tcPr>
            <w:tcW w:w="10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4"/>
                <w:szCs w:val="14"/>
                <w:color w:val="auto"/>
              </w:rPr>
            </w:pPr>
          </w:p>
        </w:tc>
        <w:tc>
          <w:tcPr>
            <w:tcW w:w="820" w:type="dxa"/>
            <w:vAlign w:val="bottom"/>
            <w:tcBorders>
              <w:right w:val="single" w:sz="8" w:color="CFF0FC"/>
            </w:tcBorders>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1,862</w:t>
            </w:r>
          </w:p>
        </w:tc>
        <w:tc>
          <w:tcPr>
            <w:tcW w:w="10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6,980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26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Distributions to noncontrolling</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vMerge w:val="restart"/>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5"/>
                <w:szCs w:val="15"/>
                <w:color w:val="auto"/>
              </w:rPr>
              <w:t>(2,827)</w:t>
            </w:r>
          </w:p>
        </w:tc>
        <w:tc>
          <w:tcPr>
            <w:tcW w:w="140" w:type="dxa"/>
            <w:vAlign w:val="bottom"/>
          </w:tcPr>
          <w:p>
            <w:pPr>
              <w:spacing w:after="0"/>
              <w:rPr>
                <w:sz w:val="12"/>
                <w:szCs w:val="12"/>
                <w:color w:val="auto"/>
              </w:rPr>
            </w:pPr>
          </w:p>
        </w:tc>
        <w:tc>
          <w:tcPr>
            <w:tcW w:w="8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5"/>
                <w:szCs w:val="15"/>
                <w:color w:val="auto"/>
              </w:rPr>
              <w:t>(2,827)</w:t>
            </w:r>
          </w:p>
        </w:tc>
        <w:tc>
          <w:tcPr>
            <w:tcW w:w="0" w:type="dxa"/>
            <w:vAlign w:val="bottom"/>
          </w:tcPr>
          <w:p>
            <w:pPr>
              <w:spacing w:after="0"/>
              <w:rPr>
                <w:sz w:val="1"/>
                <w:szCs w:val="1"/>
                <w:color w:val="auto"/>
              </w:rPr>
            </w:pPr>
          </w:p>
        </w:tc>
      </w:tr>
      <w:tr>
        <w:trPr>
          <w:trHeight w:val="166"/>
        </w:trPr>
        <w:tc>
          <w:tcPr>
            <w:tcW w:w="2260" w:type="dxa"/>
            <w:vAlign w:val="bottom"/>
          </w:tcPr>
          <w:p>
            <w:pPr>
              <w:spacing w:after="0" w:line="166" w:lineRule="exact"/>
              <w:rPr>
                <w:sz w:val="20"/>
                <w:szCs w:val="20"/>
                <w:color w:val="auto"/>
              </w:rPr>
            </w:pPr>
            <w:r>
              <w:rPr>
                <w:rFonts w:ascii="Times New Roman" w:cs="Times New Roman" w:eastAsia="Times New Roman" w:hAnsi="Times New Roman"/>
                <w:sz w:val="15"/>
                <w:szCs w:val="15"/>
                <w:color w:val="auto"/>
              </w:rPr>
              <w:t>interests</w:t>
            </w:r>
          </w:p>
        </w:tc>
        <w:tc>
          <w:tcPr>
            <w:tcW w:w="114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26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Balance at June 30, 2025</w:t>
            </w:r>
          </w:p>
        </w:tc>
        <w:tc>
          <w:tcPr>
            <w:tcW w:w="11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104,746,981</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105</w:t>
            </w: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38,395,357</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shd w:val="clear" w:color="auto" w:fill="CFF0FC"/>
          </w:tcPr>
          <w:p>
            <w:pPr>
              <w:ind w:left="60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$ 1,060,200</w:t>
            </w:r>
          </w:p>
        </w:tc>
        <w:tc>
          <w:tcPr>
            <w:tcW w:w="10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3"/>
            <w:shd w:val="clear" w:color="auto" w:fill="CFF0FC"/>
          </w:tcPr>
          <w:p>
            <w:pPr>
              <w:jc w:val="right"/>
              <w:ind w:right="6"/>
              <w:spacing w:after="0" w:line="156" w:lineRule="exact"/>
              <w:rPr>
                <w:sz w:val="20"/>
                <w:szCs w:val="20"/>
                <w:color w:val="auto"/>
              </w:rPr>
            </w:pPr>
            <w:r>
              <w:rPr>
                <w:rFonts w:ascii="Times New Roman" w:cs="Times New Roman" w:eastAsia="Times New Roman" w:hAnsi="Times New Roman"/>
                <w:sz w:val="15"/>
                <w:szCs w:val="15"/>
                <w:color w:val="auto"/>
              </w:rPr>
              <w:t>(755,353) $</w:t>
            </w:r>
          </w:p>
        </w:tc>
        <w:tc>
          <w:tcPr>
            <w:tcW w:w="820" w:type="dxa"/>
            <w:vAlign w:val="bottom"/>
            <w:tcBorders>
              <w:right w:val="single" w:sz="8" w:color="CFF0FC"/>
            </w:tcBorders>
            <w:gridSpan w:val="2"/>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(1,337)</w:t>
            </w:r>
          </w:p>
        </w:tc>
        <w:tc>
          <w:tcPr>
            <w:tcW w:w="1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107,618</w:t>
            </w:r>
          </w:p>
        </w:tc>
        <w:tc>
          <w:tcPr>
            <w:tcW w:w="10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411,233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6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-1782445</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-1782445</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-1782445</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-1782445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-1782445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-1782445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-1782445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-1782445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-1782445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-24765</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-8255</wp:posOffset>
            </wp:positionV>
            <wp:extent cx="768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-24765</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-8255</wp:posOffset>
            </wp:positionV>
            <wp:extent cx="768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-24765</wp:posOffset>
            </wp:positionV>
            <wp:extent cx="77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-8255</wp:posOffset>
            </wp:positionV>
            <wp:extent cx="774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-24765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-8255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-24765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-8255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-24765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-8255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-8255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-24765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-8255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6"/>
          <w:szCs w:val="16"/>
          <w:b w:val="1"/>
          <w:bCs w:val="1"/>
          <w:color w:val="auto"/>
        </w:rPr>
        <w:t>DEFINITIVE HEALTHCARE CORP.</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CHANGES IN TOTAL EQUITY (CONTINUED)</w:t>
      </w:r>
    </w:p>
    <w:p>
      <w:pPr>
        <w:spacing w:after="0" w:line="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i w:val="1"/>
          <w:iCs w:val="1"/>
          <w:color w:val="auto"/>
        </w:rPr>
        <w:t>(in thousands, except share amounts)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8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2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20" w:type="dxa"/>
            <w:vAlign w:val="bottom"/>
          </w:tcPr>
          <w:p>
            <w:pPr>
              <w:spacing w:after="0"/>
              <w:rPr>
                <w:sz w:val="12"/>
                <w:szCs w:val="12"/>
                <w:color w:val="auto"/>
              </w:rPr>
            </w:pPr>
          </w:p>
        </w:tc>
        <w:tc>
          <w:tcPr>
            <w:tcW w:w="9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0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40" w:type="dxa"/>
            <w:vAlign w:val="bottom"/>
          </w:tcPr>
          <w:p>
            <w:pPr>
              <w:spacing w:after="0"/>
              <w:rPr>
                <w:sz w:val="12"/>
                <w:szCs w:val="12"/>
                <w:color w:val="auto"/>
              </w:rPr>
            </w:pP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20" w:type="dxa"/>
            <w:vAlign w:val="bottom"/>
          </w:tcPr>
          <w:p>
            <w:pPr>
              <w:spacing w:after="0"/>
              <w:rPr>
                <w:sz w:val="12"/>
                <w:szCs w:val="12"/>
                <w:color w:val="auto"/>
              </w:rPr>
            </w:pPr>
          </w:p>
        </w:tc>
        <w:tc>
          <w:tcPr>
            <w:tcW w:w="8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80" w:type="dxa"/>
            <w:vAlign w:val="bottom"/>
            <w:gridSpan w:val="3"/>
            <w:vMerge w:val="continue"/>
          </w:tcPr>
          <w:p>
            <w:pPr>
              <w:spacing w:after="0"/>
              <w:rPr>
                <w:sz w:val="12"/>
                <w:szCs w:val="12"/>
                <w:color w:val="auto"/>
              </w:rPr>
            </w:pPr>
          </w:p>
        </w:tc>
        <w:tc>
          <w:tcPr>
            <w:tcW w:w="10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w:t>
            </w:r>
          </w:p>
        </w:tc>
        <w:tc>
          <w:tcPr>
            <w:tcW w:w="9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12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ve</w:t>
            </w:r>
          </w:p>
        </w:tc>
        <w:tc>
          <w:tcPr>
            <w:tcW w:w="100" w:type="dxa"/>
            <w:vAlign w:val="bottom"/>
          </w:tcPr>
          <w:p>
            <w:pPr>
              <w:spacing w:after="0"/>
              <w:rPr>
                <w:sz w:val="12"/>
                <w:szCs w:val="12"/>
                <w:color w:val="auto"/>
              </w:rPr>
            </w:pPr>
          </w:p>
        </w:tc>
        <w:tc>
          <w:tcPr>
            <w:tcW w:w="82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ng</w:t>
            </w: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120" w:type="dxa"/>
            <w:vAlign w:val="bottom"/>
            <w:vMerge w:val="restart"/>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vMerge w:val="restart"/>
          </w:tcPr>
          <w:p>
            <w:pPr>
              <w:spacing w:after="0"/>
              <w:rPr>
                <w:sz w:val="12"/>
                <w:szCs w:val="12"/>
                <w:color w:val="auto"/>
              </w:rPr>
            </w:pPr>
          </w:p>
        </w:tc>
        <w:tc>
          <w:tcPr>
            <w:tcW w:w="900" w:type="dxa"/>
            <w:vAlign w:val="bottom"/>
            <w:vMerge w:val="restart"/>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760" w:type="dxa"/>
            <w:vAlign w:val="bottom"/>
            <w:vMerge w:val="restart"/>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100" w:type="dxa"/>
            <w:vAlign w:val="bottom"/>
          </w:tcPr>
          <w:p>
            <w:pPr>
              <w:spacing w:after="0"/>
              <w:rPr>
                <w:sz w:val="12"/>
                <w:szCs w:val="12"/>
                <w:color w:val="auto"/>
              </w:rPr>
            </w:pPr>
          </w:p>
        </w:tc>
        <w:tc>
          <w:tcPr>
            <w:tcW w:w="720" w:type="dxa"/>
            <w:vAlign w:val="bottom"/>
            <w:vMerge w:val="restart"/>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24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Balance at January 1, 2024</w:t>
            </w:r>
          </w:p>
        </w:tc>
        <w:tc>
          <w:tcPr>
            <w:tcW w:w="11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116,562,252</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117</w:t>
            </w:r>
          </w:p>
        </w:tc>
        <w:tc>
          <w:tcPr>
            <w:tcW w:w="14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39,762,700</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shd w:val="clear" w:color="auto" w:fill="CFF0FC"/>
          </w:tcPr>
          <w:p>
            <w:pPr>
              <w:ind w:left="620"/>
              <w:spacing w:after="0" w:line="156" w:lineRule="exact"/>
              <w:rPr>
                <w:sz w:val="20"/>
                <w:szCs w:val="20"/>
                <w:color w:val="auto"/>
              </w:rPr>
            </w:pPr>
            <w:r>
              <w:rPr>
                <w:rFonts w:ascii="Times New Roman" w:cs="Times New Roman" w:eastAsia="Times New Roman" w:hAnsi="Times New Roman"/>
                <w:sz w:val="15"/>
                <w:szCs w:val="15"/>
                <w:color w:val="auto"/>
                <w:w w:val="93"/>
              </w:rPr>
              <w:t>—</w:t>
            </w:r>
          </w:p>
        </w:tc>
        <w:tc>
          <w:tcPr>
            <w:tcW w:w="88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$ 1,086,581</w:t>
            </w:r>
          </w:p>
        </w:tc>
        <w:tc>
          <w:tcPr>
            <w:tcW w:w="12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(227,450)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2,109</w:t>
            </w:r>
          </w:p>
        </w:tc>
        <w:tc>
          <w:tcPr>
            <w:tcW w:w="10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337,817</w:t>
            </w:r>
          </w:p>
        </w:tc>
        <w:tc>
          <w:tcPr>
            <w:tcW w:w="10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1,199,174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Net loss</w:t>
            </w:r>
          </w:p>
        </w:tc>
        <w:tc>
          <w:tcPr>
            <w:tcW w:w="126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780" w:type="dxa"/>
            <w:vAlign w:val="bottom"/>
          </w:tcPr>
          <w:p>
            <w:pPr>
              <w:ind w:left="620"/>
              <w:spacing w:after="0" w:line="162" w:lineRule="exact"/>
              <w:rPr>
                <w:sz w:val="20"/>
                <w:szCs w:val="20"/>
                <w:color w:val="auto"/>
              </w:rPr>
            </w:pPr>
            <w:r>
              <w:rPr>
                <w:rFonts w:ascii="Times New Roman" w:cs="Times New Roman" w:eastAsia="Times New Roman" w:hAnsi="Times New Roman"/>
                <w:sz w:val="15"/>
                <w:szCs w:val="15"/>
                <w:color w:val="auto"/>
                <w:w w:val="93"/>
              </w:rPr>
              <w:t>—</w:t>
            </w:r>
          </w:p>
        </w:tc>
        <w:tc>
          <w:tcPr>
            <w:tcW w:w="120" w:type="dxa"/>
            <w:vAlign w:val="bottom"/>
          </w:tcPr>
          <w:p>
            <w:pPr>
              <w:spacing w:after="0"/>
              <w:rPr>
                <w:sz w:val="14"/>
                <w:szCs w:val="14"/>
                <w:color w:val="auto"/>
              </w:rPr>
            </w:pPr>
          </w:p>
        </w:tc>
        <w:tc>
          <w:tcPr>
            <w:tcW w:w="88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(9,518)</w:t>
            </w:r>
          </w:p>
        </w:tc>
        <w:tc>
          <w:tcPr>
            <w:tcW w:w="120" w:type="dxa"/>
            <w:vAlign w:val="bottom"/>
          </w:tcPr>
          <w:p>
            <w:pPr>
              <w:spacing w:after="0"/>
              <w:rPr>
                <w:sz w:val="14"/>
                <w:szCs w:val="14"/>
                <w:color w:val="auto"/>
              </w:rPr>
            </w:pPr>
          </w:p>
        </w:tc>
        <w:tc>
          <w:tcPr>
            <w:tcW w:w="88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(3,200)</w:t>
            </w:r>
          </w:p>
        </w:tc>
        <w:tc>
          <w:tcPr>
            <w:tcW w:w="140" w:type="dxa"/>
            <w:vAlign w:val="bottom"/>
          </w:tcPr>
          <w:p>
            <w:pPr>
              <w:spacing w:after="0"/>
              <w:rPr>
                <w:sz w:val="14"/>
                <w:szCs w:val="14"/>
                <w:color w:val="auto"/>
              </w:rPr>
            </w:pPr>
          </w:p>
        </w:tc>
        <w:tc>
          <w:tcPr>
            <w:tcW w:w="8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(12,718)</w:t>
            </w:r>
          </w:p>
        </w:tc>
        <w:tc>
          <w:tcPr>
            <w:tcW w:w="0" w:type="dxa"/>
            <w:vAlign w:val="bottom"/>
          </w:tcPr>
          <w:p>
            <w:pPr>
              <w:spacing w:after="0"/>
              <w:rPr>
                <w:sz w:val="1"/>
                <w:szCs w:val="1"/>
                <w:color w:val="auto"/>
              </w:rPr>
            </w:pPr>
          </w:p>
        </w:tc>
      </w:tr>
      <w:tr>
        <w:trPr>
          <w:trHeight w:val="162"/>
        </w:trPr>
        <w:tc>
          <w:tcPr>
            <w:tcW w:w="22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Other comprehensive loss</w:t>
            </w:r>
          </w:p>
        </w:tc>
        <w:tc>
          <w:tcPr>
            <w:tcW w:w="126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ind w:left="620"/>
              <w:spacing w:after="0" w:line="162" w:lineRule="exact"/>
              <w:rPr>
                <w:sz w:val="20"/>
                <w:szCs w:val="20"/>
                <w:color w:val="auto"/>
              </w:rPr>
            </w:pPr>
            <w:r>
              <w:rPr>
                <w:rFonts w:ascii="Times New Roman" w:cs="Times New Roman" w:eastAsia="Times New Roman" w:hAnsi="Times New Roman"/>
                <w:sz w:val="15"/>
                <w:szCs w:val="15"/>
                <w:color w:val="auto"/>
                <w:w w:val="93"/>
              </w:rPr>
              <w:t>—</w:t>
            </w:r>
          </w:p>
        </w:tc>
        <w:tc>
          <w:tcPr>
            <w:tcW w:w="120" w:type="dxa"/>
            <w:vAlign w:val="bottom"/>
            <w:shd w:val="clear" w:color="auto" w:fill="CFF0FC"/>
          </w:tcPr>
          <w:p>
            <w:pPr>
              <w:spacing w:after="0"/>
              <w:rPr>
                <w:sz w:val="14"/>
                <w:szCs w:val="14"/>
                <w:color w:val="auto"/>
              </w:rPr>
            </w:pPr>
          </w:p>
        </w:tc>
        <w:tc>
          <w:tcPr>
            <w:tcW w:w="880" w:type="dxa"/>
            <w:vAlign w:val="bottom"/>
            <w:tcBorders>
              <w:right w:val="single" w:sz="8" w:color="CFF0FC"/>
            </w:tcBorders>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880" w:type="dxa"/>
            <w:vAlign w:val="bottom"/>
            <w:tcBorders>
              <w:right w:val="single" w:sz="8" w:color="CFF0FC"/>
            </w:tcBorders>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(451)</w:t>
            </w:r>
          </w:p>
        </w:tc>
        <w:tc>
          <w:tcPr>
            <w:tcW w:w="100" w:type="dxa"/>
            <w:vAlign w:val="bottom"/>
            <w:shd w:val="clear" w:color="auto" w:fill="CFF0FC"/>
          </w:tcPr>
          <w:p>
            <w:pPr>
              <w:spacing w:after="0"/>
              <w:rPr>
                <w:sz w:val="14"/>
                <w:szCs w:val="14"/>
                <w:color w:val="auto"/>
              </w:rPr>
            </w:pPr>
          </w:p>
        </w:tc>
        <w:tc>
          <w:tcPr>
            <w:tcW w:w="820" w:type="dxa"/>
            <w:vAlign w:val="bottom"/>
            <w:tcBorders>
              <w:right w:val="single" w:sz="8" w:color="CFF0FC"/>
            </w:tcBorders>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(134)</w:t>
            </w: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(585)</w:t>
            </w:r>
          </w:p>
        </w:tc>
        <w:tc>
          <w:tcPr>
            <w:tcW w:w="0" w:type="dxa"/>
            <w:vAlign w:val="bottom"/>
          </w:tcPr>
          <w:p>
            <w:pPr>
              <w:spacing w:after="0"/>
              <w:rPr>
                <w:sz w:val="1"/>
                <w:szCs w:val="1"/>
                <w:color w:val="auto"/>
              </w:rPr>
            </w:pPr>
          </w:p>
        </w:tc>
      </w:tr>
      <w:tr>
        <w:trPr>
          <w:trHeight w:val="162"/>
        </w:trPr>
        <w:tc>
          <w:tcPr>
            <w:tcW w:w="22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Vested incentive units</w:t>
            </w:r>
          </w:p>
        </w:tc>
        <w:tc>
          <w:tcPr>
            <w:tcW w:w="126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780" w:type="dxa"/>
            <w:vAlign w:val="bottom"/>
          </w:tcPr>
          <w:p>
            <w:pPr>
              <w:ind w:left="620"/>
              <w:spacing w:after="0" w:line="162" w:lineRule="exact"/>
              <w:rPr>
                <w:sz w:val="20"/>
                <w:szCs w:val="20"/>
                <w:color w:val="auto"/>
              </w:rPr>
            </w:pPr>
            <w:r>
              <w:rPr>
                <w:rFonts w:ascii="Times New Roman" w:cs="Times New Roman" w:eastAsia="Times New Roman" w:hAnsi="Times New Roman"/>
                <w:sz w:val="15"/>
                <w:szCs w:val="15"/>
                <w:color w:val="auto"/>
                <w:w w:val="93"/>
              </w:rPr>
              <w:t>—</w:t>
            </w:r>
          </w:p>
        </w:tc>
        <w:tc>
          <w:tcPr>
            <w:tcW w:w="1000" w:type="dxa"/>
            <w:vAlign w:val="bottom"/>
            <w:gridSpan w:val="3"/>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(784)</w:t>
            </w:r>
          </w:p>
        </w:tc>
        <w:tc>
          <w:tcPr>
            <w:tcW w:w="120" w:type="dxa"/>
            <w:vAlign w:val="bottom"/>
          </w:tcPr>
          <w:p>
            <w:pPr>
              <w:spacing w:after="0"/>
              <w:rPr>
                <w:sz w:val="14"/>
                <w:szCs w:val="14"/>
                <w:color w:val="auto"/>
              </w:rPr>
            </w:pPr>
          </w:p>
        </w:tc>
        <w:tc>
          <w:tcPr>
            <w:tcW w:w="76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784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45"/>
        </w:trPr>
        <w:tc>
          <w:tcPr>
            <w:tcW w:w="2240" w:type="dxa"/>
            <w:vAlign w:val="bottom"/>
            <w:shd w:val="clear" w:color="auto" w:fill="CFF0FC"/>
          </w:tcPr>
          <w:p>
            <w:pPr>
              <w:spacing w:after="0" w:line="145" w:lineRule="exact"/>
              <w:rPr>
                <w:sz w:val="20"/>
                <w:szCs w:val="20"/>
                <w:color w:val="auto"/>
              </w:rPr>
            </w:pPr>
            <w:r>
              <w:rPr>
                <w:rFonts w:ascii="Times New Roman" w:cs="Times New Roman" w:eastAsia="Times New Roman" w:hAnsi="Times New Roman"/>
                <w:sz w:val="15"/>
                <w:szCs w:val="15"/>
                <w:color w:val="auto"/>
              </w:rPr>
              <w:t>Issuance of Class A Common Stock</w:t>
            </w:r>
          </w:p>
        </w:tc>
        <w:tc>
          <w:tcPr>
            <w:tcW w:w="1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2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upon vesting of RSUs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1,822,506</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4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5"/>
                <w:szCs w:val="15"/>
                <w:color w:val="auto"/>
                <w:w w:val="93"/>
              </w:rPr>
              <w:t>—</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2,532</w:t>
            </w:r>
          </w:p>
        </w:tc>
        <w:tc>
          <w:tcPr>
            <w:tcW w:w="12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8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82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(2,534)</w:t>
            </w:r>
          </w:p>
        </w:tc>
        <w:tc>
          <w:tcPr>
            <w:tcW w:w="1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45"/>
        </w:trPr>
        <w:tc>
          <w:tcPr>
            <w:tcW w:w="224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Shares withheld related to net share</w:t>
            </w: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240" w:type="dxa"/>
            <w:vAlign w:val="bottom"/>
          </w:tcPr>
          <w:p>
            <w:pPr>
              <w:spacing w:after="0"/>
              <w:rPr>
                <w:sz w:val="20"/>
                <w:szCs w:val="20"/>
                <w:color w:val="auto"/>
              </w:rPr>
            </w:pPr>
            <w:r>
              <w:rPr>
                <w:rFonts w:ascii="Times New Roman" w:cs="Times New Roman" w:eastAsia="Times New Roman" w:hAnsi="Times New Roman"/>
                <w:sz w:val="15"/>
                <w:szCs w:val="15"/>
                <w:color w:val="auto"/>
              </w:rPr>
              <w:t>settlement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(646,041)</w:t>
            </w:r>
          </w:p>
        </w:tc>
        <w:tc>
          <w:tcPr>
            <w:tcW w:w="120" w:type="dxa"/>
            <w:vAlign w:val="bottom"/>
          </w:tcPr>
          <w:p>
            <w:pPr>
              <w:spacing w:after="0"/>
              <w:rPr>
                <w:sz w:val="15"/>
                <w:szCs w:val="15"/>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780" w:type="dxa"/>
            <w:vAlign w:val="bottom"/>
          </w:tcPr>
          <w:p>
            <w:pPr>
              <w:ind w:left="620"/>
              <w:spacing w:after="0"/>
              <w:rPr>
                <w:sz w:val="20"/>
                <w:szCs w:val="20"/>
                <w:color w:val="auto"/>
              </w:rPr>
            </w:pPr>
            <w:r>
              <w:rPr>
                <w:rFonts w:ascii="Times New Roman" w:cs="Times New Roman" w:eastAsia="Times New Roman" w:hAnsi="Times New Roman"/>
                <w:sz w:val="15"/>
                <w:szCs w:val="15"/>
                <w:color w:val="auto"/>
                <w:w w:val="93"/>
              </w:rPr>
              <w:t>—</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(5,805)</w:t>
            </w:r>
          </w:p>
        </w:tc>
        <w:tc>
          <w:tcPr>
            <w:tcW w:w="12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(5,806)</w:t>
            </w:r>
          </w:p>
        </w:tc>
        <w:tc>
          <w:tcPr>
            <w:tcW w:w="0" w:type="dxa"/>
            <w:vAlign w:val="bottom"/>
          </w:tcPr>
          <w:p>
            <w:pPr>
              <w:spacing w:after="0"/>
              <w:rPr>
                <w:sz w:val="1"/>
                <w:szCs w:val="1"/>
                <w:color w:val="auto"/>
              </w:rPr>
            </w:pPr>
          </w:p>
        </w:tc>
      </w:tr>
      <w:tr>
        <w:trPr>
          <w:trHeight w:val="145"/>
        </w:trPr>
        <w:tc>
          <w:tcPr>
            <w:tcW w:w="2240" w:type="dxa"/>
            <w:vAlign w:val="bottom"/>
            <w:shd w:val="clear" w:color="auto" w:fill="CFF0FC"/>
          </w:tcPr>
          <w:p>
            <w:pPr>
              <w:spacing w:after="0" w:line="145" w:lineRule="exact"/>
              <w:rPr>
                <w:sz w:val="20"/>
                <w:szCs w:val="20"/>
                <w:color w:val="auto"/>
              </w:rPr>
            </w:pPr>
            <w:r>
              <w:rPr>
                <w:rFonts w:ascii="Times New Roman" w:cs="Times New Roman" w:eastAsia="Times New Roman" w:hAnsi="Times New Roman"/>
                <w:sz w:val="15"/>
                <w:szCs w:val="15"/>
                <w:color w:val="auto"/>
              </w:rPr>
              <w:t>Effect of changes in LLC</w:t>
            </w:r>
          </w:p>
        </w:tc>
        <w:tc>
          <w:tcPr>
            <w:tcW w:w="1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ownership, including LLC unit</w:t>
            </w:r>
          </w:p>
        </w:tc>
        <w:tc>
          <w:tcPr>
            <w:tcW w:w="1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2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exchanges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51,308</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(51,308)</w:t>
            </w: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5"/>
                <w:szCs w:val="15"/>
                <w:color w:val="auto"/>
                <w:w w:val="93"/>
              </w:rPr>
              <w:t>—</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1,276</w:t>
            </w:r>
          </w:p>
        </w:tc>
        <w:tc>
          <w:tcPr>
            <w:tcW w:w="12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8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82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(1,892)</w:t>
            </w:r>
          </w:p>
        </w:tc>
        <w:tc>
          <w:tcPr>
            <w:tcW w:w="1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(616)</w:t>
            </w:r>
          </w:p>
        </w:tc>
        <w:tc>
          <w:tcPr>
            <w:tcW w:w="0" w:type="dxa"/>
            <w:vAlign w:val="bottom"/>
          </w:tcPr>
          <w:p>
            <w:pPr>
              <w:spacing w:after="0"/>
              <w:rPr>
                <w:sz w:val="1"/>
                <w:szCs w:val="1"/>
                <w:color w:val="auto"/>
              </w:rPr>
            </w:pPr>
          </w:p>
        </w:tc>
      </w:tr>
      <w:tr>
        <w:trPr>
          <w:trHeight w:val="162"/>
        </w:trPr>
        <w:tc>
          <w:tcPr>
            <w:tcW w:w="22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Forfeited unvested incentive units</w:t>
            </w:r>
          </w:p>
        </w:tc>
        <w:tc>
          <w:tcPr>
            <w:tcW w:w="126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(47,388)</w:t>
            </w:r>
          </w:p>
        </w:tc>
        <w:tc>
          <w:tcPr>
            <w:tcW w:w="140" w:type="dxa"/>
            <w:vAlign w:val="bottom"/>
          </w:tcPr>
          <w:p>
            <w:pPr>
              <w:spacing w:after="0"/>
              <w:rPr>
                <w:sz w:val="14"/>
                <w:szCs w:val="14"/>
                <w:color w:val="auto"/>
              </w:rPr>
            </w:pPr>
          </w:p>
        </w:tc>
        <w:tc>
          <w:tcPr>
            <w:tcW w:w="780" w:type="dxa"/>
            <w:vAlign w:val="bottom"/>
          </w:tcPr>
          <w:p>
            <w:pPr>
              <w:ind w:left="620"/>
              <w:spacing w:after="0" w:line="162" w:lineRule="exact"/>
              <w:rPr>
                <w:sz w:val="20"/>
                <w:szCs w:val="20"/>
                <w:color w:val="auto"/>
              </w:rPr>
            </w:pPr>
            <w:r>
              <w:rPr>
                <w:rFonts w:ascii="Times New Roman" w:cs="Times New Roman" w:eastAsia="Times New Roman" w:hAnsi="Times New Roman"/>
                <w:sz w:val="15"/>
                <w:szCs w:val="15"/>
                <w:color w:val="auto"/>
                <w:w w:val="93"/>
              </w:rPr>
              <w:t>—</w:t>
            </w:r>
          </w:p>
        </w:tc>
        <w:tc>
          <w:tcPr>
            <w:tcW w:w="120" w:type="dxa"/>
            <w:vAlign w:val="bottom"/>
          </w:tcPr>
          <w:p>
            <w:pPr>
              <w:spacing w:after="0"/>
              <w:rPr>
                <w:sz w:val="14"/>
                <w:szCs w:val="14"/>
                <w:color w:val="auto"/>
              </w:rPr>
            </w:pPr>
          </w:p>
        </w:tc>
        <w:tc>
          <w:tcPr>
            <w:tcW w:w="88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2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Equity-based compensation</w:t>
            </w:r>
          </w:p>
        </w:tc>
        <w:tc>
          <w:tcPr>
            <w:tcW w:w="126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ind w:left="620"/>
              <w:spacing w:after="0" w:line="162" w:lineRule="exact"/>
              <w:rPr>
                <w:sz w:val="20"/>
                <w:szCs w:val="20"/>
                <w:color w:val="auto"/>
              </w:rPr>
            </w:pPr>
            <w:r>
              <w:rPr>
                <w:rFonts w:ascii="Times New Roman" w:cs="Times New Roman" w:eastAsia="Times New Roman" w:hAnsi="Times New Roman"/>
                <w:sz w:val="15"/>
                <w:szCs w:val="15"/>
                <w:color w:val="auto"/>
                <w:w w:val="93"/>
              </w:rPr>
              <w:t>—</w:t>
            </w:r>
          </w:p>
        </w:tc>
        <w:tc>
          <w:tcPr>
            <w:tcW w:w="88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11,682</w:t>
            </w:r>
          </w:p>
        </w:tc>
        <w:tc>
          <w:tcPr>
            <w:tcW w:w="12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880" w:type="dxa"/>
            <w:vAlign w:val="bottom"/>
            <w:tcBorders>
              <w:right w:val="single" w:sz="8" w:color="CFF0FC"/>
            </w:tcBorders>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3,900</w:t>
            </w:r>
          </w:p>
        </w:tc>
        <w:tc>
          <w:tcPr>
            <w:tcW w:w="10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15,582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24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Balance at March 31, 2024</w:t>
            </w:r>
          </w:p>
        </w:tc>
        <w:tc>
          <w:tcPr>
            <w:tcW w:w="11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117,790,025</w:t>
            </w:r>
          </w:p>
        </w:tc>
        <w:tc>
          <w:tcPr>
            <w:tcW w:w="140" w:type="dxa"/>
            <w:vAlign w:val="bottom"/>
          </w:tcPr>
          <w:p>
            <w:pPr>
              <w:spacing w:after="0"/>
              <w:rPr>
                <w:sz w:val="13"/>
                <w:szCs w:val="13"/>
                <w:color w:val="auto"/>
              </w:rPr>
            </w:pPr>
          </w:p>
        </w:tc>
        <w:tc>
          <w:tcPr>
            <w:tcW w:w="120" w:type="dxa"/>
            <w:vAlign w:val="bottom"/>
            <w:tcBorders>
              <w:top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118</w:t>
            </w:r>
          </w:p>
        </w:tc>
        <w:tc>
          <w:tcPr>
            <w:tcW w:w="140" w:type="dxa"/>
            <w:vAlign w:val="bottom"/>
          </w:tcPr>
          <w:p>
            <w:pPr>
              <w:spacing w:after="0"/>
              <w:rPr>
                <w:sz w:val="13"/>
                <w:szCs w:val="13"/>
                <w:color w:val="auto"/>
              </w:rPr>
            </w:pPr>
          </w:p>
        </w:tc>
        <w:tc>
          <w:tcPr>
            <w:tcW w:w="9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39,664,004</w:t>
            </w:r>
          </w:p>
        </w:tc>
        <w:tc>
          <w:tcPr>
            <w:tcW w:w="120" w:type="dxa"/>
            <w:vAlign w:val="bottom"/>
          </w:tcPr>
          <w:p>
            <w:pPr>
              <w:spacing w:after="0"/>
              <w:rPr>
                <w:sz w:val="13"/>
                <w:szCs w:val="13"/>
                <w:color w:val="auto"/>
              </w:rPr>
            </w:pPr>
          </w:p>
        </w:tc>
        <w:tc>
          <w:tcPr>
            <w:tcW w:w="1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top w:val="single" w:sz="8" w:color="auto"/>
            </w:tcBorders>
          </w:tcPr>
          <w:p>
            <w:pPr>
              <w:ind w:left="620"/>
              <w:spacing w:after="0" w:line="156" w:lineRule="exact"/>
              <w:rPr>
                <w:sz w:val="20"/>
                <w:szCs w:val="20"/>
                <w:color w:val="auto"/>
              </w:rPr>
            </w:pPr>
            <w:r>
              <w:rPr>
                <w:rFonts w:ascii="Times New Roman" w:cs="Times New Roman" w:eastAsia="Times New Roman" w:hAnsi="Times New Roman"/>
                <w:sz w:val="15"/>
                <w:szCs w:val="15"/>
                <w:color w:val="auto"/>
                <w:w w:val="93"/>
              </w:rPr>
              <w:t>—</w:t>
            </w:r>
          </w:p>
        </w:tc>
        <w:tc>
          <w:tcPr>
            <w:tcW w:w="120" w:type="dxa"/>
            <w:vAlign w:val="bottom"/>
          </w:tcPr>
          <w:p>
            <w:pPr>
              <w:spacing w:after="0"/>
              <w:rPr>
                <w:sz w:val="13"/>
                <w:szCs w:val="13"/>
                <w:color w:val="auto"/>
              </w:rPr>
            </w:pPr>
          </w:p>
        </w:tc>
        <w:tc>
          <w:tcPr>
            <w:tcW w:w="7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$ 1,095,482</w:t>
            </w: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(236,968)</w:t>
            </w: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1,658</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334,741</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1,195,031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Net loss</w:t>
            </w:r>
          </w:p>
        </w:tc>
        <w:tc>
          <w:tcPr>
            <w:tcW w:w="126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ind w:left="620"/>
              <w:spacing w:after="0" w:line="162" w:lineRule="exact"/>
              <w:rPr>
                <w:sz w:val="20"/>
                <w:szCs w:val="20"/>
                <w:color w:val="auto"/>
              </w:rPr>
            </w:pPr>
            <w:r>
              <w:rPr>
                <w:rFonts w:ascii="Times New Roman" w:cs="Times New Roman" w:eastAsia="Times New Roman" w:hAnsi="Times New Roman"/>
                <w:sz w:val="15"/>
                <w:szCs w:val="15"/>
                <w:color w:val="auto"/>
                <w:w w:val="93"/>
              </w:rPr>
              <w:t>—</w:t>
            </w:r>
          </w:p>
        </w:tc>
        <w:tc>
          <w:tcPr>
            <w:tcW w:w="120" w:type="dxa"/>
            <w:vAlign w:val="bottom"/>
            <w:shd w:val="clear" w:color="auto" w:fill="CFF0FC"/>
          </w:tcPr>
          <w:p>
            <w:pPr>
              <w:spacing w:after="0"/>
              <w:rPr>
                <w:sz w:val="14"/>
                <w:szCs w:val="14"/>
                <w:color w:val="auto"/>
              </w:rPr>
            </w:pPr>
          </w:p>
        </w:tc>
        <w:tc>
          <w:tcPr>
            <w:tcW w:w="880" w:type="dxa"/>
            <w:vAlign w:val="bottom"/>
            <w:tcBorders>
              <w:right w:val="single" w:sz="8" w:color="CFF0FC"/>
            </w:tcBorders>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(213,635)</w:t>
            </w:r>
          </w:p>
        </w:tc>
        <w:tc>
          <w:tcPr>
            <w:tcW w:w="120" w:type="dxa"/>
            <w:vAlign w:val="bottom"/>
            <w:shd w:val="clear" w:color="auto" w:fill="CFF0FC"/>
          </w:tcPr>
          <w:p>
            <w:pPr>
              <w:spacing w:after="0"/>
              <w:rPr>
                <w:sz w:val="14"/>
                <w:szCs w:val="14"/>
                <w:color w:val="auto"/>
              </w:rPr>
            </w:pPr>
          </w:p>
        </w:tc>
        <w:tc>
          <w:tcPr>
            <w:tcW w:w="880" w:type="dxa"/>
            <w:vAlign w:val="bottom"/>
            <w:tcBorders>
              <w:right w:val="single" w:sz="8" w:color="CFF0FC"/>
            </w:tcBorders>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820" w:type="dxa"/>
            <w:vAlign w:val="bottom"/>
            <w:tcBorders>
              <w:right w:val="single" w:sz="8" w:color="CFF0FC"/>
            </w:tcBorders>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(92,552)</w:t>
            </w: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(306,187)</w:t>
            </w:r>
          </w:p>
        </w:tc>
        <w:tc>
          <w:tcPr>
            <w:tcW w:w="0" w:type="dxa"/>
            <w:vAlign w:val="bottom"/>
          </w:tcPr>
          <w:p>
            <w:pPr>
              <w:spacing w:after="0"/>
              <w:rPr>
                <w:sz w:val="1"/>
                <w:szCs w:val="1"/>
                <w:color w:val="auto"/>
              </w:rPr>
            </w:pPr>
          </w:p>
        </w:tc>
      </w:tr>
      <w:tr>
        <w:trPr>
          <w:trHeight w:val="162"/>
        </w:trPr>
        <w:tc>
          <w:tcPr>
            <w:tcW w:w="22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Other comprehensive loss</w:t>
            </w:r>
          </w:p>
        </w:tc>
        <w:tc>
          <w:tcPr>
            <w:tcW w:w="126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780" w:type="dxa"/>
            <w:vAlign w:val="bottom"/>
          </w:tcPr>
          <w:p>
            <w:pPr>
              <w:ind w:left="620"/>
              <w:spacing w:after="0" w:line="162" w:lineRule="exact"/>
              <w:rPr>
                <w:sz w:val="20"/>
                <w:szCs w:val="20"/>
                <w:color w:val="auto"/>
              </w:rPr>
            </w:pPr>
            <w:r>
              <w:rPr>
                <w:rFonts w:ascii="Times New Roman" w:cs="Times New Roman" w:eastAsia="Times New Roman" w:hAnsi="Times New Roman"/>
                <w:sz w:val="15"/>
                <w:szCs w:val="15"/>
                <w:color w:val="auto"/>
                <w:w w:val="93"/>
              </w:rPr>
              <w:t>—</w:t>
            </w:r>
          </w:p>
        </w:tc>
        <w:tc>
          <w:tcPr>
            <w:tcW w:w="120" w:type="dxa"/>
            <w:vAlign w:val="bottom"/>
          </w:tcPr>
          <w:p>
            <w:pPr>
              <w:spacing w:after="0"/>
              <w:rPr>
                <w:sz w:val="14"/>
                <w:szCs w:val="14"/>
                <w:color w:val="auto"/>
              </w:rPr>
            </w:pPr>
          </w:p>
        </w:tc>
        <w:tc>
          <w:tcPr>
            <w:tcW w:w="88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(601)</w:t>
            </w:r>
          </w:p>
        </w:tc>
        <w:tc>
          <w:tcPr>
            <w:tcW w:w="100" w:type="dxa"/>
            <w:vAlign w:val="bottom"/>
          </w:tcPr>
          <w:p>
            <w:pPr>
              <w:spacing w:after="0"/>
              <w:rPr>
                <w:sz w:val="14"/>
                <w:szCs w:val="14"/>
                <w:color w:val="auto"/>
              </w:rPr>
            </w:pPr>
          </w:p>
        </w:tc>
        <w:tc>
          <w:tcPr>
            <w:tcW w:w="8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(198)</w:t>
            </w:r>
          </w:p>
        </w:tc>
        <w:tc>
          <w:tcPr>
            <w:tcW w:w="140" w:type="dxa"/>
            <w:vAlign w:val="bottom"/>
          </w:tcPr>
          <w:p>
            <w:pPr>
              <w:spacing w:after="0"/>
              <w:rPr>
                <w:sz w:val="14"/>
                <w:szCs w:val="14"/>
                <w:color w:val="auto"/>
              </w:rPr>
            </w:pPr>
          </w:p>
        </w:tc>
        <w:tc>
          <w:tcPr>
            <w:tcW w:w="8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(799)</w:t>
            </w:r>
          </w:p>
        </w:tc>
        <w:tc>
          <w:tcPr>
            <w:tcW w:w="0" w:type="dxa"/>
            <w:vAlign w:val="bottom"/>
          </w:tcPr>
          <w:p>
            <w:pPr>
              <w:spacing w:after="0"/>
              <w:rPr>
                <w:sz w:val="1"/>
                <w:szCs w:val="1"/>
                <w:color w:val="auto"/>
              </w:rPr>
            </w:pPr>
          </w:p>
        </w:tc>
      </w:tr>
      <w:tr>
        <w:trPr>
          <w:trHeight w:val="162"/>
        </w:trPr>
        <w:tc>
          <w:tcPr>
            <w:tcW w:w="22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Vested incentive units</w:t>
            </w:r>
          </w:p>
        </w:tc>
        <w:tc>
          <w:tcPr>
            <w:tcW w:w="126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ind w:left="620"/>
              <w:spacing w:after="0" w:line="162" w:lineRule="exact"/>
              <w:rPr>
                <w:sz w:val="20"/>
                <w:szCs w:val="20"/>
                <w:color w:val="auto"/>
              </w:rPr>
            </w:pPr>
            <w:r>
              <w:rPr>
                <w:rFonts w:ascii="Times New Roman" w:cs="Times New Roman" w:eastAsia="Times New Roman" w:hAnsi="Times New Roman"/>
                <w:sz w:val="15"/>
                <w:szCs w:val="15"/>
                <w:color w:val="auto"/>
                <w:w w:val="93"/>
              </w:rPr>
              <w:t>—</w:t>
            </w:r>
          </w:p>
        </w:tc>
        <w:tc>
          <w:tcPr>
            <w:tcW w:w="1000" w:type="dxa"/>
            <w:vAlign w:val="bottom"/>
            <w:tcBorders>
              <w:right w:val="single" w:sz="8" w:color="CFF0FC"/>
            </w:tcBorders>
            <w:gridSpan w:val="3"/>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(91)</w:t>
            </w: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880" w:type="dxa"/>
            <w:vAlign w:val="bottom"/>
            <w:tcBorders>
              <w:right w:val="single" w:sz="8" w:color="CFF0FC"/>
            </w:tcBorders>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91</w:t>
            </w:r>
          </w:p>
        </w:tc>
        <w:tc>
          <w:tcPr>
            <w:tcW w:w="10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45"/>
        </w:trPr>
        <w:tc>
          <w:tcPr>
            <w:tcW w:w="224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Issuance of Class A Common Stock</w:t>
            </w: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240" w:type="dxa"/>
            <w:vAlign w:val="bottom"/>
          </w:tcPr>
          <w:p>
            <w:pPr>
              <w:spacing w:after="0"/>
              <w:rPr>
                <w:sz w:val="20"/>
                <w:szCs w:val="20"/>
                <w:color w:val="auto"/>
              </w:rPr>
            </w:pPr>
            <w:r>
              <w:rPr>
                <w:rFonts w:ascii="Times New Roman" w:cs="Times New Roman" w:eastAsia="Times New Roman" w:hAnsi="Times New Roman"/>
                <w:sz w:val="15"/>
                <w:szCs w:val="15"/>
                <w:color w:val="auto"/>
              </w:rPr>
              <w:t>upon vesting of RSUs</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513,252</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780" w:type="dxa"/>
            <w:vAlign w:val="bottom"/>
          </w:tcPr>
          <w:p>
            <w:pPr>
              <w:ind w:left="620"/>
              <w:spacing w:after="0"/>
              <w:rPr>
                <w:sz w:val="20"/>
                <w:szCs w:val="20"/>
                <w:color w:val="auto"/>
              </w:rPr>
            </w:pPr>
            <w:r>
              <w:rPr>
                <w:rFonts w:ascii="Times New Roman" w:cs="Times New Roman" w:eastAsia="Times New Roman" w:hAnsi="Times New Roman"/>
                <w:sz w:val="15"/>
                <w:szCs w:val="15"/>
                <w:color w:val="auto"/>
                <w:w w:val="93"/>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742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(742)</w:t>
            </w:r>
          </w:p>
        </w:tc>
        <w:tc>
          <w:tcPr>
            <w:tcW w:w="14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45"/>
        </w:trPr>
        <w:tc>
          <w:tcPr>
            <w:tcW w:w="2240" w:type="dxa"/>
            <w:vAlign w:val="bottom"/>
            <w:shd w:val="clear" w:color="auto" w:fill="CFF0FC"/>
          </w:tcPr>
          <w:p>
            <w:pPr>
              <w:spacing w:after="0" w:line="145" w:lineRule="exact"/>
              <w:rPr>
                <w:sz w:val="20"/>
                <w:szCs w:val="20"/>
                <w:color w:val="auto"/>
              </w:rPr>
            </w:pPr>
            <w:r>
              <w:rPr>
                <w:rFonts w:ascii="Times New Roman" w:cs="Times New Roman" w:eastAsia="Times New Roman" w:hAnsi="Times New Roman"/>
                <w:sz w:val="15"/>
                <w:szCs w:val="15"/>
                <w:color w:val="auto"/>
              </w:rPr>
              <w:t>Shares withheld related to net share</w:t>
            </w:r>
          </w:p>
        </w:tc>
        <w:tc>
          <w:tcPr>
            <w:tcW w:w="1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2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settlement</w:t>
            </w: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5"/>
                <w:szCs w:val="15"/>
                <w:color w:val="auto"/>
              </w:rPr>
              <w:t>(161,854)</w:t>
            </w:r>
          </w:p>
        </w:tc>
        <w:tc>
          <w:tcPr>
            <w:tcW w:w="1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5"/>
                <w:szCs w:val="15"/>
                <w:color w:val="auto"/>
                <w:w w:val="93"/>
              </w:rPr>
              <w:t>—</w:t>
            </w:r>
          </w:p>
        </w:tc>
        <w:tc>
          <w:tcPr>
            <w:tcW w:w="1000" w:type="dxa"/>
            <w:vAlign w:val="bottom"/>
            <w:tcBorders>
              <w:right w:val="single" w:sz="8" w:color="CFF0FC"/>
            </w:tcBorders>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(969)</w:t>
            </w:r>
          </w:p>
        </w:tc>
        <w:tc>
          <w:tcPr>
            <w:tcW w:w="12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8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8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(969)</w:t>
            </w:r>
          </w:p>
        </w:tc>
        <w:tc>
          <w:tcPr>
            <w:tcW w:w="0" w:type="dxa"/>
            <w:vAlign w:val="bottom"/>
          </w:tcPr>
          <w:p>
            <w:pPr>
              <w:spacing w:after="0"/>
              <w:rPr>
                <w:sz w:val="1"/>
                <w:szCs w:val="1"/>
                <w:color w:val="auto"/>
              </w:rPr>
            </w:pPr>
          </w:p>
        </w:tc>
      </w:tr>
      <w:tr>
        <w:trPr>
          <w:trHeight w:val="145"/>
        </w:trPr>
        <w:tc>
          <w:tcPr>
            <w:tcW w:w="224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Repurchases of Class A Common</w:t>
            </w: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240" w:type="dxa"/>
            <w:vAlign w:val="bottom"/>
          </w:tcPr>
          <w:p>
            <w:pPr>
              <w:spacing w:after="0"/>
              <w:rPr>
                <w:sz w:val="20"/>
                <w:szCs w:val="20"/>
                <w:color w:val="auto"/>
              </w:rPr>
            </w:pPr>
            <w:r>
              <w:rPr>
                <w:rFonts w:ascii="Times New Roman" w:cs="Times New Roman" w:eastAsia="Times New Roman" w:hAnsi="Times New Roman"/>
                <w:sz w:val="15"/>
                <w:szCs w:val="15"/>
                <w:color w:val="auto"/>
              </w:rPr>
              <w:t>Stock</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(1,258,565)</w:t>
            </w:r>
          </w:p>
        </w:tc>
        <w:tc>
          <w:tcPr>
            <w:tcW w:w="120" w:type="dxa"/>
            <w:vAlign w:val="bottom"/>
          </w:tcPr>
          <w:p>
            <w:pPr>
              <w:spacing w:after="0"/>
              <w:rPr>
                <w:sz w:val="15"/>
                <w:szCs w:val="15"/>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780" w:type="dxa"/>
            <w:vAlign w:val="bottom"/>
          </w:tcPr>
          <w:p>
            <w:pPr>
              <w:ind w:left="620"/>
              <w:spacing w:after="0"/>
              <w:rPr>
                <w:sz w:val="20"/>
                <w:szCs w:val="20"/>
                <w:color w:val="auto"/>
              </w:rPr>
            </w:pPr>
            <w:r>
              <w:rPr>
                <w:rFonts w:ascii="Times New Roman" w:cs="Times New Roman" w:eastAsia="Times New Roman" w:hAnsi="Times New Roman"/>
                <w:sz w:val="15"/>
                <w:szCs w:val="15"/>
                <w:color w:val="auto"/>
                <w:w w:val="93"/>
              </w:rPr>
              <w:t>—</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(9,667)</w:t>
            </w:r>
          </w:p>
        </w:tc>
        <w:tc>
          <w:tcPr>
            <w:tcW w:w="12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2,665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(7,003)</w:t>
            </w:r>
          </w:p>
        </w:tc>
        <w:tc>
          <w:tcPr>
            <w:tcW w:w="0" w:type="dxa"/>
            <w:vAlign w:val="bottom"/>
          </w:tcPr>
          <w:p>
            <w:pPr>
              <w:spacing w:after="0"/>
              <w:rPr>
                <w:sz w:val="1"/>
                <w:szCs w:val="1"/>
                <w:color w:val="auto"/>
              </w:rPr>
            </w:pPr>
          </w:p>
        </w:tc>
      </w:tr>
      <w:tr>
        <w:trPr>
          <w:trHeight w:val="145"/>
        </w:trPr>
        <w:tc>
          <w:tcPr>
            <w:tcW w:w="2240" w:type="dxa"/>
            <w:vAlign w:val="bottom"/>
            <w:shd w:val="clear" w:color="auto" w:fill="CFF0FC"/>
          </w:tcPr>
          <w:p>
            <w:pPr>
              <w:spacing w:after="0" w:line="145" w:lineRule="exact"/>
              <w:rPr>
                <w:sz w:val="20"/>
                <w:szCs w:val="20"/>
                <w:color w:val="auto"/>
              </w:rPr>
            </w:pPr>
            <w:r>
              <w:rPr>
                <w:rFonts w:ascii="Times New Roman" w:cs="Times New Roman" w:eastAsia="Times New Roman" w:hAnsi="Times New Roman"/>
                <w:sz w:val="15"/>
                <w:szCs w:val="15"/>
                <w:color w:val="auto"/>
              </w:rPr>
              <w:t>Effect of changes in LLC</w:t>
            </w:r>
          </w:p>
        </w:tc>
        <w:tc>
          <w:tcPr>
            <w:tcW w:w="1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ownership, including LLC unit</w:t>
            </w:r>
          </w:p>
        </w:tc>
        <w:tc>
          <w:tcPr>
            <w:tcW w:w="1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2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exchanges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170,481</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(170,481)</w:t>
            </w: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5"/>
                <w:szCs w:val="15"/>
                <w:color w:val="auto"/>
                <w:w w:val="93"/>
              </w:rPr>
              <w:t>—</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2,083</w:t>
            </w:r>
          </w:p>
        </w:tc>
        <w:tc>
          <w:tcPr>
            <w:tcW w:w="12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8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82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(1,997)</w:t>
            </w: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Forfeited unvested incentive units</w:t>
            </w:r>
          </w:p>
        </w:tc>
        <w:tc>
          <w:tcPr>
            <w:tcW w:w="126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(4,277)</w:t>
            </w:r>
          </w:p>
        </w:tc>
        <w:tc>
          <w:tcPr>
            <w:tcW w:w="140" w:type="dxa"/>
            <w:vAlign w:val="bottom"/>
          </w:tcPr>
          <w:p>
            <w:pPr>
              <w:spacing w:after="0"/>
              <w:rPr>
                <w:sz w:val="14"/>
                <w:szCs w:val="14"/>
                <w:color w:val="auto"/>
              </w:rPr>
            </w:pPr>
          </w:p>
        </w:tc>
        <w:tc>
          <w:tcPr>
            <w:tcW w:w="780" w:type="dxa"/>
            <w:vAlign w:val="bottom"/>
          </w:tcPr>
          <w:p>
            <w:pPr>
              <w:ind w:left="620"/>
              <w:spacing w:after="0" w:line="162" w:lineRule="exact"/>
              <w:rPr>
                <w:sz w:val="20"/>
                <w:szCs w:val="20"/>
                <w:color w:val="auto"/>
              </w:rPr>
            </w:pPr>
            <w:r>
              <w:rPr>
                <w:rFonts w:ascii="Times New Roman" w:cs="Times New Roman" w:eastAsia="Times New Roman" w:hAnsi="Times New Roman"/>
                <w:sz w:val="15"/>
                <w:szCs w:val="15"/>
                <w:color w:val="auto"/>
                <w:w w:val="93"/>
              </w:rPr>
              <w:t>—</w:t>
            </w:r>
          </w:p>
        </w:tc>
        <w:tc>
          <w:tcPr>
            <w:tcW w:w="120" w:type="dxa"/>
            <w:vAlign w:val="bottom"/>
          </w:tcPr>
          <w:p>
            <w:pPr>
              <w:spacing w:after="0"/>
              <w:rPr>
                <w:sz w:val="14"/>
                <w:szCs w:val="14"/>
                <w:color w:val="auto"/>
              </w:rPr>
            </w:pPr>
          </w:p>
        </w:tc>
        <w:tc>
          <w:tcPr>
            <w:tcW w:w="88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2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Equity-based compensation</w:t>
            </w:r>
          </w:p>
        </w:tc>
        <w:tc>
          <w:tcPr>
            <w:tcW w:w="126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ind w:left="620"/>
              <w:spacing w:after="0" w:line="162" w:lineRule="exact"/>
              <w:rPr>
                <w:sz w:val="20"/>
                <w:szCs w:val="20"/>
                <w:color w:val="auto"/>
              </w:rPr>
            </w:pPr>
            <w:r>
              <w:rPr>
                <w:rFonts w:ascii="Times New Roman" w:cs="Times New Roman" w:eastAsia="Times New Roman" w:hAnsi="Times New Roman"/>
                <w:sz w:val="15"/>
                <w:szCs w:val="15"/>
                <w:color w:val="auto"/>
                <w:w w:val="93"/>
              </w:rPr>
              <w:t>—</w:t>
            </w:r>
          </w:p>
        </w:tc>
        <w:tc>
          <w:tcPr>
            <w:tcW w:w="88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6,637</w:t>
            </w:r>
          </w:p>
        </w:tc>
        <w:tc>
          <w:tcPr>
            <w:tcW w:w="12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880" w:type="dxa"/>
            <w:vAlign w:val="bottom"/>
            <w:tcBorders>
              <w:right w:val="single" w:sz="8" w:color="CFF0FC"/>
            </w:tcBorders>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2,205</w:t>
            </w:r>
          </w:p>
        </w:tc>
        <w:tc>
          <w:tcPr>
            <w:tcW w:w="10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8,842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24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Distributions to noncontrolling</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vMerge w:val="restart"/>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ind w:left="620"/>
              <w:spacing w:after="0"/>
              <w:rPr>
                <w:sz w:val="20"/>
                <w:szCs w:val="20"/>
                <w:color w:val="auto"/>
              </w:rPr>
            </w:pPr>
            <w:r>
              <w:rPr>
                <w:rFonts w:ascii="Times New Roman" w:cs="Times New Roman" w:eastAsia="Times New Roman" w:hAnsi="Times New Roman"/>
                <w:sz w:val="15"/>
                <w:szCs w:val="15"/>
                <w:color w:val="auto"/>
                <w:w w:val="93"/>
              </w:rPr>
              <w:t>—</w:t>
            </w: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5"/>
                <w:szCs w:val="15"/>
                <w:color w:val="auto"/>
              </w:rPr>
              <w:t>(2,713)</w:t>
            </w:r>
          </w:p>
        </w:tc>
        <w:tc>
          <w:tcPr>
            <w:tcW w:w="140" w:type="dxa"/>
            <w:vAlign w:val="bottom"/>
          </w:tcPr>
          <w:p>
            <w:pPr>
              <w:spacing w:after="0"/>
              <w:rPr>
                <w:sz w:val="12"/>
                <w:szCs w:val="12"/>
                <w:color w:val="auto"/>
              </w:rPr>
            </w:pPr>
          </w:p>
        </w:tc>
        <w:tc>
          <w:tcPr>
            <w:tcW w:w="8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5"/>
                <w:szCs w:val="15"/>
                <w:color w:val="auto"/>
              </w:rPr>
              <w:t>(2,713)</w:t>
            </w:r>
          </w:p>
        </w:tc>
        <w:tc>
          <w:tcPr>
            <w:tcW w:w="0" w:type="dxa"/>
            <w:vAlign w:val="bottom"/>
          </w:tcPr>
          <w:p>
            <w:pPr>
              <w:spacing w:after="0"/>
              <w:rPr>
                <w:sz w:val="1"/>
                <w:szCs w:val="1"/>
                <w:color w:val="auto"/>
              </w:rPr>
            </w:pPr>
          </w:p>
        </w:tc>
      </w:tr>
      <w:tr>
        <w:trPr>
          <w:trHeight w:val="166"/>
        </w:trPr>
        <w:tc>
          <w:tcPr>
            <w:tcW w:w="2240" w:type="dxa"/>
            <w:vAlign w:val="bottom"/>
          </w:tcPr>
          <w:p>
            <w:pPr>
              <w:spacing w:after="0" w:line="166" w:lineRule="exact"/>
              <w:rPr>
                <w:sz w:val="20"/>
                <w:szCs w:val="20"/>
                <w:color w:val="auto"/>
              </w:rPr>
            </w:pPr>
            <w:r>
              <w:rPr>
                <w:rFonts w:ascii="Times New Roman" w:cs="Times New Roman" w:eastAsia="Times New Roman" w:hAnsi="Times New Roman"/>
                <w:sz w:val="15"/>
                <w:szCs w:val="15"/>
                <w:color w:val="auto"/>
              </w:rPr>
              <w:t>interests</w:t>
            </w:r>
          </w:p>
        </w:tc>
        <w:tc>
          <w:tcPr>
            <w:tcW w:w="112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24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Balance at June 30, 2024</w:t>
            </w:r>
          </w:p>
        </w:tc>
        <w:tc>
          <w:tcPr>
            <w:tcW w:w="11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117,053,339</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117</w:t>
            </w: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39,489,246</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shd w:val="clear" w:color="auto" w:fill="CFF0FC"/>
          </w:tcPr>
          <w:p>
            <w:pPr>
              <w:ind w:left="620"/>
              <w:spacing w:after="0" w:line="156" w:lineRule="exact"/>
              <w:rPr>
                <w:sz w:val="20"/>
                <w:szCs w:val="20"/>
                <w:color w:val="auto"/>
              </w:rPr>
            </w:pPr>
            <w:r>
              <w:rPr>
                <w:rFonts w:ascii="Times New Roman" w:cs="Times New Roman" w:eastAsia="Times New Roman" w:hAnsi="Times New Roman"/>
                <w:sz w:val="15"/>
                <w:szCs w:val="15"/>
                <w:color w:val="auto"/>
                <w:w w:val="93"/>
              </w:rPr>
              <w:t>—</w:t>
            </w:r>
          </w:p>
        </w:tc>
        <w:tc>
          <w:tcPr>
            <w:tcW w:w="88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$ 1,094,217</w:t>
            </w:r>
          </w:p>
        </w:tc>
        <w:tc>
          <w:tcPr>
            <w:tcW w:w="12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3"/>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(450,603) $</w:t>
            </w:r>
          </w:p>
        </w:tc>
        <w:tc>
          <w:tcPr>
            <w:tcW w:w="7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1,057</w:t>
            </w:r>
          </w:p>
        </w:tc>
        <w:tc>
          <w:tcPr>
            <w:tcW w:w="10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241,500</w:t>
            </w:r>
          </w:p>
        </w:tc>
        <w:tc>
          <w:tcPr>
            <w:tcW w:w="10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886,288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-24765</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-7620</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-24765</wp:posOffset>
            </wp:positionV>
            <wp:extent cx="774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-7620</wp:posOffset>
            </wp:positionV>
            <wp:extent cx="77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-24765</wp:posOffset>
            </wp:positionV>
            <wp:extent cx="774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-7620</wp:posOffset>
            </wp:positionV>
            <wp:extent cx="774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-24765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-7620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-24765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-7620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-24765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-24765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-7620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9" w:name="page10"/>
    <w:bookmarkEnd w:id="9"/>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40" w:type="dxa"/>
            <w:vAlign w:val="bottom"/>
          </w:tcPr>
          <w:p>
            <w:pPr>
              <w:spacing w:after="0"/>
              <w:rPr>
                <w:sz w:val="15"/>
                <w:szCs w:val="15"/>
                <w:color w:val="auto"/>
              </w:rPr>
            </w:pPr>
          </w:p>
        </w:tc>
        <w:tc>
          <w:tcPr>
            <w:tcW w:w="2480" w:type="dxa"/>
            <w:vAlign w:val="bottom"/>
            <w:tcBorders>
              <w:bottom w:val="single" w:sz="8" w:color="auto"/>
            </w:tcBorders>
            <w:gridSpan w:val="4"/>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694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55"/>
        </w:trPr>
        <w:tc>
          <w:tcPr>
            <w:tcW w:w="694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flows provided by (used in) operating activities:</w:t>
            </w:r>
          </w:p>
        </w:tc>
        <w:tc>
          <w:tcPr>
            <w:tcW w:w="8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62"/>
        </w:trPr>
        <w:tc>
          <w:tcPr>
            <w:tcW w:w="6940" w:type="dxa"/>
            <w:vAlign w:val="bottom"/>
          </w:tcPr>
          <w:p>
            <w:pPr>
              <w:ind w:left="240"/>
              <w:spacing w:after="0" w:line="162" w:lineRule="exact"/>
              <w:rPr>
                <w:sz w:val="20"/>
                <w:szCs w:val="20"/>
                <w:color w:val="auto"/>
              </w:rPr>
            </w:pPr>
            <w:r>
              <w:rPr>
                <w:rFonts w:ascii="Times New Roman" w:cs="Times New Roman" w:eastAsia="Times New Roman" w:hAnsi="Times New Roman"/>
                <w:sz w:val="15"/>
                <w:szCs w:val="15"/>
                <w:color w:val="auto"/>
              </w:rPr>
              <w:t>Net loss</w:t>
            </w:r>
          </w:p>
        </w:tc>
        <w:tc>
          <w:tcPr>
            <w:tcW w:w="840" w:type="dxa"/>
            <w:vAlign w:val="bottom"/>
          </w:tcPr>
          <w:p>
            <w:pPr>
              <w:jc w:val="right"/>
              <w:ind w:right="685"/>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w w:val="98"/>
              </w:rPr>
              <w:t>(164,358)</w:t>
            </w:r>
          </w:p>
        </w:tc>
        <w:tc>
          <w:tcPr>
            <w:tcW w:w="840" w:type="dxa"/>
            <w:vAlign w:val="bottom"/>
          </w:tcPr>
          <w:p>
            <w:pPr>
              <w:jc w:val="right"/>
              <w:ind w:right="68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(318,905)</w:t>
            </w:r>
          </w:p>
        </w:tc>
      </w:tr>
      <w:tr>
        <w:trPr>
          <w:trHeight w:val="162"/>
        </w:trPr>
        <w:tc>
          <w:tcPr>
            <w:tcW w:w="69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Adjustments to reconcile net loss to net cash provided by operating activities:</w:t>
            </w:r>
          </w:p>
        </w:tc>
        <w:tc>
          <w:tcPr>
            <w:tcW w:w="8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6940" w:type="dxa"/>
            <w:vAlign w:val="bottom"/>
          </w:tcPr>
          <w:p>
            <w:pPr>
              <w:ind w:left="440"/>
              <w:spacing w:after="0" w:line="162"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84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1,459</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1,157</w:t>
            </w:r>
          </w:p>
        </w:tc>
        <w:tc>
          <w:tcPr>
            <w:tcW w:w="120" w:type="dxa"/>
            <w:vAlign w:val="bottom"/>
          </w:tcPr>
          <w:p>
            <w:pPr>
              <w:spacing w:after="0"/>
              <w:rPr>
                <w:sz w:val="14"/>
                <w:szCs w:val="14"/>
                <w:color w:val="auto"/>
              </w:rPr>
            </w:pPr>
          </w:p>
        </w:tc>
      </w:tr>
      <w:tr>
        <w:trPr>
          <w:trHeight w:val="162"/>
        </w:trPr>
        <w:tc>
          <w:tcPr>
            <w:tcW w:w="6940" w:type="dxa"/>
            <w:vAlign w:val="bottom"/>
            <w:shd w:val="clear" w:color="auto" w:fill="CFF0FC"/>
          </w:tcPr>
          <w:p>
            <w:pPr>
              <w:ind w:left="440"/>
              <w:spacing w:after="0" w:line="162" w:lineRule="exact"/>
              <w:rPr>
                <w:sz w:val="20"/>
                <w:szCs w:val="20"/>
                <w:color w:val="auto"/>
              </w:rPr>
            </w:pPr>
            <w:r>
              <w:rPr>
                <w:rFonts w:ascii="Times New Roman" w:cs="Times New Roman" w:eastAsia="Times New Roman" w:hAnsi="Times New Roman"/>
                <w:sz w:val="15"/>
                <w:szCs w:val="15"/>
                <w:color w:val="auto"/>
              </w:rPr>
              <w:t>Amortization of intangible assets</w:t>
            </w:r>
          </w:p>
        </w:tc>
        <w:tc>
          <w:tcPr>
            <w:tcW w:w="84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26,696</w:t>
            </w: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24,315</w:t>
            </w:r>
          </w:p>
        </w:tc>
        <w:tc>
          <w:tcPr>
            <w:tcW w:w="120" w:type="dxa"/>
            <w:vAlign w:val="bottom"/>
            <w:shd w:val="clear" w:color="auto" w:fill="CFF0FC"/>
          </w:tcPr>
          <w:p>
            <w:pPr>
              <w:spacing w:after="0"/>
              <w:rPr>
                <w:sz w:val="14"/>
                <w:szCs w:val="14"/>
                <w:color w:val="auto"/>
              </w:rPr>
            </w:pPr>
          </w:p>
        </w:tc>
      </w:tr>
      <w:tr>
        <w:trPr>
          <w:trHeight w:val="162"/>
        </w:trPr>
        <w:tc>
          <w:tcPr>
            <w:tcW w:w="6940" w:type="dxa"/>
            <w:vAlign w:val="bottom"/>
          </w:tcPr>
          <w:p>
            <w:pPr>
              <w:ind w:left="440"/>
              <w:spacing w:after="0" w:line="162" w:lineRule="exact"/>
              <w:rPr>
                <w:sz w:val="20"/>
                <w:szCs w:val="20"/>
                <w:color w:val="auto"/>
              </w:rPr>
            </w:pPr>
            <w:r>
              <w:rPr>
                <w:rFonts w:ascii="Times New Roman" w:cs="Times New Roman" w:eastAsia="Times New Roman" w:hAnsi="Times New Roman"/>
                <w:sz w:val="15"/>
                <w:szCs w:val="15"/>
                <w:color w:val="auto"/>
              </w:rPr>
              <w:t>Amortization of deferred contract costs</w:t>
            </w:r>
          </w:p>
        </w:tc>
        <w:tc>
          <w:tcPr>
            <w:tcW w:w="84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7,935</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7,520</w:t>
            </w:r>
          </w:p>
        </w:tc>
        <w:tc>
          <w:tcPr>
            <w:tcW w:w="120" w:type="dxa"/>
            <w:vAlign w:val="bottom"/>
          </w:tcPr>
          <w:p>
            <w:pPr>
              <w:spacing w:after="0"/>
              <w:rPr>
                <w:sz w:val="14"/>
                <w:szCs w:val="14"/>
                <w:color w:val="auto"/>
              </w:rPr>
            </w:pPr>
          </w:p>
        </w:tc>
      </w:tr>
      <w:tr>
        <w:trPr>
          <w:trHeight w:val="162"/>
        </w:trPr>
        <w:tc>
          <w:tcPr>
            <w:tcW w:w="6940" w:type="dxa"/>
            <w:vAlign w:val="bottom"/>
            <w:shd w:val="clear" w:color="auto" w:fill="CFF0FC"/>
          </w:tcPr>
          <w:p>
            <w:pPr>
              <w:ind w:left="440"/>
              <w:spacing w:after="0" w:line="162" w:lineRule="exact"/>
              <w:rPr>
                <w:sz w:val="20"/>
                <w:szCs w:val="20"/>
                <w:color w:val="auto"/>
              </w:rPr>
            </w:pPr>
            <w:r>
              <w:rPr>
                <w:rFonts w:ascii="Times New Roman" w:cs="Times New Roman" w:eastAsia="Times New Roman" w:hAnsi="Times New Roman"/>
                <w:sz w:val="15"/>
                <w:szCs w:val="15"/>
                <w:color w:val="auto"/>
              </w:rPr>
              <w:t>Equity-based compensation</w:t>
            </w:r>
          </w:p>
        </w:tc>
        <w:tc>
          <w:tcPr>
            <w:tcW w:w="84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14,299</w:t>
            </w: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24,424</w:t>
            </w:r>
          </w:p>
        </w:tc>
        <w:tc>
          <w:tcPr>
            <w:tcW w:w="120" w:type="dxa"/>
            <w:vAlign w:val="bottom"/>
            <w:shd w:val="clear" w:color="auto" w:fill="CFF0FC"/>
          </w:tcPr>
          <w:p>
            <w:pPr>
              <w:spacing w:after="0"/>
              <w:rPr>
                <w:sz w:val="14"/>
                <w:szCs w:val="14"/>
                <w:color w:val="auto"/>
              </w:rPr>
            </w:pPr>
          </w:p>
        </w:tc>
      </w:tr>
      <w:tr>
        <w:trPr>
          <w:trHeight w:val="162"/>
        </w:trPr>
        <w:tc>
          <w:tcPr>
            <w:tcW w:w="6940" w:type="dxa"/>
            <w:vAlign w:val="bottom"/>
          </w:tcPr>
          <w:p>
            <w:pPr>
              <w:ind w:left="440"/>
              <w:spacing w:after="0" w:line="162" w:lineRule="exact"/>
              <w:rPr>
                <w:sz w:val="20"/>
                <w:szCs w:val="20"/>
                <w:color w:val="auto"/>
              </w:rPr>
            </w:pPr>
            <w:r>
              <w:rPr>
                <w:rFonts w:ascii="Times New Roman" w:cs="Times New Roman" w:eastAsia="Times New Roman" w:hAnsi="Times New Roman"/>
                <w:sz w:val="15"/>
                <w:szCs w:val="15"/>
                <w:color w:val="auto"/>
              </w:rPr>
              <w:t>Amortization of debt issuance costs</w:t>
            </w:r>
          </w:p>
        </w:tc>
        <w:tc>
          <w:tcPr>
            <w:tcW w:w="84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249</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351</w:t>
            </w:r>
          </w:p>
        </w:tc>
        <w:tc>
          <w:tcPr>
            <w:tcW w:w="120" w:type="dxa"/>
            <w:vAlign w:val="bottom"/>
          </w:tcPr>
          <w:p>
            <w:pPr>
              <w:spacing w:after="0"/>
              <w:rPr>
                <w:sz w:val="14"/>
                <w:szCs w:val="14"/>
                <w:color w:val="auto"/>
              </w:rPr>
            </w:pPr>
          </w:p>
        </w:tc>
      </w:tr>
      <w:tr>
        <w:trPr>
          <w:trHeight w:val="162"/>
        </w:trPr>
        <w:tc>
          <w:tcPr>
            <w:tcW w:w="6940" w:type="dxa"/>
            <w:vAlign w:val="bottom"/>
            <w:shd w:val="clear" w:color="auto" w:fill="CFF0FC"/>
          </w:tcPr>
          <w:p>
            <w:pPr>
              <w:ind w:left="440"/>
              <w:spacing w:after="0" w:line="162" w:lineRule="exact"/>
              <w:rPr>
                <w:sz w:val="20"/>
                <w:szCs w:val="20"/>
                <w:color w:val="auto"/>
              </w:rPr>
            </w:pPr>
            <w:r>
              <w:rPr>
                <w:rFonts w:ascii="Times New Roman" w:cs="Times New Roman" w:eastAsia="Times New Roman" w:hAnsi="Times New Roman"/>
                <w:sz w:val="15"/>
                <w:szCs w:val="15"/>
                <w:color w:val="auto"/>
              </w:rPr>
              <w:t>(Recovery of) provision for doubtful accounts receivable</w:t>
            </w:r>
          </w:p>
        </w:tc>
        <w:tc>
          <w:tcPr>
            <w:tcW w:w="8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(321)</w:t>
            </w:r>
          </w:p>
        </w:tc>
        <w:tc>
          <w:tcPr>
            <w:tcW w:w="84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528</w:t>
            </w:r>
          </w:p>
        </w:tc>
        <w:tc>
          <w:tcPr>
            <w:tcW w:w="120" w:type="dxa"/>
            <w:vAlign w:val="bottom"/>
            <w:shd w:val="clear" w:color="auto" w:fill="CFF0FC"/>
          </w:tcPr>
          <w:p>
            <w:pPr>
              <w:spacing w:after="0"/>
              <w:rPr>
                <w:sz w:val="14"/>
                <w:szCs w:val="14"/>
                <w:color w:val="auto"/>
              </w:rPr>
            </w:pPr>
          </w:p>
        </w:tc>
      </w:tr>
      <w:tr>
        <w:trPr>
          <w:trHeight w:val="162"/>
        </w:trPr>
        <w:tc>
          <w:tcPr>
            <w:tcW w:w="6940" w:type="dxa"/>
            <w:vAlign w:val="bottom"/>
          </w:tcPr>
          <w:p>
            <w:pPr>
              <w:ind w:left="440"/>
              <w:spacing w:after="0" w:line="162" w:lineRule="exact"/>
              <w:rPr>
                <w:sz w:val="20"/>
                <w:szCs w:val="20"/>
                <w:color w:val="auto"/>
              </w:rPr>
            </w:pPr>
            <w:r>
              <w:rPr>
                <w:rFonts w:ascii="Times New Roman" w:cs="Times New Roman" w:eastAsia="Times New Roman" w:hAnsi="Times New Roman"/>
                <w:sz w:val="15"/>
                <w:szCs w:val="15"/>
                <w:color w:val="auto"/>
              </w:rPr>
              <w:t>Loss on partial extinguishment of debt</w:t>
            </w:r>
          </w:p>
        </w:tc>
        <w:tc>
          <w:tcPr>
            <w:tcW w:w="84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507</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6940" w:type="dxa"/>
            <w:vAlign w:val="bottom"/>
            <w:shd w:val="clear" w:color="auto" w:fill="CFF0FC"/>
          </w:tcPr>
          <w:p>
            <w:pPr>
              <w:ind w:left="440"/>
              <w:spacing w:after="0" w:line="162" w:lineRule="exact"/>
              <w:rPr>
                <w:sz w:val="20"/>
                <w:szCs w:val="20"/>
                <w:color w:val="auto"/>
              </w:rPr>
            </w:pPr>
            <w:r>
              <w:rPr>
                <w:rFonts w:ascii="Times New Roman" w:cs="Times New Roman" w:eastAsia="Times New Roman" w:hAnsi="Times New Roman"/>
                <w:sz w:val="15"/>
                <w:szCs w:val="15"/>
                <w:color w:val="auto"/>
              </w:rPr>
              <w:t>Non-cash restructuring charges</w:t>
            </w:r>
          </w:p>
        </w:tc>
        <w:tc>
          <w:tcPr>
            <w:tcW w:w="84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192</w:t>
            </w: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1,047</w:t>
            </w:r>
          </w:p>
        </w:tc>
        <w:tc>
          <w:tcPr>
            <w:tcW w:w="120" w:type="dxa"/>
            <w:vAlign w:val="bottom"/>
            <w:shd w:val="clear" w:color="auto" w:fill="CFF0FC"/>
          </w:tcPr>
          <w:p>
            <w:pPr>
              <w:spacing w:after="0"/>
              <w:rPr>
                <w:sz w:val="14"/>
                <w:szCs w:val="14"/>
                <w:color w:val="auto"/>
              </w:rPr>
            </w:pPr>
          </w:p>
        </w:tc>
      </w:tr>
      <w:tr>
        <w:trPr>
          <w:trHeight w:val="162"/>
        </w:trPr>
        <w:tc>
          <w:tcPr>
            <w:tcW w:w="6940" w:type="dxa"/>
            <w:vAlign w:val="bottom"/>
          </w:tcPr>
          <w:p>
            <w:pPr>
              <w:ind w:left="440"/>
              <w:spacing w:after="0" w:line="162" w:lineRule="exact"/>
              <w:rPr>
                <w:sz w:val="20"/>
                <w:szCs w:val="20"/>
                <w:color w:val="auto"/>
              </w:rPr>
            </w:pPr>
            <w:r>
              <w:rPr>
                <w:rFonts w:ascii="Times New Roman" w:cs="Times New Roman" w:eastAsia="Times New Roman" w:hAnsi="Times New Roman"/>
                <w:sz w:val="15"/>
                <w:szCs w:val="15"/>
                <w:color w:val="auto"/>
              </w:rPr>
              <w:t>Goodwill impairment charges</w:t>
            </w:r>
          </w:p>
        </w:tc>
        <w:tc>
          <w:tcPr>
            <w:tcW w:w="84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176,531</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363,641</w:t>
            </w:r>
          </w:p>
        </w:tc>
        <w:tc>
          <w:tcPr>
            <w:tcW w:w="120" w:type="dxa"/>
            <w:vAlign w:val="bottom"/>
          </w:tcPr>
          <w:p>
            <w:pPr>
              <w:spacing w:after="0"/>
              <w:rPr>
                <w:sz w:val="14"/>
                <w:szCs w:val="14"/>
                <w:color w:val="auto"/>
              </w:rPr>
            </w:pPr>
          </w:p>
        </w:tc>
      </w:tr>
      <w:tr>
        <w:trPr>
          <w:trHeight w:val="162"/>
        </w:trPr>
        <w:tc>
          <w:tcPr>
            <w:tcW w:w="6940" w:type="dxa"/>
            <w:vAlign w:val="bottom"/>
            <w:shd w:val="clear" w:color="auto" w:fill="CFF0FC"/>
          </w:tcPr>
          <w:p>
            <w:pPr>
              <w:ind w:left="440"/>
              <w:spacing w:after="0" w:line="162" w:lineRule="exact"/>
              <w:rPr>
                <w:sz w:val="20"/>
                <w:szCs w:val="20"/>
                <w:color w:val="auto"/>
              </w:rPr>
            </w:pPr>
            <w:r>
              <w:rPr>
                <w:rFonts w:ascii="Times New Roman" w:cs="Times New Roman" w:eastAsia="Times New Roman" w:hAnsi="Times New Roman"/>
                <w:sz w:val="15"/>
                <w:szCs w:val="15"/>
                <w:color w:val="auto"/>
              </w:rPr>
              <w:t>Tax receivable agreement remeasurement</w:t>
            </w:r>
          </w:p>
        </w:tc>
        <w:tc>
          <w:tcPr>
            <w:tcW w:w="8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(17,763)</w:t>
            </w:r>
          </w:p>
        </w:tc>
        <w:tc>
          <w:tcPr>
            <w:tcW w:w="84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(43,968)</w:t>
            </w:r>
          </w:p>
        </w:tc>
      </w:tr>
      <w:tr>
        <w:trPr>
          <w:trHeight w:val="162"/>
        </w:trPr>
        <w:tc>
          <w:tcPr>
            <w:tcW w:w="6940" w:type="dxa"/>
            <w:vAlign w:val="bottom"/>
          </w:tcPr>
          <w:p>
            <w:pPr>
              <w:ind w:left="440"/>
              <w:spacing w:after="0" w:line="162" w:lineRule="exact"/>
              <w:rPr>
                <w:sz w:val="20"/>
                <w:szCs w:val="20"/>
                <w:color w:val="auto"/>
              </w:rPr>
            </w:pPr>
            <w:r>
              <w:rPr>
                <w:rFonts w:ascii="Times New Roman" w:cs="Times New Roman" w:eastAsia="Times New Roman" w:hAnsi="Times New Roman"/>
                <w:sz w:val="15"/>
                <w:szCs w:val="15"/>
                <w:color w:val="auto"/>
              </w:rPr>
              <w:t>Changes in fair value of contingent consideration</w:t>
            </w:r>
          </w:p>
        </w:tc>
        <w:tc>
          <w:tcPr>
            <w:tcW w:w="840" w:type="dxa"/>
            <w:vAlign w:val="bottom"/>
          </w:tcPr>
          <w:p>
            <w:pPr>
              <w:spacing w:after="0"/>
              <w:rPr>
                <w:sz w:val="14"/>
                <w:szCs w:val="14"/>
                <w:color w:val="auto"/>
              </w:rPr>
            </w:pPr>
          </w:p>
        </w:tc>
        <w:tc>
          <w:tcPr>
            <w:tcW w:w="80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(690)</w:t>
            </w:r>
          </w:p>
        </w:tc>
        <w:tc>
          <w:tcPr>
            <w:tcW w:w="84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270</w:t>
            </w:r>
          </w:p>
        </w:tc>
        <w:tc>
          <w:tcPr>
            <w:tcW w:w="120" w:type="dxa"/>
            <w:vAlign w:val="bottom"/>
          </w:tcPr>
          <w:p>
            <w:pPr>
              <w:spacing w:after="0"/>
              <w:rPr>
                <w:sz w:val="14"/>
                <w:szCs w:val="14"/>
                <w:color w:val="auto"/>
              </w:rPr>
            </w:pPr>
          </w:p>
        </w:tc>
      </w:tr>
      <w:tr>
        <w:trPr>
          <w:trHeight w:val="162"/>
        </w:trPr>
        <w:tc>
          <w:tcPr>
            <w:tcW w:w="6940" w:type="dxa"/>
            <w:vAlign w:val="bottom"/>
            <w:shd w:val="clear" w:color="auto" w:fill="CFF0FC"/>
          </w:tcPr>
          <w:p>
            <w:pPr>
              <w:ind w:left="440"/>
              <w:spacing w:after="0" w:line="162" w:lineRule="exact"/>
              <w:rPr>
                <w:sz w:val="20"/>
                <w:szCs w:val="20"/>
                <w:color w:val="auto"/>
              </w:rPr>
            </w:pPr>
            <w:r>
              <w:rPr>
                <w:rFonts w:ascii="Times New Roman" w:cs="Times New Roman" w:eastAsia="Times New Roman" w:hAnsi="Times New Roman"/>
                <w:sz w:val="15"/>
                <w:szCs w:val="15"/>
                <w:color w:val="auto"/>
              </w:rPr>
              <w:t>Deferred income taxes</w:t>
            </w:r>
          </w:p>
        </w:tc>
        <w:tc>
          <w:tcPr>
            <w:tcW w:w="8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(10,609)</w:t>
            </w:r>
          </w:p>
        </w:tc>
        <w:tc>
          <w:tcPr>
            <w:tcW w:w="84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(22,835)</w:t>
            </w:r>
          </w:p>
        </w:tc>
      </w:tr>
      <w:tr>
        <w:trPr>
          <w:trHeight w:val="162"/>
        </w:trPr>
        <w:tc>
          <w:tcPr>
            <w:tcW w:w="6940" w:type="dxa"/>
            <w:vAlign w:val="bottom"/>
          </w:tcPr>
          <w:p>
            <w:pPr>
              <w:ind w:left="240"/>
              <w:spacing w:after="0" w:line="162" w:lineRule="exact"/>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940" w:type="dxa"/>
            <w:vAlign w:val="bottom"/>
            <w:shd w:val="clear" w:color="auto" w:fill="CFF0FC"/>
          </w:tcPr>
          <w:p>
            <w:pPr>
              <w:ind w:left="440"/>
              <w:spacing w:after="0" w:line="162" w:lineRule="exact"/>
              <w:rPr>
                <w:sz w:val="20"/>
                <w:szCs w:val="20"/>
                <w:color w:val="auto"/>
              </w:rPr>
            </w:pPr>
            <w:r>
              <w:rPr>
                <w:rFonts w:ascii="Times New Roman" w:cs="Times New Roman" w:eastAsia="Times New Roman" w:hAnsi="Times New Roman"/>
                <w:sz w:val="15"/>
                <w:szCs w:val="15"/>
                <w:color w:val="auto"/>
              </w:rPr>
              <w:t>Accounts receivable</w:t>
            </w:r>
          </w:p>
        </w:tc>
        <w:tc>
          <w:tcPr>
            <w:tcW w:w="84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15,874</w:t>
            </w: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15,200</w:t>
            </w:r>
          </w:p>
        </w:tc>
        <w:tc>
          <w:tcPr>
            <w:tcW w:w="120" w:type="dxa"/>
            <w:vAlign w:val="bottom"/>
            <w:shd w:val="clear" w:color="auto" w:fill="CFF0FC"/>
          </w:tcPr>
          <w:p>
            <w:pPr>
              <w:spacing w:after="0"/>
              <w:rPr>
                <w:sz w:val="14"/>
                <w:szCs w:val="14"/>
                <w:color w:val="auto"/>
              </w:rPr>
            </w:pPr>
          </w:p>
        </w:tc>
      </w:tr>
      <w:tr>
        <w:trPr>
          <w:trHeight w:val="162"/>
        </w:trPr>
        <w:tc>
          <w:tcPr>
            <w:tcW w:w="6940" w:type="dxa"/>
            <w:vAlign w:val="bottom"/>
          </w:tcPr>
          <w:p>
            <w:pPr>
              <w:ind w:left="440"/>
              <w:spacing w:after="0" w:line="162" w:lineRule="exact"/>
              <w:rPr>
                <w:sz w:val="20"/>
                <w:szCs w:val="20"/>
                <w:color w:val="auto"/>
              </w:rPr>
            </w:pPr>
            <w:r>
              <w:rPr>
                <w:rFonts w:ascii="Times New Roman" w:cs="Times New Roman" w:eastAsia="Times New Roman" w:hAnsi="Times New Roman"/>
                <w:sz w:val="15"/>
                <w:szCs w:val="15"/>
                <w:color w:val="auto"/>
              </w:rPr>
              <w:t>Prepaid expenses and other assets</w:t>
            </w:r>
          </w:p>
        </w:tc>
        <w:tc>
          <w:tcPr>
            <w:tcW w:w="840" w:type="dxa"/>
            <w:vAlign w:val="bottom"/>
          </w:tcPr>
          <w:p>
            <w:pPr>
              <w:spacing w:after="0"/>
              <w:rPr>
                <w:sz w:val="14"/>
                <w:szCs w:val="14"/>
                <w:color w:val="auto"/>
              </w:rPr>
            </w:pPr>
          </w:p>
        </w:tc>
        <w:tc>
          <w:tcPr>
            <w:tcW w:w="80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(4,230)</w:t>
            </w:r>
          </w:p>
        </w:tc>
        <w:tc>
          <w:tcPr>
            <w:tcW w:w="840" w:type="dxa"/>
            <w:vAlign w:val="bottom"/>
          </w:tcPr>
          <w:p>
            <w:pPr>
              <w:spacing w:after="0"/>
              <w:rPr>
                <w:sz w:val="14"/>
                <w:szCs w:val="14"/>
                <w:color w:val="auto"/>
              </w:rPr>
            </w:pPr>
          </w:p>
        </w:tc>
        <w:tc>
          <w:tcPr>
            <w:tcW w:w="68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(4,258)</w:t>
            </w:r>
          </w:p>
        </w:tc>
      </w:tr>
      <w:tr>
        <w:trPr>
          <w:trHeight w:val="162"/>
        </w:trPr>
        <w:tc>
          <w:tcPr>
            <w:tcW w:w="6940" w:type="dxa"/>
            <w:vAlign w:val="bottom"/>
            <w:shd w:val="clear" w:color="auto" w:fill="CFF0FC"/>
          </w:tcPr>
          <w:p>
            <w:pPr>
              <w:ind w:left="440"/>
              <w:spacing w:after="0" w:line="162" w:lineRule="exact"/>
              <w:rPr>
                <w:sz w:val="20"/>
                <w:szCs w:val="20"/>
                <w:color w:val="auto"/>
              </w:rPr>
            </w:pPr>
            <w:r>
              <w:rPr>
                <w:rFonts w:ascii="Times New Roman" w:cs="Times New Roman" w:eastAsia="Times New Roman" w:hAnsi="Times New Roman"/>
                <w:sz w:val="15"/>
                <w:szCs w:val="15"/>
                <w:color w:val="auto"/>
              </w:rPr>
              <w:t>Deferred contract costs</w:t>
            </w:r>
          </w:p>
        </w:tc>
        <w:tc>
          <w:tcPr>
            <w:tcW w:w="8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(6,259)</w:t>
            </w:r>
          </w:p>
        </w:tc>
        <w:tc>
          <w:tcPr>
            <w:tcW w:w="84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(5,679)</w:t>
            </w:r>
          </w:p>
        </w:tc>
      </w:tr>
      <w:tr>
        <w:trPr>
          <w:trHeight w:val="162"/>
        </w:trPr>
        <w:tc>
          <w:tcPr>
            <w:tcW w:w="6940" w:type="dxa"/>
            <w:vAlign w:val="bottom"/>
          </w:tcPr>
          <w:p>
            <w:pPr>
              <w:ind w:left="440"/>
              <w:spacing w:after="0" w:line="162" w:lineRule="exact"/>
              <w:rPr>
                <w:sz w:val="20"/>
                <w:szCs w:val="20"/>
                <w:color w:val="auto"/>
              </w:rPr>
            </w:pPr>
            <w:r>
              <w:rPr>
                <w:rFonts w:ascii="Times New Roman" w:cs="Times New Roman" w:eastAsia="Times New Roman" w:hAnsi="Times New Roman"/>
                <w:sz w:val="15"/>
                <w:szCs w:val="15"/>
                <w:color w:val="auto"/>
              </w:rPr>
              <w:t>Contingent consideration</w:t>
            </w:r>
          </w:p>
        </w:tc>
        <w:tc>
          <w:tcPr>
            <w:tcW w:w="840" w:type="dxa"/>
            <w:vAlign w:val="bottom"/>
          </w:tcPr>
          <w:p>
            <w:pPr>
              <w:spacing w:after="0"/>
              <w:rPr>
                <w:sz w:val="14"/>
                <w:szCs w:val="14"/>
                <w:color w:val="auto"/>
              </w:rPr>
            </w:pPr>
          </w:p>
        </w:tc>
        <w:tc>
          <w:tcPr>
            <w:tcW w:w="80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spacing w:after="0"/>
              <w:rPr>
                <w:sz w:val="14"/>
                <w:szCs w:val="14"/>
                <w:color w:val="auto"/>
              </w:rPr>
            </w:pPr>
          </w:p>
        </w:tc>
        <w:tc>
          <w:tcPr>
            <w:tcW w:w="68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(602)</w:t>
            </w:r>
          </w:p>
        </w:tc>
      </w:tr>
      <w:tr>
        <w:trPr>
          <w:trHeight w:val="162"/>
        </w:trPr>
        <w:tc>
          <w:tcPr>
            <w:tcW w:w="6940" w:type="dxa"/>
            <w:vAlign w:val="bottom"/>
            <w:shd w:val="clear" w:color="auto" w:fill="CFF0FC"/>
          </w:tcPr>
          <w:p>
            <w:pPr>
              <w:ind w:left="440"/>
              <w:spacing w:after="0" w:line="162" w:lineRule="exact"/>
              <w:rPr>
                <w:sz w:val="20"/>
                <w:szCs w:val="20"/>
                <w:color w:val="auto"/>
              </w:rPr>
            </w:pPr>
            <w:r>
              <w:rPr>
                <w:rFonts w:ascii="Times New Roman" w:cs="Times New Roman" w:eastAsia="Times New Roman" w:hAnsi="Times New Roman"/>
                <w:sz w:val="15"/>
                <w:szCs w:val="15"/>
                <w:color w:val="auto"/>
              </w:rPr>
              <w:t>Accounts payable, accrued expenses, and other liabilities</w:t>
            </w:r>
          </w:p>
        </w:tc>
        <w:tc>
          <w:tcPr>
            <w:tcW w:w="8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(12,145)</w:t>
            </w:r>
          </w:p>
        </w:tc>
        <w:tc>
          <w:tcPr>
            <w:tcW w:w="84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(10,289)</w:t>
            </w:r>
          </w:p>
        </w:tc>
      </w:tr>
      <w:tr>
        <w:trPr>
          <w:trHeight w:val="162"/>
        </w:trPr>
        <w:tc>
          <w:tcPr>
            <w:tcW w:w="6940" w:type="dxa"/>
            <w:vAlign w:val="bottom"/>
          </w:tcPr>
          <w:p>
            <w:pPr>
              <w:ind w:left="440"/>
              <w:spacing w:after="0" w:line="162" w:lineRule="exact"/>
              <w:rPr>
                <w:sz w:val="20"/>
                <w:szCs w:val="20"/>
                <w:color w:val="auto"/>
              </w:rPr>
            </w:pPr>
            <w:r>
              <w:rPr>
                <w:rFonts w:ascii="Times New Roman" w:cs="Times New Roman" w:eastAsia="Times New Roman" w:hAnsi="Times New Roman"/>
                <w:sz w:val="15"/>
                <w:szCs w:val="15"/>
                <w:color w:val="auto"/>
              </w:rPr>
              <w:t>Deferred revenue</w:t>
            </w:r>
          </w:p>
        </w:tc>
        <w:tc>
          <w:tcPr>
            <w:tcW w:w="84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8,003</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(1,288)</w:t>
            </w:r>
          </w:p>
        </w:tc>
      </w:tr>
      <w:tr>
        <w:trPr>
          <w:trHeight w:val="156"/>
        </w:trPr>
        <w:tc>
          <w:tcPr>
            <w:tcW w:w="6940" w:type="dxa"/>
            <w:vAlign w:val="bottom"/>
            <w:tcBorders>
              <w:bottom w:val="single" w:sz="8" w:color="CFF0FC"/>
            </w:tcBorders>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Net cash provided by operating activities</w:t>
            </w:r>
          </w:p>
        </w:tc>
        <w:tc>
          <w:tcPr>
            <w:tcW w:w="840" w:type="dxa"/>
            <w:vAlign w:val="bottom"/>
            <w:tcBorders>
              <w:top w:val="single" w:sz="8" w:color="auto"/>
              <w:bottom w:val="single" w:sz="8" w:color="auto"/>
            </w:tcBorders>
            <w:shd w:val="clear" w:color="auto" w:fill="CFF0FC"/>
          </w:tcPr>
          <w:p>
            <w:pPr>
              <w:spacing w:after="0"/>
              <w:rPr>
                <w:sz w:val="13"/>
                <w:szCs w:val="13"/>
                <w:color w:val="auto"/>
              </w:rPr>
            </w:pPr>
          </w:p>
        </w:tc>
        <w:tc>
          <w:tcPr>
            <w:tcW w:w="56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35,370</w:t>
            </w:r>
          </w:p>
        </w:tc>
        <w:tc>
          <w:tcPr>
            <w:tcW w:w="24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top w:val="single" w:sz="8" w:color="auto"/>
              <w:bottom w:val="single" w:sz="8" w:color="auto"/>
            </w:tcBorders>
            <w:shd w:val="clear" w:color="auto" w:fill="CFF0FC"/>
          </w:tcPr>
          <w:p>
            <w:pPr>
              <w:spacing w:after="0"/>
              <w:rPr>
                <w:sz w:val="13"/>
                <w:szCs w:val="13"/>
                <w:color w:val="auto"/>
              </w:rPr>
            </w:pPr>
          </w:p>
        </w:tc>
        <w:tc>
          <w:tcPr>
            <w:tcW w:w="56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30,629</w:t>
            </w:r>
          </w:p>
        </w:tc>
        <w:tc>
          <w:tcPr>
            <w:tcW w:w="120" w:type="dxa"/>
            <w:vAlign w:val="bottom"/>
            <w:tcBorders>
              <w:bottom w:val="single" w:sz="8" w:color="CFF0FC"/>
            </w:tcBorders>
            <w:shd w:val="clear" w:color="auto" w:fill="CFF0FC"/>
          </w:tcPr>
          <w:p>
            <w:pPr>
              <w:spacing w:after="0"/>
              <w:rPr>
                <w:sz w:val="13"/>
                <w:szCs w:val="13"/>
                <w:color w:val="auto"/>
              </w:rPr>
            </w:pPr>
          </w:p>
        </w:tc>
      </w:tr>
      <w:tr>
        <w:trPr>
          <w:trHeight w:val="155"/>
        </w:trPr>
        <w:tc>
          <w:tcPr>
            <w:tcW w:w="694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flows (used in) provided by investing activities:</w:t>
            </w:r>
          </w:p>
        </w:tc>
        <w:tc>
          <w:tcPr>
            <w:tcW w:w="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6940" w:type="dxa"/>
            <w:vAlign w:val="bottom"/>
            <w:shd w:val="clear" w:color="auto" w:fill="CFF0FC"/>
          </w:tcPr>
          <w:p>
            <w:pPr>
              <w:ind w:left="240"/>
              <w:spacing w:after="0" w:line="162" w:lineRule="exact"/>
              <w:rPr>
                <w:sz w:val="20"/>
                <w:szCs w:val="20"/>
                <w:color w:val="auto"/>
              </w:rPr>
            </w:pPr>
            <w:r>
              <w:rPr>
                <w:rFonts w:ascii="Times New Roman" w:cs="Times New Roman" w:eastAsia="Times New Roman" w:hAnsi="Times New Roman"/>
                <w:sz w:val="15"/>
                <w:szCs w:val="15"/>
                <w:color w:val="auto"/>
              </w:rPr>
              <w:t>Purchases of property, equipment, and other assets</w:t>
            </w:r>
          </w:p>
        </w:tc>
        <w:tc>
          <w:tcPr>
            <w:tcW w:w="8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(9,999)</w:t>
            </w:r>
          </w:p>
        </w:tc>
        <w:tc>
          <w:tcPr>
            <w:tcW w:w="84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(676)</w:t>
            </w:r>
          </w:p>
        </w:tc>
      </w:tr>
      <w:tr>
        <w:trPr>
          <w:trHeight w:val="162"/>
        </w:trPr>
        <w:tc>
          <w:tcPr>
            <w:tcW w:w="6940" w:type="dxa"/>
            <w:vAlign w:val="bottom"/>
          </w:tcPr>
          <w:p>
            <w:pPr>
              <w:ind w:left="240"/>
              <w:spacing w:after="0" w:line="162" w:lineRule="exact"/>
              <w:rPr>
                <w:sz w:val="20"/>
                <w:szCs w:val="20"/>
                <w:color w:val="auto"/>
              </w:rPr>
            </w:pPr>
            <w:r>
              <w:rPr>
                <w:rFonts w:ascii="Times New Roman" w:cs="Times New Roman" w:eastAsia="Times New Roman" w:hAnsi="Times New Roman"/>
                <w:sz w:val="15"/>
                <w:szCs w:val="15"/>
                <w:color w:val="auto"/>
              </w:rPr>
              <w:t>Purchases of short-term investments</w:t>
            </w:r>
          </w:p>
        </w:tc>
        <w:tc>
          <w:tcPr>
            <w:tcW w:w="840" w:type="dxa"/>
            <w:vAlign w:val="bottom"/>
          </w:tcPr>
          <w:p>
            <w:pPr>
              <w:spacing w:after="0"/>
              <w:rPr>
                <w:sz w:val="14"/>
                <w:szCs w:val="14"/>
                <w:color w:val="auto"/>
              </w:rPr>
            </w:pPr>
          </w:p>
        </w:tc>
        <w:tc>
          <w:tcPr>
            <w:tcW w:w="80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(64,065)</w:t>
            </w:r>
          </w:p>
        </w:tc>
        <w:tc>
          <w:tcPr>
            <w:tcW w:w="840" w:type="dxa"/>
            <w:vAlign w:val="bottom"/>
          </w:tcPr>
          <w:p>
            <w:pPr>
              <w:spacing w:after="0"/>
              <w:rPr>
                <w:sz w:val="14"/>
                <w:szCs w:val="14"/>
                <w:color w:val="auto"/>
              </w:rPr>
            </w:pPr>
          </w:p>
        </w:tc>
        <w:tc>
          <w:tcPr>
            <w:tcW w:w="68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(123,946)</w:t>
            </w:r>
          </w:p>
        </w:tc>
      </w:tr>
      <w:tr>
        <w:trPr>
          <w:trHeight w:val="162"/>
        </w:trPr>
        <w:tc>
          <w:tcPr>
            <w:tcW w:w="6940" w:type="dxa"/>
            <w:vAlign w:val="bottom"/>
            <w:shd w:val="clear" w:color="auto" w:fill="CFF0FC"/>
          </w:tcPr>
          <w:p>
            <w:pPr>
              <w:ind w:left="240"/>
              <w:spacing w:after="0" w:line="162" w:lineRule="exact"/>
              <w:rPr>
                <w:sz w:val="20"/>
                <w:szCs w:val="20"/>
                <w:color w:val="auto"/>
              </w:rPr>
            </w:pPr>
            <w:r>
              <w:rPr>
                <w:rFonts w:ascii="Times New Roman" w:cs="Times New Roman" w:eastAsia="Times New Roman" w:hAnsi="Times New Roman"/>
                <w:sz w:val="15"/>
                <w:szCs w:val="15"/>
                <w:color w:val="auto"/>
              </w:rPr>
              <w:t>Maturities of short-term investments</w:t>
            </w:r>
          </w:p>
        </w:tc>
        <w:tc>
          <w:tcPr>
            <w:tcW w:w="84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147,447</w:t>
            </w: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129,052</w:t>
            </w:r>
          </w:p>
        </w:tc>
        <w:tc>
          <w:tcPr>
            <w:tcW w:w="120" w:type="dxa"/>
            <w:vAlign w:val="bottom"/>
            <w:shd w:val="clear" w:color="auto" w:fill="CFF0FC"/>
          </w:tcPr>
          <w:p>
            <w:pPr>
              <w:spacing w:after="0"/>
              <w:rPr>
                <w:sz w:val="14"/>
                <w:szCs w:val="14"/>
                <w:color w:val="auto"/>
              </w:rPr>
            </w:pPr>
          </w:p>
        </w:tc>
      </w:tr>
      <w:tr>
        <w:trPr>
          <w:trHeight w:val="162"/>
        </w:trPr>
        <w:tc>
          <w:tcPr>
            <w:tcW w:w="6940" w:type="dxa"/>
            <w:vAlign w:val="bottom"/>
          </w:tcPr>
          <w:p>
            <w:pPr>
              <w:ind w:left="240"/>
              <w:spacing w:after="0" w:line="162" w:lineRule="exact"/>
              <w:rPr>
                <w:sz w:val="20"/>
                <w:szCs w:val="20"/>
                <w:color w:val="auto"/>
              </w:rPr>
            </w:pPr>
            <w:r>
              <w:rPr>
                <w:rFonts w:ascii="Times New Roman" w:cs="Times New Roman" w:eastAsia="Times New Roman" w:hAnsi="Times New Roman"/>
                <w:sz w:val="15"/>
                <w:szCs w:val="15"/>
                <w:color w:val="auto"/>
              </w:rPr>
              <w:t>Cash paid for acquisitions, net of cash acquired</w:t>
            </w:r>
          </w:p>
        </w:tc>
        <w:tc>
          <w:tcPr>
            <w:tcW w:w="84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(13,530)</w:t>
            </w:r>
          </w:p>
        </w:tc>
      </w:tr>
      <w:tr>
        <w:trPr>
          <w:trHeight w:val="20"/>
        </w:trPr>
        <w:tc>
          <w:tcPr>
            <w:tcW w:w="69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5"/>
        </w:trPr>
        <w:tc>
          <w:tcPr>
            <w:tcW w:w="694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Net cash provided by (used in) investing activities</w:t>
            </w:r>
          </w:p>
        </w:tc>
        <w:tc>
          <w:tcPr>
            <w:tcW w:w="8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73,383</w:t>
            </w: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(9,100)</w:t>
            </w:r>
          </w:p>
        </w:tc>
      </w:tr>
      <w:tr>
        <w:trPr>
          <w:trHeight w:val="155"/>
        </w:trPr>
        <w:tc>
          <w:tcPr>
            <w:tcW w:w="6940" w:type="dxa"/>
            <w:vAlign w:val="bottom"/>
            <w:tcBorders>
              <w:top w:val="single" w:sz="8" w:color="CFF0FC"/>
            </w:tcBorders>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flows (used in) provided by financing activities:</w:t>
            </w:r>
          </w:p>
        </w:tc>
        <w:tc>
          <w:tcPr>
            <w:tcW w:w="8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r>
      <w:tr>
        <w:trPr>
          <w:trHeight w:val="162"/>
        </w:trPr>
        <w:tc>
          <w:tcPr>
            <w:tcW w:w="6940" w:type="dxa"/>
            <w:vAlign w:val="bottom"/>
            <w:shd w:val="clear" w:color="auto" w:fill="CFF0FC"/>
          </w:tcPr>
          <w:p>
            <w:pPr>
              <w:ind w:left="240"/>
              <w:spacing w:after="0" w:line="162" w:lineRule="exact"/>
              <w:rPr>
                <w:sz w:val="20"/>
                <w:szCs w:val="20"/>
                <w:color w:val="auto"/>
              </w:rPr>
            </w:pPr>
            <w:r>
              <w:rPr>
                <w:rFonts w:ascii="Times New Roman" w:cs="Times New Roman" w:eastAsia="Times New Roman" w:hAnsi="Times New Roman"/>
                <w:sz w:val="15"/>
                <w:szCs w:val="15"/>
                <w:color w:val="auto"/>
              </w:rPr>
              <w:t>Repayments of term loan</w:t>
            </w:r>
          </w:p>
        </w:tc>
        <w:tc>
          <w:tcPr>
            <w:tcW w:w="8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w w:val="98"/>
              </w:rPr>
              <w:t>(248,438)</w:t>
            </w:r>
          </w:p>
        </w:tc>
        <w:tc>
          <w:tcPr>
            <w:tcW w:w="84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(6,875)</w:t>
            </w:r>
          </w:p>
        </w:tc>
      </w:tr>
      <w:tr>
        <w:trPr>
          <w:trHeight w:val="162"/>
        </w:trPr>
        <w:tc>
          <w:tcPr>
            <w:tcW w:w="6940" w:type="dxa"/>
            <w:vAlign w:val="bottom"/>
          </w:tcPr>
          <w:p>
            <w:pPr>
              <w:ind w:left="240"/>
              <w:spacing w:after="0" w:line="162" w:lineRule="exact"/>
              <w:rPr>
                <w:sz w:val="20"/>
                <w:szCs w:val="20"/>
                <w:color w:val="auto"/>
              </w:rPr>
            </w:pPr>
            <w:r>
              <w:rPr>
                <w:rFonts w:ascii="Times New Roman" w:cs="Times New Roman" w:eastAsia="Times New Roman" w:hAnsi="Times New Roman"/>
                <w:sz w:val="15"/>
                <w:szCs w:val="15"/>
                <w:color w:val="auto"/>
              </w:rPr>
              <w:t>Proceeds from term loan</w:t>
            </w:r>
          </w:p>
        </w:tc>
        <w:tc>
          <w:tcPr>
            <w:tcW w:w="84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175,000</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6940" w:type="dxa"/>
            <w:vAlign w:val="bottom"/>
            <w:shd w:val="clear" w:color="auto" w:fill="CFF0FC"/>
          </w:tcPr>
          <w:p>
            <w:pPr>
              <w:ind w:left="240"/>
              <w:spacing w:after="0" w:line="162" w:lineRule="exact"/>
              <w:rPr>
                <w:sz w:val="20"/>
                <w:szCs w:val="20"/>
                <w:color w:val="auto"/>
              </w:rPr>
            </w:pPr>
            <w:r>
              <w:rPr>
                <w:rFonts w:ascii="Times New Roman" w:cs="Times New Roman" w:eastAsia="Times New Roman" w:hAnsi="Times New Roman"/>
                <w:sz w:val="15"/>
                <w:szCs w:val="15"/>
                <w:color w:val="auto"/>
              </w:rPr>
              <w:t>Payments of debt issuance costs</w:t>
            </w:r>
          </w:p>
        </w:tc>
        <w:tc>
          <w:tcPr>
            <w:tcW w:w="8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(1,660)</w:t>
            </w:r>
          </w:p>
        </w:tc>
        <w:tc>
          <w:tcPr>
            <w:tcW w:w="84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6940" w:type="dxa"/>
            <w:vAlign w:val="bottom"/>
          </w:tcPr>
          <w:p>
            <w:pPr>
              <w:ind w:left="240"/>
              <w:spacing w:after="0" w:line="162" w:lineRule="exact"/>
              <w:rPr>
                <w:sz w:val="20"/>
                <w:szCs w:val="20"/>
                <w:color w:val="auto"/>
              </w:rPr>
            </w:pPr>
            <w:r>
              <w:rPr>
                <w:rFonts w:ascii="Times New Roman" w:cs="Times New Roman" w:eastAsia="Times New Roman" w:hAnsi="Times New Roman"/>
                <w:sz w:val="15"/>
                <w:szCs w:val="15"/>
                <w:color w:val="auto"/>
              </w:rPr>
              <w:t>Taxes paid related to net share settlement of equity awards</w:t>
            </w:r>
          </w:p>
        </w:tc>
        <w:tc>
          <w:tcPr>
            <w:tcW w:w="840" w:type="dxa"/>
            <w:vAlign w:val="bottom"/>
          </w:tcPr>
          <w:p>
            <w:pPr>
              <w:spacing w:after="0"/>
              <w:rPr>
                <w:sz w:val="14"/>
                <w:szCs w:val="14"/>
                <w:color w:val="auto"/>
              </w:rPr>
            </w:pPr>
          </w:p>
        </w:tc>
        <w:tc>
          <w:tcPr>
            <w:tcW w:w="80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(2,483)</w:t>
            </w:r>
          </w:p>
        </w:tc>
        <w:tc>
          <w:tcPr>
            <w:tcW w:w="840" w:type="dxa"/>
            <w:vAlign w:val="bottom"/>
          </w:tcPr>
          <w:p>
            <w:pPr>
              <w:spacing w:after="0"/>
              <w:rPr>
                <w:sz w:val="14"/>
                <w:szCs w:val="14"/>
                <w:color w:val="auto"/>
              </w:rPr>
            </w:pPr>
          </w:p>
        </w:tc>
        <w:tc>
          <w:tcPr>
            <w:tcW w:w="68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(6,775)</w:t>
            </w:r>
          </w:p>
        </w:tc>
      </w:tr>
      <w:tr>
        <w:trPr>
          <w:trHeight w:val="162"/>
        </w:trPr>
        <w:tc>
          <w:tcPr>
            <w:tcW w:w="6940" w:type="dxa"/>
            <w:vAlign w:val="bottom"/>
            <w:shd w:val="clear" w:color="auto" w:fill="CFF0FC"/>
          </w:tcPr>
          <w:p>
            <w:pPr>
              <w:ind w:left="240"/>
              <w:spacing w:after="0" w:line="162" w:lineRule="exact"/>
              <w:rPr>
                <w:sz w:val="20"/>
                <w:szCs w:val="20"/>
                <w:color w:val="auto"/>
              </w:rPr>
            </w:pPr>
            <w:r>
              <w:rPr>
                <w:rFonts w:ascii="Times New Roman" w:cs="Times New Roman" w:eastAsia="Times New Roman" w:hAnsi="Times New Roman"/>
                <w:sz w:val="15"/>
                <w:szCs w:val="15"/>
                <w:color w:val="auto"/>
              </w:rPr>
              <w:t>Repurchases of Class A Common Stock</w:t>
            </w:r>
          </w:p>
        </w:tc>
        <w:tc>
          <w:tcPr>
            <w:tcW w:w="8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(40,231)</w:t>
            </w:r>
          </w:p>
        </w:tc>
        <w:tc>
          <w:tcPr>
            <w:tcW w:w="84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(7,003)</w:t>
            </w:r>
          </w:p>
        </w:tc>
      </w:tr>
      <w:tr>
        <w:trPr>
          <w:trHeight w:val="162"/>
        </w:trPr>
        <w:tc>
          <w:tcPr>
            <w:tcW w:w="6940" w:type="dxa"/>
            <w:vAlign w:val="bottom"/>
          </w:tcPr>
          <w:p>
            <w:pPr>
              <w:ind w:left="240"/>
              <w:spacing w:after="0" w:line="162" w:lineRule="exact"/>
              <w:rPr>
                <w:sz w:val="20"/>
                <w:szCs w:val="20"/>
                <w:color w:val="auto"/>
              </w:rPr>
            </w:pPr>
            <w:r>
              <w:rPr>
                <w:rFonts w:ascii="Times New Roman" w:cs="Times New Roman" w:eastAsia="Times New Roman" w:hAnsi="Times New Roman"/>
                <w:sz w:val="15"/>
                <w:szCs w:val="15"/>
                <w:color w:val="auto"/>
              </w:rPr>
              <w:t>Payments of contingent consideration</w:t>
            </w:r>
          </w:p>
        </w:tc>
        <w:tc>
          <w:tcPr>
            <w:tcW w:w="840" w:type="dxa"/>
            <w:vAlign w:val="bottom"/>
          </w:tcPr>
          <w:p>
            <w:pPr>
              <w:spacing w:after="0"/>
              <w:rPr>
                <w:sz w:val="14"/>
                <w:szCs w:val="14"/>
                <w:color w:val="auto"/>
              </w:rPr>
            </w:pPr>
          </w:p>
        </w:tc>
        <w:tc>
          <w:tcPr>
            <w:tcW w:w="80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spacing w:after="0"/>
              <w:rPr>
                <w:sz w:val="14"/>
                <w:szCs w:val="14"/>
                <w:color w:val="auto"/>
              </w:rPr>
            </w:pPr>
          </w:p>
        </w:tc>
        <w:tc>
          <w:tcPr>
            <w:tcW w:w="68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(1,000)</w:t>
            </w:r>
          </w:p>
        </w:tc>
      </w:tr>
      <w:tr>
        <w:trPr>
          <w:trHeight w:val="162"/>
        </w:trPr>
        <w:tc>
          <w:tcPr>
            <w:tcW w:w="6940" w:type="dxa"/>
            <w:vAlign w:val="bottom"/>
            <w:shd w:val="clear" w:color="auto" w:fill="CFF0FC"/>
          </w:tcPr>
          <w:p>
            <w:pPr>
              <w:ind w:left="240"/>
              <w:spacing w:after="0" w:line="162" w:lineRule="exact"/>
              <w:rPr>
                <w:sz w:val="20"/>
                <w:szCs w:val="20"/>
                <w:color w:val="auto"/>
              </w:rPr>
            </w:pPr>
            <w:r>
              <w:rPr>
                <w:rFonts w:ascii="Times New Roman" w:cs="Times New Roman" w:eastAsia="Times New Roman" w:hAnsi="Times New Roman"/>
                <w:sz w:val="15"/>
                <w:szCs w:val="15"/>
                <w:color w:val="auto"/>
              </w:rPr>
              <w:t>Payments under tax receivable agreement</w:t>
            </w:r>
          </w:p>
        </w:tc>
        <w:tc>
          <w:tcPr>
            <w:tcW w:w="8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(13,767)</w:t>
            </w:r>
          </w:p>
        </w:tc>
        <w:tc>
          <w:tcPr>
            <w:tcW w:w="84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(6,950)</w:t>
            </w:r>
          </w:p>
        </w:tc>
      </w:tr>
      <w:tr>
        <w:trPr>
          <w:trHeight w:val="162"/>
        </w:trPr>
        <w:tc>
          <w:tcPr>
            <w:tcW w:w="6940" w:type="dxa"/>
            <w:vAlign w:val="bottom"/>
          </w:tcPr>
          <w:p>
            <w:pPr>
              <w:ind w:left="240"/>
              <w:spacing w:after="0" w:line="162" w:lineRule="exact"/>
              <w:rPr>
                <w:sz w:val="20"/>
                <w:szCs w:val="20"/>
                <w:color w:val="auto"/>
              </w:rPr>
            </w:pPr>
            <w:r>
              <w:rPr>
                <w:rFonts w:ascii="Times New Roman" w:cs="Times New Roman" w:eastAsia="Times New Roman" w:hAnsi="Times New Roman"/>
                <w:sz w:val="15"/>
                <w:szCs w:val="15"/>
                <w:color w:val="auto"/>
              </w:rPr>
              <w:t>Member distributions</w:t>
            </w:r>
          </w:p>
        </w:tc>
        <w:tc>
          <w:tcPr>
            <w:tcW w:w="840" w:type="dxa"/>
            <w:vAlign w:val="bottom"/>
          </w:tcPr>
          <w:p>
            <w:pPr>
              <w:spacing w:after="0"/>
              <w:rPr>
                <w:sz w:val="14"/>
                <w:szCs w:val="14"/>
                <w:color w:val="auto"/>
              </w:rPr>
            </w:pPr>
          </w:p>
        </w:tc>
        <w:tc>
          <w:tcPr>
            <w:tcW w:w="80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(2,827)</w:t>
            </w:r>
          </w:p>
        </w:tc>
        <w:tc>
          <w:tcPr>
            <w:tcW w:w="840" w:type="dxa"/>
            <w:vAlign w:val="bottom"/>
          </w:tcPr>
          <w:p>
            <w:pPr>
              <w:spacing w:after="0"/>
              <w:rPr>
                <w:sz w:val="14"/>
                <w:szCs w:val="14"/>
                <w:color w:val="auto"/>
              </w:rPr>
            </w:pPr>
          </w:p>
        </w:tc>
        <w:tc>
          <w:tcPr>
            <w:tcW w:w="68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(2,713)</w:t>
            </w:r>
          </w:p>
        </w:tc>
      </w:tr>
      <w:tr>
        <w:trPr>
          <w:trHeight w:val="20"/>
        </w:trPr>
        <w:tc>
          <w:tcPr>
            <w:tcW w:w="69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6"/>
        </w:trPr>
        <w:tc>
          <w:tcPr>
            <w:tcW w:w="694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Net cash used in financing activities</w:t>
            </w:r>
          </w:p>
        </w:tc>
        <w:tc>
          <w:tcPr>
            <w:tcW w:w="84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00"/>
              <w:spacing w:after="0" w:line="156" w:lineRule="exact"/>
              <w:rPr>
                <w:sz w:val="20"/>
                <w:szCs w:val="20"/>
                <w:color w:val="auto"/>
              </w:rPr>
            </w:pPr>
            <w:r>
              <w:rPr>
                <w:rFonts w:ascii="Times New Roman" w:cs="Times New Roman" w:eastAsia="Times New Roman" w:hAnsi="Times New Roman"/>
                <w:sz w:val="15"/>
                <w:szCs w:val="15"/>
                <w:color w:val="auto"/>
                <w:w w:val="98"/>
              </w:rPr>
              <w:t>(134,406)</w:t>
            </w:r>
          </w:p>
        </w:tc>
        <w:tc>
          <w:tcPr>
            <w:tcW w:w="84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(31,316)</w:t>
            </w:r>
          </w:p>
        </w:tc>
      </w:tr>
      <w:tr>
        <w:trPr>
          <w:trHeight w:val="20"/>
        </w:trPr>
        <w:tc>
          <w:tcPr>
            <w:tcW w:w="694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55"/>
        </w:trPr>
        <w:tc>
          <w:tcPr>
            <w:tcW w:w="694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Net decrease in cash and cash equivalents</w:t>
            </w:r>
          </w:p>
        </w:tc>
        <w:tc>
          <w:tcPr>
            <w:tcW w:w="840" w:type="dxa"/>
            <w:vAlign w:val="bottom"/>
          </w:tcPr>
          <w:p>
            <w:pPr>
              <w:spacing w:after="0"/>
              <w:rPr>
                <w:sz w:val="13"/>
                <w:szCs w:val="13"/>
                <w:color w:val="auto"/>
              </w:rPr>
            </w:pPr>
          </w:p>
        </w:tc>
        <w:tc>
          <w:tcPr>
            <w:tcW w:w="80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5"/>
                <w:szCs w:val="15"/>
                <w:color w:val="auto"/>
              </w:rPr>
              <w:t>(25,653)</w:t>
            </w:r>
          </w:p>
        </w:tc>
        <w:tc>
          <w:tcPr>
            <w:tcW w:w="840" w:type="dxa"/>
            <w:vAlign w:val="bottom"/>
          </w:tcPr>
          <w:p>
            <w:pPr>
              <w:spacing w:after="0"/>
              <w:rPr>
                <w:sz w:val="13"/>
                <w:szCs w:val="13"/>
                <w:color w:val="auto"/>
              </w:rPr>
            </w:pPr>
          </w:p>
        </w:tc>
        <w:tc>
          <w:tcPr>
            <w:tcW w:w="680" w:type="dxa"/>
            <w:vAlign w:val="bottom"/>
            <w:gridSpan w:val="2"/>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(9,787)</w:t>
            </w:r>
          </w:p>
        </w:tc>
      </w:tr>
      <w:tr>
        <w:trPr>
          <w:trHeight w:val="162"/>
        </w:trPr>
        <w:tc>
          <w:tcPr>
            <w:tcW w:w="6940" w:type="dxa"/>
            <w:vAlign w:val="bottom"/>
            <w:shd w:val="clear" w:color="auto" w:fill="CFF0FC"/>
          </w:tcPr>
          <w:p>
            <w:pPr>
              <w:ind w:left="240"/>
              <w:spacing w:after="0" w:line="162" w:lineRule="exact"/>
              <w:rPr>
                <w:sz w:val="20"/>
                <w:szCs w:val="20"/>
                <w:color w:val="auto"/>
              </w:rPr>
            </w:pPr>
            <w:r>
              <w:rPr>
                <w:rFonts w:ascii="Times New Roman" w:cs="Times New Roman" w:eastAsia="Times New Roman" w:hAnsi="Times New Roman"/>
                <w:sz w:val="15"/>
                <w:szCs w:val="15"/>
                <w:color w:val="auto"/>
              </w:rPr>
              <w:t>Effect of exchange rate changes on cash and cash equivalents</w:t>
            </w:r>
          </w:p>
        </w:tc>
        <w:tc>
          <w:tcPr>
            <w:tcW w:w="84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1,259</w:t>
            </w: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(288)</w:t>
            </w:r>
          </w:p>
        </w:tc>
      </w:tr>
      <w:tr>
        <w:trPr>
          <w:trHeight w:val="162"/>
        </w:trPr>
        <w:tc>
          <w:tcPr>
            <w:tcW w:w="6940" w:type="dxa"/>
            <w:vAlign w:val="bottom"/>
          </w:tcPr>
          <w:p>
            <w:pPr>
              <w:ind w:left="240"/>
              <w:spacing w:after="0" w:line="162" w:lineRule="exact"/>
              <w:rPr>
                <w:sz w:val="20"/>
                <w:szCs w:val="20"/>
                <w:color w:val="auto"/>
              </w:rPr>
            </w:pPr>
            <w:r>
              <w:rPr>
                <w:rFonts w:ascii="Times New Roman" w:cs="Times New Roman" w:eastAsia="Times New Roman" w:hAnsi="Times New Roman"/>
                <w:sz w:val="15"/>
                <w:szCs w:val="15"/>
                <w:color w:val="auto"/>
              </w:rPr>
              <w:t>Cash and cash equivalents, beginning of period</w:t>
            </w:r>
          </w:p>
        </w:tc>
        <w:tc>
          <w:tcPr>
            <w:tcW w:w="8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105,378</w:t>
            </w:r>
          </w:p>
        </w:tc>
        <w:tc>
          <w:tcPr>
            <w:tcW w:w="2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130,976</w:t>
            </w:r>
          </w:p>
        </w:tc>
        <w:tc>
          <w:tcPr>
            <w:tcW w:w="120" w:type="dxa"/>
            <w:vAlign w:val="bottom"/>
          </w:tcPr>
          <w:p>
            <w:pPr>
              <w:spacing w:after="0"/>
              <w:rPr>
                <w:sz w:val="14"/>
                <w:szCs w:val="14"/>
                <w:color w:val="auto"/>
              </w:rPr>
            </w:pPr>
          </w:p>
        </w:tc>
      </w:tr>
      <w:tr>
        <w:trPr>
          <w:trHeight w:val="195"/>
        </w:trPr>
        <w:tc>
          <w:tcPr>
            <w:tcW w:w="6940" w:type="dxa"/>
            <w:vAlign w:val="bottom"/>
            <w:tcBorders>
              <w:bottom w:val="single" w:sz="8" w:color="CFF0FC"/>
            </w:tcBorders>
            <w:shd w:val="clear" w:color="auto" w:fill="CFF0FC"/>
          </w:tcPr>
          <w:p>
            <w:pPr>
              <w:ind w:left="240"/>
              <w:spacing w:after="0" w:line="156" w:lineRule="exact"/>
              <w:rPr>
                <w:sz w:val="20"/>
                <w:szCs w:val="20"/>
                <w:color w:val="auto"/>
              </w:rPr>
            </w:pPr>
            <w:r>
              <w:rPr>
                <w:rFonts w:ascii="Times New Roman" w:cs="Times New Roman" w:eastAsia="Times New Roman" w:hAnsi="Times New Roman"/>
                <w:sz w:val="15"/>
                <w:szCs w:val="15"/>
                <w:color w:val="auto"/>
              </w:rPr>
              <w:t>Cash and cash equivalents, end of period</w:t>
            </w:r>
          </w:p>
        </w:tc>
        <w:tc>
          <w:tcPr>
            <w:tcW w:w="840" w:type="dxa"/>
            <w:vAlign w:val="bottom"/>
            <w:tcBorders>
              <w:bottom w:val="single" w:sz="8" w:color="auto"/>
            </w:tcBorders>
            <w:shd w:val="clear" w:color="auto" w:fill="CFF0FC"/>
          </w:tcPr>
          <w:p>
            <w:pPr>
              <w:jc w:val="right"/>
              <w:ind w:right="685"/>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80,984</w:t>
            </w:r>
          </w:p>
        </w:tc>
        <w:tc>
          <w:tcPr>
            <w:tcW w:w="24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68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120,901</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43"/>
        </w:trPr>
        <w:tc>
          <w:tcPr>
            <w:tcW w:w="6940" w:type="dxa"/>
            <w:vAlign w:val="bottom"/>
          </w:tcPr>
          <w:p>
            <w:pPr>
              <w:spacing w:after="0" w:line="143" w:lineRule="exact"/>
              <w:rPr>
                <w:sz w:val="20"/>
                <w:szCs w:val="20"/>
                <w:color w:val="auto"/>
              </w:rPr>
            </w:pPr>
            <w:r>
              <w:rPr>
                <w:rFonts w:ascii="Times New Roman" w:cs="Times New Roman" w:eastAsia="Times New Roman" w:hAnsi="Times New Roman"/>
                <w:sz w:val="15"/>
                <w:szCs w:val="15"/>
                <w:b w:val="1"/>
                <w:bCs w:val="1"/>
                <w:color w:val="auto"/>
              </w:rPr>
              <w:t>Supplemental cash flow disclosures:</w:t>
            </w: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6940" w:type="dxa"/>
            <w:vAlign w:val="bottom"/>
            <w:shd w:val="clear" w:color="auto" w:fill="CFF0FC"/>
          </w:tcPr>
          <w:p>
            <w:pPr>
              <w:ind w:left="240"/>
              <w:spacing w:after="0" w:line="162" w:lineRule="exact"/>
              <w:rPr>
                <w:sz w:val="20"/>
                <w:szCs w:val="20"/>
                <w:color w:val="auto"/>
              </w:rPr>
            </w:pPr>
            <w:r>
              <w:rPr>
                <w:rFonts w:ascii="Times New Roman" w:cs="Times New Roman" w:eastAsia="Times New Roman" w:hAnsi="Times New Roman"/>
                <w:sz w:val="15"/>
                <w:szCs w:val="15"/>
                <w:color w:val="auto"/>
              </w:rPr>
              <w:t>Cash paid during the period for:</w:t>
            </w:r>
          </w:p>
        </w:tc>
        <w:tc>
          <w:tcPr>
            <w:tcW w:w="8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6940" w:type="dxa"/>
            <w:vAlign w:val="bottom"/>
          </w:tcPr>
          <w:p>
            <w:pPr>
              <w:ind w:left="380"/>
              <w:spacing w:after="0" w:line="162" w:lineRule="exact"/>
              <w:rPr>
                <w:sz w:val="20"/>
                <w:szCs w:val="20"/>
                <w:color w:val="auto"/>
              </w:rPr>
            </w:pPr>
            <w:r>
              <w:rPr>
                <w:rFonts w:ascii="Times New Roman" w:cs="Times New Roman" w:eastAsia="Times New Roman" w:hAnsi="Times New Roman"/>
                <w:sz w:val="15"/>
                <w:szCs w:val="15"/>
                <w:color w:val="auto"/>
              </w:rPr>
              <w:t>Interest</w:t>
            </w:r>
          </w:p>
        </w:tc>
        <w:tc>
          <w:tcPr>
            <w:tcW w:w="840" w:type="dxa"/>
            <w:vAlign w:val="bottom"/>
          </w:tcPr>
          <w:p>
            <w:pPr>
              <w:jc w:val="right"/>
              <w:ind w:right="685"/>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5,201</w:t>
            </w:r>
          </w:p>
        </w:tc>
        <w:tc>
          <w:tcPr>
            <w:tcW w:w="240" w:type="dxa"/>
            <w:vAlign w:val="bottom"/>
          </w:tcPr>
          <w:p>
            <w:pPr>
              <w:spacing w:after="0"/>
              <w:rPr>
                <w:sz w:val="14"/>
                <w:szCs w:val="14"/>
                <w:color w:val="auto"/>
              </w:rPr>
            </w:pPr>
          </w:p>
        </w:tc>
        <w:tc>
          <w:tcPr>
            <w:tcW w:w="840" w:type="dxa"/>
            <w:vAlign w:val="bottom"/>
          </w:tcPr>
          <w:p>
            <w:pPr>
              <w:jc w:val="right"/>
              <w:ind w:right="68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7,232</w:t>
            </w:r>
          </w:p>
        </w:tc>
        <w:tc>
          <w:tcPr>
            <w:tcW w:w="120" w:type="dxa"/>
            <w:vAlign w:val="bottom"/>
          </w:tcPr>
          <w:p>
            <w:pPr>
              <w:spacing w:after="0"/>
              <w:rPr>
                <w:sz w:val="14"/>
                <w:szCs w:val="14"/>
                <w:color w:val="auto"/>
              </w:rPr>
            </w:pPr>
          </w:p>
        </w:tc>
      </w:tr>
      <w:tr>
        <w:trPr>
          <w:trHeight w:val="162"/>
        </w:trPr>
        <w:tc>
          <w:tcPr>
            <w:tcW w:w="6940" w:type="dxa"/>
            <w:vAlign w:val="bottom"/>
            <w:shd w:val="clear" w:color="auto" w:fill="CFF0FC"/>
          </w:tcPr>
          <w:p>
            <w:pPr>
              <w:ind w:left="380"/>
              <w:spacing w:after="0" w:line="162" w:lineRule="exact"/>
              <w:rPr>
                <w:sz w:val="20"/>
                <w:szCs w:val="20"/>
                <w:color w:val="auto"/>
              </w:rPr>
            </w:pPr>
            <w:r>
              <w:rPr>
                <w:rFonts w:ascii="Times New Roman" w:cs="Times New Roman" w:eastAsia="Times New Roman" w:hAnsi="Times New Roman"/>
                <w:sz w:val="15"/>
                <w:szCs w:val="15"/>
                <w:color w:val="auto"/>
              </w:rPr>
              <w:t>Income taxes</w:t>
            </w:r>
          </w:p>
        </w:tc>
        <w:tc>
          <w:tcPr>
            <w:tcW w:w="840" w:type="dxa"/>
            <w:vAlign w:val="bottom"/>
            <w:shd w:val="clear" w:color="auto" w:fill="CFF0FC"/>
          </w:tcPr>
          <w:p>
            <w:pPr>
              <w:jc w:val="right"/>
              <w:ind w:right="685"/>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32</w:t>
            </w: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68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6940" w:type="dxa"/>
            <w:vAlign w:val="bottom"/>
          </w:tcPr>
          <w:p>
            <w:pPr>
              <w:ind w:left="380"/>
              <w:spacing w:after="0" w:line="162" w:lineRule="exact"/>
              <w:rPr>
                <w:sz w:val="20"/>
                <w:szCs w:val="20"/>
                <w:color w:val="auto"/>
              </w:rPr>
            </w:pPr>
            <w:r>
              <w:rPr>
                <w:rFonts w:ascii="Times New Roman" w:cs="Times New Roman" w:eastAsia="Times New Roman" w:hAnsi="Times New Roman"/>
                <w:sz w:val="15"/>
                <w:szCs w:val="15"/>
                <w:color w:val="auto"/>
              </w:rPr>
              <w:t>Acquisitions:</w:t>
            </w: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940" w:type="dxa"/>
            <w:vAlign w:val="bottom"/>
            <w:shd w:val="clear" w:color="auto" w:fill="CFF0FC"/>
          </w:tcPr>
          <w:p>
            <w:pPr>
              <w:ind w:left="500"/>
              <w:spacing w:after="0" w:line="162" w:lineRule="exact"/>
              <w:rPr>
                <w:sz w:val="20"/>
                <w:szCs w:val="20"/>
                <w:color w:val="auto"/>
              </w:rPr>
            </w:pPr>
            <w:r>
              <w:rPr>
                <w:rFonts w:ascii="Times New Roman" w:cs="Times New Roman" w:eastAsia="Times New Roman" w:hAnsi="Times New Roman"/>
                <w:sz w:val="15"/>
                <w:szCs w:val="15"/>
                <w:color w:val="auto"/>
              </w:rPr>
              <w:t>Net assets acquired, net of cash acquired</w:t>
            </w:r>
          </w:p>
        </w:tc>
        <w:tc>
          <w:tcPr>
            <w:tcW w:w="840" w:type="dxa"/>
            <w:vAlign w:val="bottom"/>
            <w:shd w:val="clear" w:color="auto" w:fill="CFF0FC"/>
          </w:tcPr>
          <w:p>
            <w:pPr>
              <w:jc w:val="right"/>
              <w:ind w:right="685"/>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FF0FC"/>
          </w:tcPr>
          <w:p>
            <w:pPr>
              <w:jc w:val="right"/>
              <w:ind w:right="68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13,675</w:t>
            </w:r>
          </w:p>
        </w:tc>
        <w:tc>
          <w:tcPr>
            <w:tcW w:w="120" w:type="dxa"/>
            <w:vAlign w:val="bottom"/>
            <w:shd w:val="clear" w:color="auto" w:fill="CFF0FC"/>
          </w:tcPr>
          <w:p>
            <w:pPr>
              <w:spacing w:after="0"/>
              <w:rPr>
                <w:sz w:val="14"/>
                <w:szCs w:val="14"/>
                <w:color w:val="auto"/>
              </w:rPr>
            </w:pPr>
          </w:p>
        </w:tc>
      </w:tr>
      <w:tr>
        <w:trPr>
          <w:trHeight w:val="162"/>
        </w:trPr>
        <w:tc>
          <w:tcPr>
            <w:tcW w:w="6940" w:type="dxa"/>
            <w:vAlign w:val="bottom"/>
          </w:tcPr>
          <w:p>
            <w:pPr>
              <w:ind w:left="500"/>
              <w:spacing w:after="0" w:line="162" w:lineRule="exact"/>
              <w:rPr>
                <w:sz w:val="20"/>
                <w:szCs w:val="20"/>
                <w:color w:val="auto"/>
              </w:rPr>
            </w:pPr>
            <w:r>
              <w:rPr>
                <w:rFonts w:ascii="Times New Roman" w:cs="Times New Roman" w:eastAsia="Times New Roman" w:hAnsi="Times New Roman"/>
                <w:sz w:val="15"/>
                <w:szCs w:val="15"/>
                <w:color w:val="auto"/>
              </w:rPr>
              <w:t>Working capital adjustment receivable</w:t>
            </w:r>
          </w:p>
        </w:tc>
        <w:tc>
          <w:tcPr>
            <w:tcW w:w="840" w:type="dxa"/>
            <w:vAlign w:val="bottom"/>
          </w:tcPr>
          <w:p>
            <w:pPr>
              <w:spacing w:after="0"/>
              <w:rPr>
                <w:sz w:val="14"/>
                <w:szCs w:val="14"/>
                <w:color w:val="auto"/>
              </w:rPr>
            </w:pPr>
          </w:p>
        </w:tc>
        <w:tc>
          <w:tcPr>
            <w:tcW w:w="80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spacing w:after="0"/>
              <w:rPr>
                <w:sz w:val="14"/>
                <w:szCs w:val="14"/>
                <w:color w:val="auto"/>
              </w:rPr>
            </w:pPr>
          </w:p>
        </w:tc>
        <w:tc>
          <w:tcPr>
            <w:tcW w:w="68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(145)</w:t>
            </w:r>
          </w:p>
        </w:tc>
      </w:tr>
      <w:tr>
        <w:trPr>
          <w:trHeight w:val="195"/>
        </w:trPr>
        <w:tc>
          <w:tcPr>
            <w:tcW w:w="6940" w:type="dxa"/>
            <w:vAlign w:val="bottom"/>
            <w:tcBorders>
              <w:top w:val="single" w:sz="8" w:color="CFF0FC"/>
              <w:bottom w:val="single" w:sz="8" w:color="CFF0FC"/>
            </w:tcBorders>
            <w:shd w:val="clear" w:color="auto" w:fill="CFF0FC"/>
          </w:tcPr>
          <w:p>
            <w:pPr>
              <w:ind w:left="620"/>
              <w:spacing w:after="0" w:line="156" w:lineRule="exact"/>
              <w:rPr>
                <w:sz w:val="20"/>
                <w:szCs w:val="20"/>
                <w:color w:val="auto"/>
              </w:rPr>
            </w:pPr>
            <w:r>
              <w:rPr>
                <w:rFonts w:ascii="Times New Roman" w:cs="Times New Roman" w:eastAsia="Times New Roman" w:hAnsi="Times New Roman"/>
                <w:sz w:val="15"/>
                <w:szCs w:val="15"/>
                <w:color w:val="auto"/>
              </w:rPr>
              <w:t>Net cash paid for acquisitions</w:t>
            </w:r>
          </w:p>
        </w:tc>
        <w:tc>
          <w:tcPr>
            <w:tcW w:w="840" w:type="dxa"/>
            <w:vAlign w:val="bottom"/>
            <w:tcBorders>
              <w:top w:val="single" w:sz="8" w:color="auto"/>
              <w:bottom w:val="single" w:sz="8" w:color="auto"/>
            </w:tcBorders>
            <w:shd w:val="clear" w:color="auto" w:fill="CFF0FC"/>
          </w:tcPr>
          <w:p>
            <w:pPr>
              <w:jc w:val="right"/>
              <w:ind w:right="685"/>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840" w:type="dxa"/>
            <w:vAlign w:val="bottom"/>
            <w:tcBorders>
              <w:top w:val="single" w:sz="8" w:color="auto"/>
              <w:bottom w:val="single" w:sz="8" w:color="auto"/>
            </w:tcBorders>
            <w:shd w:val="clear" w:color="auto" w:fill="CFF0FC"/>
          </w:tcPr>
          <w:p>
            <w:pPr>
              <w:jc w:val="right"/>
              <w:ind w:right="68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13,530</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143"/>
        </w:trPr>
        <w:tc>
          <w:tcPr>
            <w:tcW w:w="6940" w:type="dxa"/>
            <w:vAlign w:val="bottom"/>
          </w:tcPr>
          <w:p>
            <w:pPr>
              <w:spacing w:after="0" w:line="143" w:lineRule="exact"/>
              <w:rPr>
                <w:sz w:val="20"/>
                <w:szCs w:val="20"/>
                <w:color w:val="auto"/>
              </w:rPr>
            </w:pPr>
            <w:r>
              <w:rPr>
                <w:rFonts w:ascii="Times New Roman" w:cs="Times New Roman" w:eastAsia="Times New Roman" w:hAnsi="Times New Roman"/>
                <w:sz w:val="15"/>
                <w:szCs w:val="15"/>
                <w:b w:val="1"/>
                <w:bCs w:val="1"/>
                <w:color w:val="auto"/>
              </w:rPr>
              <w:t>Supplemental disclosure of non-cash investing activities:</w:t>
            </w: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6940" w:type="dxa"/>
            <w:vAlign w:val="bottom"/>
            <w:shd w:val="clear" w:color="auto" w:fill="CFF0FC"/>
          </w:tcPr>
          <w:p>
            <w:pPr>
              <w:ind w:left="240"/>
              <w:spacing w:after="0" w:line="162" w:lineRule="exact"/>
              <w:rPr>
                <w:sz w:val="20"/>
                <w:szCs w:val="20"/>
                <w:color w:val="auto"/>
              </w:rPr>
            </w:pPr>
            <w:r>
              <w:rPr>
                <w:rFonts w:ascii="Times New Roman" w:cs="Times New Roman" w:eastAsia="Times New Roman" w:hAnsi="Times New Roman"/>
                <w:sz w:val="15"/>
                <w:szCs w:val="15"/>
                <w:color w:val="auto"/>
              </w:rPr>
              <w:t>Capital expenditures included in accounts payable and accrued expenses and other liabilities</w:t>
            </w:r>
          </w:p>
        </w:tc>
        <w:tc>
          <w:tcPr>
            <w:tcW w:w="840" w:type="dxa"/>
            <w:vAlign w:val="bottom"/>
            <w:shd w:val="clear" w:color="auto" w:fill="CFF0FC"/>
          </w:tcPr>
          <w:p>
            <w:pPr>
              <w:jc w:val="right"/>
              <w:ind w:right="685"/>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4,947</w:t>
            </w: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68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1,091</w:t>
            </w:r>
          </w:p>
        </w:tc>
        <w:tc>
          <w:tcPr>
            <w:tcW w:w="120" w:type="dxa"/>
            <w:vAlign w:val="bottom"/>
            <w:shd w:val="clear" w:color="auto" w:fill="CFF0FC"/>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5294630</wp:posOffset>
            </wp:positionH>
            <wp:positionV relativeFrom="paragraph">
              <wp:posOffset>-3196590</wp:posOffset>
            </wp:positionV>
            <wp:extent cx="596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-3196590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-2562225</wp:posOffset>
            </wp:positionV>
            <wp:extent cx="5969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-2562225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-1516380</wp:posOffset>
            </wp:positionV>
            <wp:extent cx="596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-1516380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-1088390</wp:posOffset>
            </wp:positionV>
            <wp:extent cx="5969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-1071245</wp:posOffset>
            </wp:positionV>
            <wp:extent cx="5969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-1088390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-1071245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-231140</wp:posOffset>
            </wp:positionV>
            <wp:extent cx="5969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-213995</wp:posOffset>
            </wp:positionV>
            <wp:extent cx="596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-342265</wp:posOffset>
            </wp:positionV>
            <wp:extent cx="596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-231140</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-213995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-342265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1008" w:right="89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 and Organization</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Definitive Healthcare Corp. (the “Company”) was formed on May 5, 2021 as a Delaware corporation to facilitate an initial public offering (“IPO”) and other related transactions to carry on the business of AIDH TopCo, LLC (“Definitive OpCo”). Following consummation of the Reorganization Transactions, as described below, Definitive OpCo became a subsidiary of Definitive Healthcare Corp. The Company, through its operating subsidiaries, provides comprehensive and up-to-date hospital and healthcare-related information and insight across the entire healthcare continuum via a multi-tenant software-as-a-service (“SaaS”) platform which combines proprietary and public sources to deliver insights. The Company is headquartered in Framingham, Massachusetts.</w:t>
      </w:r>
    </w:p>
    <w:p>
      <w:pPr>
        <w:spacing w:after="0" w:line="7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connection with the IPO, the Company completed the following transactions (the “Reorganization Transactions”): Definitive OpCo entered into an amended and restated limited liability company agreement (the “Amended LLC Agreement”) pursuant to which members of Definitive OpCo prior to the IPO who continued to hold limited liability company interests (“LLC Units”) in Definitive OpCo following the consummation of the Reorganization Transactions acquired the right to require Definitive OpCo to redeem all or a portion of their LLC Units for newly issued shares of Class A Common Stock on a one-for-one basis. Until redeemed or exchanged, each LLC Unit is paired with one share of Definitive Healthcare Corp. Class B Common Stock. The total shares of Class B Common Stock outstanding is equal to the number of vested LLC Units outstanding, excluding LLC Units held by the Company. Unvested LLC Units are paired with Class B Common Stock, which are issued but do not have voting rights and are deemed not outstanding until the corresponding LLC Units have vested. Certain entities treated as corporations for U.S. federal income tax purposes that held LLC Units (individually, a “Blocker Company” and collectively, the “Blocker Companies”) each merged with a merger subsidiary of Definitive Healthcare Corp., and subsequently merged into Definitive Healthcare Corp. (the “Mergers”). The former shareholders of the Blocker Companies collectively received a number of shares of Class A Common Stock in the Mergers equal to the number of LLC Units held by the Blocker Companies prior to the Mergers.</w:t>
      </w:r>
    </w:p>
    <w:p>
      <w:pPr>
        <w:spacing w:after="0" w:line="8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Following the Reorganization Transactions, Definitive Healthcare Corp. became a holding company, with its sole material asset being a controlling equity interest in Definitive OpCo. Definitive Healthcare Corp. operates and controls all of the business and affairs of Definitive OpCo, and through Definitive OpCo and its subsidiaries, conducts its business. Accordingly, Definitive Healthcare Corp. consolidates the financial results of Definitive OpCo, and reports the noncontrolling interests of unexchanged LLC Unit holders on its unaudited condensed consolidated financial statements.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connection with the Reorganization Transactions and the IPO, Definitive Healthcare Corp entered into a tax receivable agreement. See Note 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(“GAAP”) and in conformity with rules applicable to quarterly financial information. Any reference in these notes to applicable accounting guidance is meant to refer to the authoritative nongovernmental GAAP as found in the Financial Accounting Standards Board (“FASB”) Accounting Standards Codification (“ASC”). The unaudited condensed consolidated financial statements as of June 30, 2025 and for the three and six months ended June 30, 2025 and 2024 are unaudited and should be read in conjunction with the Company’s audited financial statements for the year ended December 31, 2024. All adjustments, consisting of normal recurring adjustments, except as otherwise noted, considered, in the opinion of management, necessary for a fair presentation of the unaudited condensed consolidated financial statements for these interim periods have been included.</w:t>
      </w:r>
    </w:p>
    <w:p>
      <w:pPr>
        <w:spacing w:after="0" w:line="79" w:lineRule="exact"/>
        <w:rPr>
          <w:sz w:val="20"/>
          <w:szCs w:val="20"/>
          <w:color w:val="auto"/>
        </w:rPr>
      </w:pPr>
    </w:p>
    <w:p>
      <w:pPr>
        <w:ind w:right="340" w:firstLine="509"/>
        <w:spacing w:after="0" w:line="284" w:lineRule="auto"/>
        <w:rPr>
          <w:sz w:val="20"/>
          <w:szCs w:val="20"/>
          <w:color w:val="auto"/>
        </w:rPr>
      </w:pPr>
      <w:r>
        <w:rPr>
          <w:rFonts w:ascii="Times New Roman" w:cs="Times New Roman" w:eastAsia="Times New Roman" w:hAnsi="Times New Roman"/>
          <w:sz w:val="18"/>
          <w:szCs w:val="18"/>
          <w:color w:val="auto"/>
        </w:rPr>
        <w:t xml:space="preserve">Refer to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 the notes to the consolidated financial statements in the 2024 Form 10-K for the Company’s significant accounting policies and estimates.</w:t>
      </w:r>
    </w:p>
    <w:p>
      <w:pPr>
        <w:spacing w:after="0" w:line="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11" w:name="page12"/>
    <w:bookmarkEnd w:id="11"/>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in the Preparation of Financial Statements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judgments, and assumptions that affect the reported amounts of assets and liabilities and disclosure of contingent assets and liabilities at the date of the consolidated financial statements, as well as the reported amounts of revenues and expenses during the reporting period. These estimates include, but are not limited to, revenue recognition, allowance for doubtful accounts, contingencies, valuations, useful lives of intangible assets acquired in business combinations, equity-based compensation, and income taxes. Actual results could differ from those estimates.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1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(“ASU 2023-09”), which is effective for annual periods beginning after December 15, 2024. ASU 2023-09 intends to enhance the transparency as well as usefulness of income tax disclosures, primarily related to the rate reconciliation and income taxes paid. The Company is currently assessing the impact that adoption of this new accounting standard will have on its unaudited condensed consolidated financial statements and footnote disclosures.</w:t>
      </w:r>
    </w:p>
    <w:p>
      <w:pPr>
        <w:spacing w:after="0" w:line="7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 xml:space="preserve">In November 2024, the FASB issued Accounting Standards Update (“ASU”) No. 2024-03, </w:t>
      </w:r>
      <w:r>
        <w:rPr>
          <w:rFonts w:ascii="Times New Roman" w:cs="Times New Roman" w:eastAsia="Times New Roman" w:hAnsi="Times New Roman"/>
          <w:sz w:val="18"/>
          <w:szCs w:val="18"/>
          <w:i w:val="1"/>
          <w:iCs w:val="1"/>
          <w:color w:val="auto"/>
        </w:rPr>
        <w:t>Disaggregation of Income Statement Expenses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220-40) </w:t>
      </w:r>
      <w:r>
        <w:rPr>
          <w:rFonts w:ascii="Times New Roman" w:cs="Times New Roman" w:eastAsia="Times New Roman" w:hAnsi="Times New Roman"/>
          <w:sz w:val="18"/>
          <w:szCs w:val="18"/>
          <w:color w:val="auto"/>
        </w:rPr>
        <w:t>(“ASU 2024-03”). The ASU requires the disaggregated disclosure of specific expense categories, including purchases of inventory, employee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depreciation, and amortization, within relevant income statement captions. This ASU also requires disclosure of the total amount of selling expenses along with the definition of selling expenses. The ASU is effective for annual periods beginning after December 15, 2026, and interim periods within fiscal years beginning after December 15, 2027. Adoption of this ASU can either be applied prospectively to consolidated financial statements issued for reporting periods after the effective date of this ASU or retrospectively to any or all prior periods presented in the consolidated financial statements. Early adoption is also permitted. The Company is currently assessing the impact that adoption of this new accounting standard will have on its unaudited condensed consolidated financial statements and footnote disclosures.</w:t>
      </w:r>
    </w:p>
    <w:p>
      <w:pPr>
        <w:spacing w:after="0" w:line="79"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No other new accounting pronouncements issued or effective during the first six months of the current year have had, or are expected to have, a material impact on the Company’s unaudited condensed consolidated financial statements.</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2. Acquisitions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Carevoyance</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January 16, 2024, the Company completed the purchase of assets comprising the Carevoyance business line of H1 Insights, Inc. (“Carevoyance”), a product that helps medical technology (“MedTech”) customers to improve segmentation, targeting, and prospect engagement, for $13.7 million in cash consideration. The Carevoyance assets meet the definition of a business and accordingly, the Company has accounted for the Carevoyance transaction under the acquisition method. The assets acquired and liabilities assumed were recorded at their estimated fair values and the results of operations were included in the Company’s consolidated results prospectively from the acquisition date.</w:t>
      </w:r>
    </w:p>
    <w:p>
      <w:pPr>
        <w:spacing w:after="0" w:line="7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finalized the purchase price allocations of the Carevoyance acquisition during the fourth quarter of 2024. Acquisition-date fair values of assets and liabilities pertaining to this business combination have been allocated as follows:</w:t>
      </w:r>
    </w:p>
    <w:p>
      <w:pPr>
        <w:spacing w:after="0" w:line="59" w:lineRule="exact"/>
        <w:rPr>
          <w:sz w:val="20"/>
          <w:szCs w:val="20"/>
          <w:color w:val="auto"/>
        </w:rPr>
      </w:pPr>
    </w:p>
    <w:tbl>
      <w:tblPr>
        <w:tblLayout w:type="fixed"/>
        <w:tblInd w:w="300" w:type="dxa"/>
        <w:tblCellMar>
          <w:top w:w="0" w:type="dxa"/>
          <w:left w:w="0" w:type="dxa"/>
          <w:bottom w:w="0" w:type="dxa"/>
          <w:right w:w="0" w:type="dxa"/>
        </w:tblCellMar>
      </w:tblPr>
      <w:tr>
        <w:trPr>
          <w:trHeight w:val="164"/>
        </w:trPr>
        <w:tc>
          <w:tcPr>
            <w:tcW w:w="81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Pr>
          <w:p>
            <w:pPr>
              <w:spacing w:after="0"/>
              <w:rPr>
                <w:sz w:val="14"/>
                <w:szCs w:val="14"/>
                <w:color w:val="auto"/>
              </w:rPr>
            </w:pPr>
          </w:p>
        </w:tc>
        <w:tc>
          <w:tcPr>
            <w:tcW w:w="206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Final Purchase Price</w:t>
            </w:r>
          </w:p>
        </w:tc>
        <w:tc>
          <w:tcPr>
            <w:tcW w:w="10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8180" w:type="dxa"/>
            <w:vAlign w:val="bottom"/>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Purchase price allocation:</w:t>
            </w:r>
          </w:p>
        </w:tc>
        <w:tc>
          <w:tcPr>
            <w:tcW w:w="32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vMerge w:val="continue"/>
          </w:tcPr>
          <w:p>
            <w:pPr>
              <w:spacing w:after="0"/>
              <w:rPr>
                <w:sz w:val="13"/>
                <w:szCs w:val="13"/>
                <w:color w:val="auto"/>
              </w:rPr>
            </w:pPr>
          </w:p>
        </w:tc>
        <w:tc>
          <w:tcPr>
            <w:tcW w:w="1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8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2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320" w:type="dxa"/>
            <w:vAlign w:val="bottom"/>
          </w:tcPr>
          <w:p>
            <w:pPr>
              <w:spacing w:after="0"/>
              <w:rPr>
                <w:sz w:val="18"/>
                <w:szCs w:val="18"/>
                <w:color w:val="auto"/>
              </w:rPr>
            </w:pPr>
          </w:p>
        </w:tc>
        <w:tc>
          <w:tcPr>
            <w:tcW w:w="2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shd w:val="clear" w:color="auto" w:fill="CFF0FC"/>
          </w:tcPr>
          <w:p>
            <w:pPr>
              <w:spacing w:after="0"/>
              <w:rPr>
                <w:sz w:val="18"/>
                <w:szCs w:val="18"/>
                <w:color w:val="auto"/>
              </w:rPr>
            </w:pPr>
          </w:p>
        </w:tc>
        <w:tc>
          <w:tcPr>
            <w:tcW w:w="21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210"/>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acquired and liabilities assumed</w:t>
            </w:r>
          </w:p>
        </w:tc>
        <w:tc>
          <w:tcPr>
            <w:tcW w:w="32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Borders>
              <w:bottom w:val="single" w:sz="8" w:color="auto"/>
            </w:tcBorders>
            <w:shd w:val="clear" w:color="auto" w:fill="CFF0FC"/>
          </w:tcPr>
          <w:p>
            <w:pPr>
              <w:spacing w:after="0"/>
              <w:rPr>
                <w:sz w:val="18"/>
                <w:szCs w:val="18"/>
                <w:color w:val="auto"/>
              </w:rPr>
            </w:pPr>
          </w:p>
        </w:tc>
        <w:tc>
          <w:tcPr>
            <w:tcW w:w="2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7,057</w:t>
            </w: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 price</w:t>
            </w: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20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6897370</wp:posOffset>
            </wp:positionH>
            <wp:positionV relativeFrom="paragraph">
              <wp:posOffset>-170815</wp:posOffset>
            </wp:positionV>
            <wp:extent cx="603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As a result of the Carevoyance acquisition, the Company recorded goodwill, developed technology, customer relationships, and tradename of $7.1 million, $6.8 million, $0.2 million, and $0.1 million, respectively, as of the acquisition date. The goodwill recognized includes the fair value of the assembled workforce, which is not recognized as an intangible asset separable from goodwill, and any expected synergies gained through the acquisition. The Company determined that the goodwill resulting from the acquisition is deductible for tax purposes. All goodwill has been allocated to the Company’s one reportable segment.</w:t>
      </w:r>
    </w:p>
    <w:p>
      <w:pPr>
        <w:spacing w:after="0" w:line="75"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developed technology represents Carevoyance’s proprietary solutions that are designed to assist MedTech customers with improving segmentation, targeting, and prospect engagement. The Company used the income approach, specifically the multi-period excess earnings method, to determine the value of developed technology. Significant assumptions include an obsolescence factor, tax rate, and discount rate. The developed technology was valued at $6.8 million and is amortized using the economic value method, which represents the pattern of cash flows over the estimated 7-year life of this asset.</w:t>
      </w:r>
    </w:p>
    <w:p>
      <w:pPr>
        <w:spacing w:after="0" w:line="7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Customer relationships represent the estimated fair value of the underlying relationships with the acquired entity’s business customers. The Company valued customer relationships using the income approach, specifically the multi-period excess earnings method. Significant assumptions include estimated attrition rates, discount rates, and tax rates reflecting the different risk profiles of the asset depending upon the acquisition. The value assigned to customer relationships is $0.2 million and is amortized using the straight-line method over the estimated remaining useful life of 5 years.</w:t>
      </w:r>
    </w:p>
    <w:p>
      <w:pPr>
        <w:spacing w:after="0" w:line="72"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The tradename represents the estimated fair value of the registered trade name associated with the Carevoyance corporate brand. The Company estimated the fair value of the trademark using a relief from royalty method of the income approach. Significant assumptions include forecast of royalty rate, tax rate, and discount rate. The trademark was valued at $0.1 million and is amortized using the straight-line method over the estimated remaining useful life of two years.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total, intangible assets acquired in the Carevoyance acquisition are estimated to be amortized over a weighted average of 6.9 years. See Note 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Goodwill and Intangible Assets </w:t>
      </w:r>
      <w:r>
        <w:rPr>
          <w:rFonts w:ascii="Times New Roman" w:cs="Times New Roman" w:eastAsia="Times New Roman" w:hAnsi="Times New Roman"/>
          <w:sz w:val="18"/>
          <w:szCs w:val="18"/>
          <w:color w:val="auto"/>
        </w:rPr>
        <w:t>for the estimated total intangible amortization expense during the next five years.</w:t>
      </w:r>
    </w:p>
    <w:p>
      <w:pPr>
        <w:spacing w:after="0" w:line="99"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Pro forma results of operation for this acquisition have not been presented because the effects were not material to the Company’s unaudited condensed consolidated financial results.</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32"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Company disaggregates revenue from its arrangements with customers by type of service as it believes these categories best depict how the nature, amount, timing, and uncertainty of revenue and cash flows are affected by economic factors.</w:t>
      </w:r>
    </w:p>
    <w:p>
      <w:pPr>
        <w:spacing w:after="0" w:line="54" w:lineRule="exact"/>
        <w:rPr>
          <w:sz w:val="20"/>
          <w:szCs w:val="20"/>
          <w:color w:val="auto"/>
        </w:rPr>
      </w:pPr>
    </w:p>
    <w:p>
      <w:pPr>
        <w:ind w:right="60" w:firstLine="509"/>
        <w:spacing w:after="0" w:line="313" w:lineRule="auto"/>
        <w:rPr>
          <w:sz w:val="20"/>
          <w:szCs w:val="20"/>
          <w:color w:val="auto"/>
        </w:rPr>
      </w:pPr>
      <w:r>
        <w:rPr>
          <w:rFonts w:ascii="Times New Roman" w:cs="Times New Roman" w:eastAsia="Times New Roman" w:hAnsi="Times New Roman"/>
          <w:sz w:val="18"/>
          <w:szCs w:val="18"/>
          <w:color w:val="auto"/>
        </w:rPr>
        <w:t>The following table represents a disaggregation of revenue from arrangements with customers for the three and six months ended June 30, 2025 and 2024, respectively:</w:t>
      </w:r>
    </w:p>
    <w:p>
      <w:pPr>
        <w:spacing w:after="0" w:line="21"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gridSpan w:val="4"/>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3380" w:type="dxa"/>
            <w:vAlign w:val="bottom"/>
            <w:vMerge w:val="continue"/>
          </w:tcPr>
          <w:p>
            <w:pPr>
              <w:spacing w:after="0"/>
              <w:rPr>
                <w:sz w:val="12"/>
                <w:szCs w:val="12"/>
                <w:color w:val="auto"/>
              </w:rPr>
            </w:pPr>
          </w:p>
        </w:tc>
        <w:tc>
          <w:tcPr>
            <w:tcW w:w="18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Subscription services</w:t>
            </w:r>
          </w:p>
        </w:tc>
        <w:tc>
          <w:tcPr>
            <w:tcW w:w="1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58,200</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61,996</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115,511</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123,748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8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60,750</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63,737</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119,941</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Borders>
              <w:top w:val="single" w:sz="8" w:color="CFF0FC"/>
            </w:tcBorders>
            <w:shd w:val="clear" w:color="auto" w:fill="CFF0FC"/>
          </w:tcPr>
          <w:p>
            <w:pPr>
              <w:spacing w:after="0" w:line="20" w:lineRule="exact"/>
              <w:rPr>
                <w:sz w:val="1"/>
                <w:szCs w:val="1"/>
                <w:color w:val="auto"/>
              </w:rPr>
            </w:pPr>
          </w:p>
        </w:tc>
        <w:tc>
          <w:tcPr>
            <w:tcW w:w="18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-25400</wp:posOffset>
            </wp:positionV>
            <wp:extent cx="603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-8255</wp:posOffset>
            </wp:positionV>
            <wp:extent cx="603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-25400</wp:posOffset>
            </wp:positionV>
            <wp:extent cx="603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-8255</wp:posOffset>
            </wp:positionV>
            <wp:extent cx="6032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-25400</wp:posOffset>
            </wp:positionV>
            <wp:extent cx="603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032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-25400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-8255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Contract Costs</w:t>
      </w:r>
    </w:p>
    <w:p>
      <w:pPr>
        <w:spacing w:after="0" w:line="121" w:lineRule="exact"/>
        <w:rPr>
          <w:sz w:val="20"/>
          <w:szCs w:val="20"/>
          <w:color w:val="auto"/>
        </w:rPr>
      </w:pPr>
    </w:p>
    <w:p>
      <w:pPr>
        <w:ind w:right="240" w:firstLine="509"/>
        <w:spacing w:after="0" w:line="313" w:lineRule="auto"/>
        <w:rPr>
          <w:sz w:val="20"/>
          <w:szCs w:val="20"/>
          <w:color w:val="auto"/>
        </w:rPr>
      </w:pPr>
      <w:r>
        <w:rPr>
          <w:rFonts w:ascii="Times New Roman" w:cs="Times New Roman" w:eastAsia="Times New Roman" w:hAnsi="Times New Roman"/>
          <w:sz w:val="18"/>
          <w:szCs w:val="18"/>
          <w:color w:val="auto"/>
        </w:rPr>
        <w:t>A summary of the activity impacting the deferred contract costs for the six months ended June 30, 2025 and the year ended December 31, 2024 is presented below:</w:t>
      </w:r>
    </w:p>
    <w:p>
      <w:pPr>
        <w:spacing w:after="0" w:line="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17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Six Months Ended June</w:t>
            </w:r>
          </w:p>
        </w:tc>
        <w:tc>
          <w:tcPr>
            <w:tcW w:w="120" w:type="dxa"/>
            <w:vAlign w:val="bottom"/>
          </w:tcPr>
          <w:p>
            <w:pPr>
              <w:spacing w:after="0"/>
              <w:rPr>
                <w:sz w:val="13"/>
                <w:szCs w:val="13"/>
                <w:color w:val="auto"/>
              </w:rPr>
            </w:pPr>
          </w:p>
        </w:tc>
        <w:tc>
          <w:tcPr>
            <w:tcW w:w="17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Year Ended December</w:t>
            </w:r>
          </w:p>
        </w:tc>
      </w:tr>
      <w:tr>
        <w:trPr>
          <w:trHeight w:val="173"/>
        </w:trPr>
        <w:tc>
          <w:tcPr>
            <w:tcW w:w="65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120" w:type="dxa"/>
            <w:vAlign w:val="bottom"/>
          </w:tcPr>
          <w:p>
            <w:pPr>
              <w:spacing w:after="0"/>
              <w:rPr>
                <w:sz w:val="15"/>
                <w:szCs w:val="15"/>
                <w:color w:val="auto"/>
              </w:rPr>
            </w:pPr>
          </w:p>
        </w:tc>
      </w:tr>
      <w:tr>
        <w:trPr>
          <w:trHeight w:val="210"/>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2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28,125</w:t>
            </w:r>
          </w:p>
        </w:tc>
        <w:tc>
          <w:tcPr>
            <w:tcW w:w="18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30,810</w:t>
            </w:r>
          </w:p>
        </w:tc>
      </w:tr>
      <w:tr>
        <w:trPr>
          <w:trHeight w:val="216"/>
        </w:trPr>
        <w:tc>
          <w:tcPr>
            <w:tcW w:w="6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Costs amortized</w:t>
            </w:r>
          </w:p>
        </w:tc>
        <w:tc>
          <w:tcPr>
            <w:tcW w:w="3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(7,935)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(15,441)</w:t>
            </w:r>
          </w:p>
        </w:tc>
      </w:tr>
      <w:tr>
        <w:trPr>
          <w:trHeight w:val="216"/>
        </w:trPr>
        <w:tc>
          <w:tcPr>
            <w:tcW w:w="65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Additional amounts deferred</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12,756</w:t>
            </w:r>
          </w:p>
        </w:tc>
      </w:tr>
      <w:tr>
        <w:trPr>
          <w:trHeight w:val="20"/>
        </w:trPr>
        <w:tc>
          <w:tcPr>
            <w:tcW w:w="65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28,125</w:t>
            </w:r>
          </w:p>
        </w:tc>
      </w:tr>
      <w:tr>
        <w:trPr>
          <w:trHeight w:val="210"/>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Classified as:</w:t>
            </w:r>
          </w:p>
        </w:tc>
        <w:tc>
          <w:tcPr>
            <w:tcW w:w="32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13,736</w:t>
            </w:r>
          </w:p>
        </w:tc>
      </w:tr>
      <w:tr>
        <w:trPr>
          <w:trHeight w:val="216"/>
        </w:trPr>
        <w:tc>
          <w:tcPr>
            <w:tcW w:w="65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Non-current</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14,389</w:t>
            </w:r>
          </w:p>
        </w:tc>
      </w:tr>
      <w:tr>
        <w:trPr>
          <w:trHeight w:val="20"/>
        </w:trPr>
        <w:tc>
          <w:tcPr>
            <w:tcW w:w="65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contract costs (deferred commissions)</w:t>
            </w:r>
          </w:p>
        </w:tc>
        <w:tc>
          <w:tcPr>
            <w:tcW w:w="3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28,125</w:t>
            </w:r>
          </w:p>
        </w:tc>
      </w:tr>
      <w:tr>
        <w:trPr>
          <w:trHeight w:val="20"/>
        </w:trPr>
        <w:tc>
          <w:tcPr>
            <w:tcW w:w="65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-736600</wp:posOffset>
            </wp:positionV>
            <wp:extent cx="603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-736600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-170815</wp:posOffset>
            </wp:positionV>
            <wp:extent cx="603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-170815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the activity impacting deferred revenue balances during the six months ended June 30, 2025 and for the year ended December 31,</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is presented below:</w:t>
      </w:r>
    </w:p>
    <w:p>
      <w:pPr>
        <w:spacing w:after="0" w:line="9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17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Six Months Ended June</w:t>
            </w:r>
          </w:p>
        </w:tc>
        <w:tc>
          <w:tcPr>
            <w:tcW w:w="18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73"/>
        </w:trPr>
        <w:tc>
          <w:tcPr>
            <w:tcW w:w="65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2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210"/>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00" w:type="dxa"/>
            <w:vAlign w:val="bottom"/>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93,376</w:t>
            </w: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97,386</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w:t>
            </w:r>
          </w:p>
        </w:tc>
        <w:tc>
          <w:tcPr>
            <w:tcW w:w="30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(119,941)</w:t>
            </w:r>
          </w:p>
        </w:tc>
        <w:tc>
          <w:tcPr>
            <w:tcW w:w="4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(252,202)</w:t>
            </w:r>
          </w:p>
        </w:tc>
      </w:tr>
      <w:tr>
        <w:trPr>
          <w:trHeight w:val="21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amounts deferred</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128,013</w:t>
            </w: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248,192</w:t>
            </w:r>
          </w:p>
        </w:tc>
      </w:tr>
      <w:tr>
        <w:trPr>
          <w:trHeight w:val="20"/>
        </w:trPr>
        <w:tc>
          <w:tcPr>
            <w:tcW w:w="65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300" w:type="dxa"/>
            <w:vAlign w:val="bottom"/>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101,448</w:t>
            </w:r>
          </w:p>
        </w:tc>
        <w:tc>
          <w:tcPr>
            <w:tcW w:w="200" w:type="dxa"/>
            <w:vAlign w:val="bottom"/>
          </w:tcPr>
          <w:p>
            <w:pPr>
              <w:spacing w:after="0"/>
              <w:rPr>
                <w:sz w:val="18"/>
                <w:szCs w:val="18"/>
                <w:color w:val="auto"/>
              </w:rPr>
            </w:pPr>
          </w:p>
        </w:tc>
        <w:tc>
          <w:tcPr>
            <w:tcW w:w="40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93,376</w:t>
            </w:r>
          </w:p>
        </w:tc>
      </w:tr>
      <w:tr>
        <w:trPr>
          <w:trHeight w:val="20"/>
        </w:trPr>
        <w:tc>
          <w:tcPr>
            <w:tcW w:w="6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-170815</wp:posOffset>
            </wp:positionV>
            <wp:extent cx="603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-170815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21"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Transaction price allocated to remaining performance obligations represents contracted revenue that has not yet been recognized, which includes unearned revenue and unbilled amounts that will be invoiced and recognized as revenue in future periods. Transaction price allocated to remaining performance obligations is influenced by several factors, including seasonality, the timing of renewals, and disparate contract terms. The Company’s backlog represents installment billings for periods beyond the current billing cycle. The majority of the Company’s noncurrent remaining performance obligations will be recognized in the next 13 to 36 months.</w:t>
      </w:r>
    </w:p>
    <w:p>
      <w:pPr>
        <w:spacing w:after="0" w:line="1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remaining performance obligations consisted of the following:</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8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80" w:type="dxa"/>
            <w:vAlign w:val="bottom"/>
          </w:tcPr>
          <w:p>
            <w:pPr>
              <w:spacing w:after="0"/>
              <w:rPr>
                <w:sz w:val="15"/>
                <w:szCs w:val="15"/>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0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09"/>
        </w:trPr>
        <w:tc>
          <w:tcPr>
            <w:tcW w:w="580" w:type="dxa"/>
            <w:vAlign w:val="bottom"/>
          </w:tcPr>
          <w:p>
            <w:pPr>
              <w:spacing w:after="0"/>
              <w:rPr>
                <w:sz w:val="18"/>
                <w:szCs w:val="18"/>
                <w:color w:val="auto"/>
              </w:rPr>
            </w:pPr>
          </w:p>
        </w:tc>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4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170,327</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188,050</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Non-current</w:t>
            </w:r>
          </w:p>
        </w:tc>
        <w:tc>
          <w:tcPr>
            <w:tcW w:w="40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91,084</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105,673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49"/>
        </w:trPr>
        <w:tc>
          <w:tcPr>
            <w:tcW w:w="580" w:type="dxa"/>
            <w:vAlign w:val="bottom"/>
          </w:tcPr>
          <w:p>
            <w:pPr>
              <w:spacing w:after="0"/>
              <w:rPr>
                <w:sz w:val="21"/>
                <w:szCs w:val="21"/>
                <w:color w:val="auto"/>
              </w:rPr>
            </w:pPr>
          </w:p>
        </w:tc>
        <w:tc>
          <w:tcPr>
            <w:tcW w:w="29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4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261,411</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293,723</w:t>
            </w:r>
          </w:p>
        </w:tc>
        <w:tc>
          <w:tcPr>
            <w:tcW w:w="560" w:type="dxa"/>
            <w:vAlign w:val="bottom"/>
          </w:tcPr>
          <w:p>
            <w:pPr>
              <w:spacing w:after="0"/>
              <w:rPr>
                <w:sz w:val="21"/>
                <w:szCs w:val="21"/>
                <w:color w:val="auto"/>
              </w:rPr>
            </w:pPr>
          </w:p>
        </w:tc>
      </w:tr>
      <w:tr>
        <w:trPr>
          <w:trHeight w:val="520"/>
        </w:trPr>
        <w:tc>
          <w:tcPr>
            <w:tcW w:w="580" w:type="dxa"/>
            <w:vAlign w:val="bottom"/>
          </w:tcPr>
          <w:p>
            <w:pPr>
              <w:spacing w:after="0"/>
              <w:rPr>
                <w:sz w:val="24"/>
                <w:szCs w:val="24"/>
                <w:color w:val="auto"/>
              </w:rPr>
            </w:pPr>
          </w:p>
        </w:tc>
        <w:tc>
          <w:tcPr>
            <w:tcW w:w="2920" w:type="dxa"/>
            <w:vAlign w:val="bottom"/>
            <w:tcBorders>
              <w:top w:val="single" w:sz="8" w:color="CFF0FC"/>
            </w:tcBorders>
          </w:tcPr>
          <w:p>
            <w:pPr>
              <w:spacing w:after="0"/>
              <w:rPr>
                <w:sz w:val="24"/>
                <w:szCs w:val="24"/>
                <w:color w:val="auto"/>
              </w:rPr>
            </w:pPr>
          </w:p>
        </w:tc>
        <w:tc>
          <w:tcPr>
            <w:tcW w:w="4040" w:type="dxa"/>
            <w:vAlign w:val="bottom"/>
            <w:tcBorders>
              <w:top w:val="single" w:sz="8" w:color="CFF0FC"/>
            </w:tcBorders>
          </w:tcPr>
          <w:p>
            <w:pPr>
              <w:jc w:val="right"/>
              <w:ind w:right="1730"/>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-865505</wp:posOffset>
            </wp:positionV>
            <wp:extent cx="603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-847725</wp:posOffset>
            </wp:positionV>
            <wp:extent cx="6032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-865505</wp:posOffset>
            </wp:positionV>
            <wp:extent cx="6032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-847725</wp:posOffset>
            </wp:positionV>
            <wp:extent cx="6032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4. Short-Term Investments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Short-term investments classified as available-for-sale consisted of the following:</w:t>
      </w:r>
    </w:p>
    <w:p>
      <w:pPr>
        <w:spacing w:after="0" w:line="111"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2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7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3"/>
          </w:tcPr>
          <w:p>
            <w:pPr>
              <w:jc w:val="center"/>
              <w:ind w:left="14"/>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6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7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2"/>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12"/>
                <w:szCs w:val="12"/>
                <w:color w:val="auto"/>
              </w:rPr>
            </w:pPr>
          </w:p>
        </w:tc>
        <w:tc>
          <w:tcPr>
            <w:tcW w:w="182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Gross Unrealized Gains</w:t>
            </w:r>
          </w:p>
        </w:tc>
        <w:tc>
          <w:tcPr>
            <w:tcW w:w="1840" w:type="dxa"/>
            <w:vAlign w:val="bottom"/>
            <w:gridSpan w:val="3"/>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80" w:type="dxa"/>
            <w:vAlign w:val="bottom"/>
          </w:tcPr>
          <w:p>
            <w:pPr>
              <w:spacing w:after="0"/>
              <w:rPr>
                <w:sz w:val="12"/>
                <w:szCs w:val="12"/>
                <w:color w:val="auto"/>
              </w:rPr>
            </w:pPr>
          </w:p>
        </w:tc>
        <w:tc>
          <w:tcPr>
            <w:tcW w:w="1280" w:type="dxa"/>
            <w:vAlign w:val="bottom"/>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7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80" w:type="dxa"/>
            <w:vAlign w:val="bottom"/>
            <w:tcBorders>
              <w:left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80" w:type="dxa"/>
            <w:vAlign w:val="bottom"/>
            <w:tcBorders>
              <w:left w:val="single" w:sz="8" w:color="CFF0FC"/>
              <w:right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treasuries</w:t>
            </w:r>
          </w:p>
        </w:tc>
        <w:tc>
          <w:tcPr>
            <w:tcW w:w="9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9,267</w:t>
            </w:r>
          </w:p>
        </w:tc>
        <w:tc>
          <w:tcPr>
            <w:tcW w:w="740" w:type="dxa"/>
            <w:vAlign w:val="bottom"/>
            <w:gridSpan w:val="2"/>
          </w:tcPr>
          <w:p>
            <w:pPr>
              <w:jc w:val="right"/>
              <w:ind w:right="44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9,265</w:t>
            </w:r>
          </w:p>
        </w:tc>
        <w:tc>
          <w:tcPr>
            <w:tcW w:w="0" w:type="dxa"/>
            <w:vAlign w:val="bottom"/>
          </w:tcPr>
          <w:p>
            <w:pPr>
              <w:spacing w:after="0"/>
              <w:rPr>
                <w:sz w:val="1"/>
                <w:szCs w:val="1"/>
                <w:color w:val="auto"/>
              </w:rPr>
            </w:pPr>
          </w:p>
        </w:tc>
      </w:tr>
      <w:tr>
        <w:trPr>
          <w:trHeight w:val="216"/>
        </w:trPr>
        <w:tc>
          <w:tcPr>
            <w:tcW w:w="27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Commercial paper</w:t>
            </w: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64,262</w:t>
            </w: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Borders>
              <w:left w:val="single" w:sz="8" w:color="CFF0FC"/>
            </w:tcBorders>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96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64,262</w:t>
            </w:r>
          </w:p>
        </w:tc>
        <w:tc>
          <w:tcPr>
            <w:tcW w:w="0" w:type="dxa"/>
            <w:vAlign w:val="bottom"/>
          </w:tcPr>
          <w:p>
            <w:pPr>
              <w:spacing w:after="0"/>
              <w:rPr>
                <w:sz w:val="1"/>
                <w:szCs w:val="1"/>
                <w:color w:val="auto"/>
              </w:rPr>
            </w:pPr>
          </w:p>
        </w:tc>
      </w:tr>
      <w:tr>
        <w:trPr>
          <w:trHeight w:val="216"/>
        </w:trPr>
        <w:tc>
          <w:tcPr>
            <w:tcW w:w="2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Certificates of deposit</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29,451</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29,690</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102,980</w:t>
            </w:r>
          </w:p>
        </w:tc>
        <w:tc>
          <w:tcPr>
            <w:tcW w:w="740" w:type="dxa"/>
            <w:vAlign w:val="bottom"/>
            <w:gridSpan w:val="2"/>
            <w:shd w:val="clear" w:color="auto" w:fill="CFF0FC"/>
          </w:tcPr>
          <w:p>
            <w:pPr>
              <w:jc w:val="right"/>
              <w:ind w:right="44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80" w:type="dxa"/>
            <w:vAlign w:val="bottom"/>
            <w:tcBorders>
              <w:left w:val="single" w:sz="8" w:color="CFF0FC"/>
            </w:tcBorders>
            <w:shd w:val="clear" w:color="auto" w:fill="CFF0FC"/>
          </w:tcPr>
          <w:p>
            <w:pPr>
              <w:spacing w:after="0"/>
              <w:rPr>
                <w:sz w:val="19"/>
                <w:szCs w:val="19"/>
                <w:color w:val="auto"/>
              </w:rPr>
            </w:pPr>
          </w:p>
        </w:tc>
        <w:tc>
          <w:tcPr>
            <w:tcW w:w="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103,217</w:t>
            </w:r>
          </w:p>
        </w:tc>
        <w:tc>
          <w:tcPr>
            <w:tcW w:w="0" w:type="dxa"/>
            <w:vAlign w:val="bottom"/>
          </w:tcPr>
          <w:p>
            <w:pPr>
              <w:spacing w:after="0"/>
              <w:rPr>
                <w:sz w:val="1"/>
                <w:szCs w:val="1"/>
                <w:color w:val="auto"/>
              </w:rPr>
            </w:pPr>
          </w:p>
        </w:tc>
      </w:tr>
      <w:tr>
        <w:trPr>
          <w:trHeight w:val="20"/>
        </w:trPr>
        <w:tc>
          <w:tcPr>
            <w:tcW w:w="278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7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7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2"/>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12"/>
                <w:szCs w:val="12"/>
                <w:color w:val="auto"/>
              </w:rPr>
            </w:pPr>
          </w:p>
        </w:tc>
        <w:tc>
          <w:tcPr>
            <w:tcW w:w="182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Gross Unrealized Gains</w:t>
            </w:r>
          </w:p>
        </w:tc>
        <w:tc>
          <w:tcPr>
            <w:tcW w:w="1840" w:type="dxa"/>
            <w:vAlign w:val="bottom"/>
            <w:gridSpan w:val="3"/>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80" w:type="dxa"/>
            <w:vAlign w:val="bottom"/>
          </w:tcPr>
          <w:p>
            <w:pPr>
              <w:spacing w:after="0"/>
              <w:rPr>
                <w:sz w:val="12"/>
                <w:szCs w:val="12"/>
                <w:color w:val="auto"/>
              </w:rPr>
            </w:pPr>
          </w:p>
        </w:tc>
        <w:tc>
          <w:tcPr>
            <w:tcW w:w="1280" w:type="dxa"/>
            <w:vAlign w:val="bottom"/>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7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80" w:type="dxa"/>
            <w:vAlign w:val="bottom"/>
            <w:tcBorders>
              <w:left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80" w:type="dxa"/>
            <w:vAlign w:val="bottom"/>
            <w:tcBorders>
              <w:left w:val="single" w:sz="8" w:color="CFF0FC"/>
              <w:right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treasuries</w:t>
            </w:r>
          </w:p>
        </w:tc>
        <w:tc>
          <w:tcPr>
            <w:tcW w:w="9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24,477</w:t>
            </w:r>
          </w:p>
        </w:tc>
        <w:tc>
          <w:tcPr>
            <w:tcW w:w="140" w:type="dxa"/>
            <w:vAlign w:val="bottom"/>
          </w:tcPr>
          <w:p>
            <w:pPr>
              <w:spacing w:after="0"/>
              <w:rPr>
                <w:sz w:val="18"/>
                <w:szCs w:val="18"/>
                <w:color w:val="auto"/>
              </w:rPr>
            </w:pPr>
          </w:p>
        </w:tc>
        <w:tc>
          <w:tcPr>
            <w:tcW w:w="740" w:type="dxa"/>
            <w:vAlign w:val="bottom"/>
            <w:gridSpan w:val="2"/>
          </w:tcPr>
          <w:p>
            <w:pPr>
              <w:jc w:val="right"/>
              <w:ind w:right="44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Commercial paper</w:t>
            </w: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127,642</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80" w:type="dxa"/>
            <w:vAlign w:val="bottom"/>
            <w:tcBorders>
              <w:left w:val="single" w:sz="8" w:color="CFF0FC"/>
            </w:tcBorders>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9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127,682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Certificates of deposit</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32,598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9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184,717</w:t>
            </w: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4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80" w:type="dxa"/>
            <w:vAlign w:val="bottom"/>
            <w:tcBorders>
              <w:left w:val="single" w:sz="8" w:color="CFF0FC"/>
            </w:tcBorders>
            <w:shd w:val="clear" w:color="auto" w:fill="CFF0FC"/>
          </w:tcPr>
          <w:p>
            <w:pPr>
              <w:spacing w:after="0"/>
              <w:rPr>
                <w:sz w:val="19"/>
                <w:szCs w:val="19"/>
                <w:color w:val="auto"/>
              </w:rPr>
            </w:pPr>
          </w:p>
        </w:tc>
        <w:tc>
          <w:tcPr>
            <w:tcW w:w="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184,786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8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left w:val="single" w:sz="8" w:color="auto"/>
              <w:right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-1087755</wp:posOffset>
            </wp:positionV>
            <wp:extent cx="603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-1071245</wp:posOffset>
            </wp:positionV>
            <wp:extent cx="603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-1087755</wp:posOffset>
            </wp:positionV>
            <wp:extent cx="603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-1071245</wp:posOffset>
            </wp:positionV>
            <wp:extent cx="603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-1087755</wp:posOffset>
            </wp:positionV>
            <wp:extent cx="603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-1071245</wp:posOffset>
            </wp:positionV>
            <wp:extent cx="603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-1087755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-1071245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-25400</wp:posOffset>
            </wp:positionV>
            <wp:extent cx="603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-7620</wp:posOffset>
            </wp:positionV>
            <wp:extent cx="603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-25400</wp:posOffset>
            </wp:positionV>
            <wp:extent cx="6032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-7620</wp:posOffset>
            </wp:positionV>
            <wp:extent cx="603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-25400</wp:posOffset>
            </wp:positionV>
            <wp:extent cx="6032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-7620</wp:posOffset>
            </wp:positionV>
            <wp:extent cx="603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-25400</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-7620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All short-term investments had stated maturity dates of less than one year. Included in the amortized cost as of June 30, 2025 and December 31, 2024 is net accumulated accretion of $0.9 million and $1.6 million, respectively. Interest accretion on short-term investments was $0.8 million and $1.8 million during the three months ended June 30, 2025 and 2024, respectively, and $1.9 million and $3.8 million during the six months ended June 30, 2025 and 2024, respectively.</w:t>
      </w:r>
    </w:p>
    <w:p>
      <w:pPr>
        <w:spacing w:after="0" w:line="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32"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5. Accounts Receivable,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Accounts receivable, net consisted of the following:</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6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80" w:type="dxa"/>
            <w:vAlign w:val="bottom"/>
          </w:tcPr>
          <w:p>
            <w:pPr>
              <w:spacing w:after="0"/>
              <w:rPr>
                <w:sz w:val="15"/>
                <w:szCs w:val="15"/>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r>
      <w:tr>
        <w:trPr>
          <w:trHeight w:val="210"/>
        </w:trPr>
        <w:tc>
          <w:tcPr>
            <w:tcW w:w="580" w:type="dxa"/>
            <w:vAlign w:val="bottom"/>
          </w:tcPr>
          <w:p>
            <w:pPr>
              <w:spacing w:after="0"/>
              <w:rPr>
                <w:sz w:val="18"/>
                <w:szCs w:val="18"/>
                <w:color w:val="auto"/>
              </w:rPr>
            </w:pPr>
          </w:p>
        </w:tc>
        <w:tc>
          <w:tcPr>
            <w:tcW w:w="69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38,681</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54,618</w:t>
            </w:r>
          </w:p>
        </w:tc>
      </w:tr>
      <w:tr>
        <w:trPr>
          <w:trHeight w:val="216"/>
        </w:trPr>
        <w:tc>
          <w:tcPr>
            <w:tcW w:w="58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Unbilled receivable</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696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39,197</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55,346</w:t>
            </w:r>
          </w:p>
        </w:tc>
      </w:tr>
      <w:tr>
        <w:trPr>
          <w:trHeight w:val="216"/>
        </w:trPr>
        <w:tc>
          <w:tcPr>
            <w:tcW w:w="580" w:type="dxa"/>
            <w:vAlign w:val="bottom"/>
          </w:tcPr>
          <w:p>
            <w:pPr>
              <w:spacing w:after="0"/>
              <w:rPr>
                <w:sz w:val="18"/>
                <w:szCs w:val="18"/>
                <w:color w:val="auto"/>
              </w:rPr>
            </w:pPr>
          </w:p>
        </w:tc>
        <w:tc>
          <w:tcPr>
            <w:tcW w:w="6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6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(2,114)</w:t>
            </w:r>
          </w:p>
        </w:tc>
      </w:tr>
      <w:tr>
        <w:trPr>
          <w:trHeight w:val="250"/>
        </w:trPr>
        <w:tc>
          <w:tcPr>
            <w:tcW w:w="580" w:type="dxa"/>
            <w:vAlign w:val="bottom"/>
          </w:tcPr>
          <w:p>
            <w:pPr>
              <w:spacing w:after="0"/>
              <w:rPr>
                <w:sz w:val="21"/>
                <w:szCs w:val="21"/>
                <w:color w:val="auto"/>
              </w:rPr>
            </w:pPr>
          </w:p>
        </w:tc>
        <w:tc>
          <w:tcPr>
            <w:tcW w:w="696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37,507</w:t>
            </w:r>
          </w:p>
        </w:tc>
        <w:tc>
          <w:tcPr>
            <w:tcW w:w="160" w:type="dxa"/>
            <w:vAlign w:val="bottom"/>
            <w:tcBorders>
              <w:left w:val="single" w:sz="8" w:color="CFF0FC"/>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53,232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979"/>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 Prepaid Expenses and Other Assets</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75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Prepaid expenses and other assets consisted of the following:</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2"/>
        </w:trPr>
        <w:tc>
          <w:tcPr>
            <w:tcW w:w="58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80" w:type="dxa"/>
            <w:vAlign w:val="bottom"/>
          </w:tcPr>
          <w:p>
            <w:pPr>
              <w:spacing w:after="0"/>
              <w:rPr>
                <w:sz w:val="15"/>
                <w:szCs w:val="15"/>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580" w:type="dxa"/>
            <w:vAlign w:val="bottom"/>
          </w:tcPr>
          <w:p>
            <w:pPr>
              <w:spacing w:after="0"/>
              <w:rPr>
                <w:sz w:val="18"/>
                <w:szCs w:val="18"/>
                <w:color w:val="auto"/>
              </w:rPr>
            </w:pPr>
          </w:p>
        </w:tc>
        <w:tc>
          <w:tcPr>
            <w:tcW w:w="69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13,691</w:t>
            </w:r>
          </w:p>
        </w:tc>
        <w:tc>
          <w:tcPr>
            <w:tcW w:w="160" w:type="dxa"/>
            <w:vAlign w:val="bottom"/>
            <w:tcBorders>
              <w:left w:val="single" w:sz="8" w:color="CFF0FC"/>
            </w:tcBorders>
            <w:shd w:val="clear" w:color="auto" w:fill="CFF0FC"/>
          </w:tcPr>
          <w:p>
            <w:pPr>
              <w:spacing w:after="0"/>
              <w:rPr>
                <w:sz w:val="18"/>
                <w:szCs w:val="18"/>
                <w:color w:val="auto"/>
              </w:rPr>
            </w:pPr>
          </w:p>
        </w:tc>
        <w:tc>
          <w:tcPr>
            <w:tcW w:w="2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11,458</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receivables</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9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deposits</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60" w:type="dxa"/>
            <w:vAlign w:val="bottom"/>
            <w:tcBorders>
              <w:lef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Short-term derivative asset</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Pr>
          <w:p>
            <w:pPr>
              <w:spacing w:after="0"/>
              <w:rPr>
                <w:sz w:val="18"/>
                <w:szCs w:val="18"/>
                <w:color w:val="auto"/>
              </w:rPr>
            </w:pPr>
          </w:p>
        </w:tc>
      </w:tr>
      <w:tr>
        <w:trPr>
          <w:trHeight w:val="229"/>
        </w:trPr>
        <w:tc>
          <w:tcPr>
            <w:tcW w:w="580" w:type="dxa"/>
            <w:vAlign w:val="bottom"/>
          </w:tcPr>
          <w:p>
            <w:pPr>
              <w:spacing w:after="0"/>
              <w:rPr>
                <w:sz w:val="19"/>
                <w:szCs w:val="19"/>
                <w:color w:val="auto"/>
              </w:rPr>
            </w:pPr>
          </w:p>
        </w:tc>
        <w:tc>
          <w:tcPr>
            <w:tcW w:w="69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14,305</w:t>
            </w:r>
          </w:p>
        </w:tc>
        <w:tc>
          <w:tcPr>
            <w:tcW w:w="160" w:type="dxa"/>
            <w:vAlign w:val="bottom"/>
            <w:tcBorders>
              <w:left w:val="single" w:sz="8" w:color="CFF0FC"/>
            </w:tcBorders>
            <w:shd w:val="clear" w:color="auto" w:fill="CFF0FC"/>
          </w:tcPr>
          <w:p>
            <w:pPr>
              <w:spacing w:after="0"/>
              <w:rPr>
                <w:sz w:val="19"/>
                <w:szCs w:val="19"/>
                <w:color w:val="auto"/>
              </w:rPr>
            </w:pPr>
          </w:p>
        </w:tc>
        <w:tc>
          <w:tcPr>
            <w:tcW w:w="2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13,040</w:t>
            </w:r>
          </w:p>
        </w:tc>
        <w:tc>
          <w:tcPr>
            <w:tcW w:w="100" w:type="dxa"/>
            <w:vAlign w:val="bottom"/>
            <w:shd w:val="clear" w:color="auto" w:fill="CFF0FC"/>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69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737"/>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Property and Equipment, Net</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75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2"/>
        </w:trPr>
        <w:tc>
          <w:tcPr>
            <w:tcW w:w="58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80" w:type="dxa"/>
            <w:vAlign w:val="bottom"/>
          </w:tcPr>
          <w:p>
            <w:pPr>
              <w:spacing w:after="0"/>
              <w:rPr>
                <w:sz w:val="15"/>
                <w:szCs w:val="15"/>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580" w:type="dxa"/>
            <w:vAlign w:val="bottom"/>
          </w:tcPr>
          <w:p>
            <w:pPr>
              <w:spacing w:after="0"/>
              <w:rPr>
                <w:sz w:val="18"/>
                <w:szCs w:val="18"/>
                <w:color w:val="auto"/>
              </w:rPr>
            </w:pPr>
          </w:p>
        </w:tc>
        <w:tc>
          <w:tcPr>
            <w:tcW w:w="69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Computers and software</w:t>
            </w: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13,413</w:t>
            </w:r>
          </w:p>
        </w:tc>
        <w:tc>
          <w:tcPr>
            <w:tcW w:w="160" w:type="dxa"/>
            <w:vAlign w:val="bottom"/>
            <w:tcBorders>
              <w:left w:val="single" w:sz="8" w:color="CFF0FC"/>
            </w:tcBorders>
            <w:shd w:val="clear" w:color="auto" w:fill="CFF0FC"/>
          </w:tcPr>
          <w:p>
            <w:pPr>
              <w:spacing w:after="0"/>
              <w:rPr>
                <w:sz w:val="18"/>
                <w:szCs w:val="18"/>
                <w:color w:val="auto"/>
              </w:rPr>
            </w:pPr>
          </w:p>
        </w:tc>
        <w:tc>
          <w:tcPr>
            <w:tcW w:w="2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8,472</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9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160" w:type="dxa"/>
            <w:vAlign w:val="bottom"/>
            <w:tcBorders>
              <w:lef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and software development in process</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80" w:type="dxa"/>
            <w:vAlign w:val="bottom"/>
          </w:tcPr>
          <w:p>
            <w:pPr>
              <w:spacing w:after="0"/>
              <w:rPr>
                <w:sz w:val="18"/>
                <w:szCs w:val="18"/>
                <w:color w:val="auto"/>
              </w:rPr>
            </w:pPr>
          </w:p>
        </w:tc>
        <w:tc>
          <w:tcPr>
            <w:tcW w:w="6960" w:type="dxa"/>
            <w:vAlign w:val="bottom"/>
            <w:tcBorders>
              <w:right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19,197</w:t>
            </w:r>
          </w:p>
        </w:tc>
        <w:tc>
          <w:tcPr>
            <w:tcW w:w="160" w:type="dxa"/>
            <w:vAlign w:val="bottom"/>
            <w:tcBorders>
              <w:lef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11,251</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(7,460)</w:t>
            </w:r>
          </w:p>
        </w:tc>
      </w:tr>
      <w:tr>
        <w:trPr>
          <w:trHeight w:val="20"/>
        </w:trPr>
        <w:tc>
          <w:tcPr>
            <w:tcW w:w="580" w:type="dxa"/>
            <w:vAlign w:val="bottom"/>
          </w:tcPr>
          <w:p>
            <w:pPr>
              <w:spacing w:after="0" w:line="20" w:lineRule="exact"/>
              <w:rPr>
                <w:sz w:val="1"/>
                <w:szCs w:val="1"/>
                <w:color w:val="auto"/>
              </w:rPr>
            </w:pPr>
          </w:p>
        </w:tc>
        <w:tc>
          <w:tcPr>
            <w:tcW w:w="696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80" w:type="dxa"/>
            <w:vAlign w:val="bottom"/>
          </w:tcPr>
          <w:p>
            <w:pPr>
              <w:spacing w:after="0"/>
              <w:rPr>
                <w:sz w:val="19"/>
                <w:szCs w:val="19"/>
                <w:color w:val="auto"/>
              </w:rPr>
            </w:pPr>
          </w:p>
        </w:tc>
        <w:tc>
          <w:tcPr>
            <w:tcW w:w="69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10,512</w:t>
            </w:r>
          </w:p>
        </w:tc>
        <w:tc>
          <w:tcPr>
            <w:tcW w:w="160" w:type="dxa"/>
            <w:vAlign w:val="bottom"/>
            <w:tcBorders>
              <w:left w:val="single" w:sz="8" w:color="CFF0FC"/>
            </w:tcBorders>
            <w:shd w:val="clear" w:color="auto" w:fill="CFF0FC"/>
          </w:tcPr>
          <w:p>
            <w:pPr>
              <w:spacing w:after="0"/>
              <w:rPr>
                <w:sz w:val="19"/>
                <w:szCs w:val="19"/>
                <w:color w:val="auto"/>
              </w:rPr>
            </w:pPr>
          </w:p>
        </w:tc>
        <w:tc>
          <w:tcPr>
            <w:tcW w:w="2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3,791</w:t>
            </w:r>
          </w:p>
        </w:tc>
        <w:tc>
          <w:tcPr>
            <w:tcW w:w="100" w:type="dxa"/>
            <w:vAlign w:val="bottom"/>
            <w:shd w:val="clear" w:color="auto" w:fill="CFF0FC"/>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69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-3805555</wp:posOffset>
            </wp:positionV>
            <wp:extent cx="603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-3788410</wp:posOffset>
            </wp:positionV>
            <wp:extent cx="603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-3805555</wp:posOffset>
            </wp:positionV>
            <wp:extent cx="603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-3788410</wp:posOffset>
            </wp:positionV>
            <wp:extent cx="603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-1979295</wp:posOffset>
            </wp:positionV>
            <wp:extent cx="596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-1962150</wp:posOffset>
            </wp:positionV>
            <wp:extent cx="596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-1979295</wp:posOffset>
            </wp:positionV>
            <wp:extent cx="603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-1962150</wp:posOffset>
            </wp:positionV>
            <wp:extent cx="603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-24765</wp:posOffset>
            </wp:positionV>
            <wp:extent cx="596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596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associated with property and equipment was $0.9 million and $0.6 million during the three months ended June 30, 2025 and 2024, respectively, and $1.5 million and $1.2 million during the six months ended June 30, 2025 and 2024, respectively.</w:t>
      </w:r>
    </w:p>
    <w:p>
      <w:pPr>
        <w:spacing w:after="0" w:line="5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332" w:right="6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8. Goodwill and Intangible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carrying amounts of goodwill and intangible assets, as of June 30, 2025 and December 31, 2024, consisted of the following:</w:t>
      </w:r>
    </w:p>
    <w:p>
      <w:pPr>
        <w:spacing w:after="0" w:line="111"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0"/>
                <w:szCs w:val="10"/>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9"/>
        </w:trPr>
        <w:tc>
          <w:tcPr>
            <w:tcW w:w="5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9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Pr>
          <w:p>
            <w:pPr>
              <w:spacing w:after="0"/>
              <w:rPr>
                <w:sz w:val="15"/>
                <w:szCs w:val="15"/>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2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410,390</w:t>
            </w:r>
          </w:p>
        </w:tc>
        <w:tc>
          <w:tcPr>
            <w:tcW w:w="120" w:type="dxa"/>
            <w:vAlign w:val="bottom"/>
          </w:tcPr>
          <w:p>
            <w:pPr>
              <w:spacing w:after="0"/>
              <w:rPr>
                <w:sz w:val="18"/>
                <w:szCs w:val="18"/>
                <w:color w:val="auto"/>
              </w:rPr>
            </w:pP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(211,674)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198,716</w:t>
            </w: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Developed technologies</w:t>
            </w: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85,280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(50,074)</w:t>
            </w: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35,206</w:t>
            </w:r>
          </w:p>
        </w:tc>
        <w:tc>
          <w:tcPr>
            <w:tcW w:w="0" w:type="dxa"/>
            <w:vAlign w:val="bottom"/>
          </w:tcPr>
          <w:p>
            <w:pPr>
              <w:spacing w:after="0"/>
              <w:rPr>
                <w:sz w:val="1"/>
                <w:szCs w:val="1"/>
                <w:color w:val="auto"/>
              </w:rPr>
            </w:pPr>
          </w:p>
        </w:tc>
      </w:tr>
      <w:tr>
        <w:trPr>
          <w:trHeight w:val="216"/>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Tradenames</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36,153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(12,771)</w:t>
            </w:r>
          </w:p>
        </w:tc>
        <w:tc>
          <w:tcPr>
            <w:tcW w:w="1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23,382</w:t>
            </w: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Database</w:t>
            </w: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67,488</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(53,555)</w:t>
            </w: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13,933</w:t>
            </w:r>
          </w:p>
        </w:tc>
        <w:tc>
          <w:tcPr>
            <w:tcW w:w="0" w:type="dxa"/>
            <w:vAlign w:val="bottom"/>
          </w:tcPr>
          <w:p>
            <w:pPr>
              <w:spacing w:after="0"/>
              <w:rPr>
                <w:sz w:val="1"/>
                <w:szCs w:val="1"/>
                <w:color w:val="auto"/>
              </w:rPr>
            </w:pPr>
          </w:p>
        </w:tc>
      </w:tr>
      <w:tr>
        <w:trPr>
          <w:trHeight w:val="20"/>
        </w:trPr>
        <w:tc>
          <w:tcPr>
            <w:tcW w:w="59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599,311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(328,074)</w:t>
            </w:r>
          </w:p>
        </w:tc>
        <w:tc>
          <w:tcPr>
            <w:tcW w:w="1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271,237</w:t>
            </w: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216,752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216,752</w:t>
            </w:r>
          </w:p>
        </w:tc>
        <w:tc>
          <w:tcPr>
            <w:tcW w:w="0" w:type="dxa"/>
            <w:vAlign w:val="bottom"/>
          </w:tcPr>
          <w:p>
            <w:pPr>
              <w:spacing w:after="0"/>
              <w:rPr>
                <w:sz w:val="1"/>
                <w:szCs w:val="1"/>
                <w:color w:val="auto"/>
              </w:rPr>
            </w:pPr>
          </w:p>
        </w:tc>
      </w:tr>
      <w:tr>
        <w:trPr>
          <w:trHeight w:val="20"/>
        </w:trPr>
        <w:tc>
          <w:tcPr>
            <w:tcW w:w="59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Total goodwill and intangible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816,063</w:t>
            </w:r>
          </w:p>
        </w:tc>
        <w:tc>
          <w:tcPr>
            <w:tcW w:w="120" w:type="dxa"/>
            <w:vAlign w:val="bottom"/>
          </w:tcPr>
          <w:p>
            <w:pPr>
              <w:spacing w:after="0"/>
              <w:rPr>
                <w:sz w:val="18"/>
                <w:szCs w:val="18"/>
                <w:color w:val="auto"/>
              </w:rPr>
            </w:pP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(328,074)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487,989</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9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0"/>
                <w:szCs w:val="10"/>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9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Pr>
          <w:p>
            <w:pPr>
              <w:spacing w:after="0"/>
              <w:rPr>
                <w:sz w:val="15"/>
                <w:szCs w:val="15"/>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2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410,390</w:t>
            </w:r>
          </w:p>
        </w:tc>
        <w:tc>
          <w:tcPr>
            <w:tcW w:w="120" w:type="dxa"/>
            <w:vAlign w:val="bottom"/>
          </w:tcPr>
          <w:p>
            <w:pPr>
              <w:spacing w:after="0"/>
              <w:rPr>
                <w:sz w:val="18"/>
                <w:szCs w:val="18"/>
                <w:color w:val="auto"/>
              </w:rPr>
            </w:pP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(196,694)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213,696</w:t>
            </w: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Developed technologies</w:t>
            </w: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85,074</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(43,526)</w:t>
            </w: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41,548</w:t>
            </w:r>
          </w:p>
        </w:tc>
        <w:tc>
          <w:tcPr>
            <w:tcW w:w="0" w:type="dxa"/>
            <w:vAlign w:val="bottom"/>
          </w:tcPr>
          <w:p>
            <w:pPr>
              <w:spacing w:after="0"/>
              <w:rPr>
                <w:sz w:val="1"/>
                <w:szCs w:val="1"/>
                <w:color w:val="auto"/>
              </w:rPr>
            </w:pPr>
          </w:p>
        </w:tc>
      </w:tr>
      <w:tr>
        <w:trPr>
          <w:trHeight w:val="216"/>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Tradenames</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36,078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(11,608)</w:t>
            </w:r>
          </w:p>
        </w:tc>
        <w:tc>
          <w:tcPr>
            <w:tcW w:w="1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24,470</w:t>
            </w: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Database</w:t>
            </w: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67,456</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(49,237)</w:t>
            </w: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18,219</w:t>
            </w:r>
          </w:p>
        </w:tc>
        <w:tc>
          <w:tcPr>
            <w:tcW w:w="0" w:type="dxa"/>
            <w:vAlign w:val="bottom"/>
          </w:tcPr>
          <w:p>
            <w:pPr>
              <w:spacing w:after="0"/>
              <w:rPr>
                <w:sz w:val="1"/>
                <w:szCs w:val="1"/>
                <w:color w:val="auto"/>
              </w:rPr>
            </w:pPr>
          </w:p>
        </w:tc>
      </w:tr>
      <w:tr>
        <w:trPr>
          <w:trHeight w:val="20"/>
        </w:trPr>
        <w:tc>
          <w:tcPr>
            <w:tcW w:w="59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598,998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(301,065)</w:t>
            </w:r>
          </w:p>
        </w:tc>
        <w:tc>
          <w:tcPr>
            <w:tcW w:w="1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297,933</w:t>
            </w: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393,283</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393,283</w:t>
            </w:r>
          </w:p>
        </w:tc>
        <w:tc>
          <w:tcPr>
            <w:tcW w:w="0" w:type="dxa"/>
            <w:vAlign w:val="bottom"/>
          </w:tcPr>
          <w:p>
            <w:pPr>
              <w:spacing w:after="0"/>
              <w:rPr>
                <w:sz w:val="1"/>
                <w:szCs w:val="1"/>
                <w:color w:val="auto"/>
              </w:rPr>
            </w:pPr>
          </w:p>
        </w:tc>
      </w:tr>
      <w:tr>
        <w:trPr>
          <w:trHeight w:val="20"/>
        </w:trPr>
        <w:tc>
          <w:tcPr>
            <w:tcW w:w="59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Total goodwill and intangible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992,281</w:t>
            </w:r>
          </w:p>
        </w:tc>
        <w:tc>
          <w:tcPr>
            <w:tcW w:w="120" w:type="dxa"/>
            <w:vAlign w:val="bottom"/>
          </w:tcPr>
          <w:p>
            <w:pPr>
              <w:spacing w:after="0"/>
              <w:rPr>
                <w:sz w:val="18"/>
                <w:szCs w:val="18"/>
                <w:color w:val="auto"/>
              </w:rPr>
            </w:pP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(301,065)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691,216</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-2142490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-2142490</wp:posOffset>
            </wp:positionV>
            <wp:extent cx="603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-2142490</wp:posOffset>
            </wp:positionV>
            <wp:extent cx="603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-1859280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-1859280</wp:posOffset>
            </wp:positionV>
            <wp:extent cx="603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-1859280</wp:posOffset>
            </wp:positionV>
            <wp:extent cx="603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-453390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-453390</wp:posOffset>
            </wp:positionV>
            <wp:extent cx="603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-453390</wp:posOffset>
            </wp:positionV>
            <wp:extent cx="603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-170815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-170815</wp:posOffset>
            </wp:positionV>
            <wp:extent cx="6032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7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Amortization expense associated with finite-lived intangible assets was $13.5 million and $12.2 million during the three months ended June 30, 2025 and 2024, respectively, of which $5.3 million and $3.4 million was included in cost of revenue during each respective period. Amortization expense associated with finite-lived intangible assets was $26.7 million and $24.3 million during the six months ended June 30, 2025 and 2024, respectively, of which $10.6 million and $6.7 million was included in cost of revenue during each respective period.</w:t>
      </w:r>
    </w:p>
    <w:p>
      <w:pPr>
        <w:spacing w:after="0" w:line="2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Estimated total intangible amortization expense during the next five years and thereafter is as follows:</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60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6"/>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 excluding the six months ended June 30, 2025</w:t>
            </w:r>
          </w:p>
        </w:tc>
        <w:tc>
          <w:tcPr>
            <w:tcW w:w="2860" w:type="dxa"/>
            <w:vAlign w:val="bottom"/>
            <w:gridSpan w:val="2"/>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26,095</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46,637</w:t>
            </w:r>
          </w:p>
        </w:tc>
      </w:tr>
      <w:tr>
        <w:trPr>
          <w:trHeight w:val="216"/>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22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39,859</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30,778</w:t>
            </w:r>
          </w:p>
        </w:tc>
      </w:tr>
      <w:tr>
        <w:trPr>
          <w:trHeight w:val="216"/>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22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26,224</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101,644</w:t>
            </w:r>
          </w:p>
        </w:tc>
      </w:tr>
      <w:tr>
        <w:trPr>
          <w:trHeight w:val="20"/>
        </w:trPr>
        <w:tc>
          <w:tcPr>
            <w:tcW w:w="60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860" w:type="dxa"/>
            <w:vAlign w:val="bottom"/>
            <w:gridSpan w:val="2"/>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271,237</w:t>
            </w:r>
          </w:p>
        </w:tc>
      </w:tr>
      <w:tr>
        <w:trPr>
          <w:trHeight w:val="20"/>
        </w:trPr>
        <w:tc>
          <w:tcPr>
            <w:tcW w:w="6040" w:type="dxa"/>
            <w:vAlign w:val="bottom"/>
            <w:tcBorders>
              <w:top w:val="single" w:sz="8" w:color="CFF0FC"/>
            </w:tcBorders>
            <w:shd w:val="clear" w:color="auto" w:fill="CFF0FC"/>
          </w:tcPr>
          <w:p>
            <w:pPr>
              <w:spacing w:after="0" w:line="20" w:lineRule="exact"/>
              <w:rPr>
                <w:sz w:val="1"/>
                <w:szCs w:val="1"/>
                <w:color w:val="auto"/>
              </w:rPr>
            </w:pPr>
          </w:p>
        </w:tc>
        <w:tc>
          <w:tcPr>
            <w:tcW w:w="226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6708775</wp:posOffset>
            </wp:positionH>
            <wp:positionV relativeFrom="paragraph">
              <wp:posOffset>-25400</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-8255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determined it had one reporting unit.</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332" w:right="4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Goodwill and acquired intangible assets are initially recorded at fair value and tested periodically for impairment. For purposes of initial recognition, the Company estimates the fair value of these assets using primarily unobservable inputs, which are considered Level 3 fair value measurements as defined in Note 12.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The Company performs an impairment test of goodwill during the fourth quarter of each fiscal year and more frequently if indicators of potential impairment arise.</w:t>
      </w:r>
    </w:p>
    <w:p>
      <w:pPr>
        <w:spacing w:after="0" w:line="7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Though the Company traditionally performs its annual impairment assessment in the first month of the fourth quarter of each calendar year, during the first quarter of 2025, the Company experienced declines in its market capitalization as a result of sustained decreases in the Company’s stock price, which represented a triggering event requiring management to perform a quantitative goodwill impairment test as of the end of the first quarter of 2025. As a result of the impairment test, the Company determined that the fair value of its single reporting unit as of the measurement date was lower than its carrying value and, accordingly, recorded a non-cash, pretax, goodwill impairment charge of $176.5 million during the first quarter of 2025. The goodwill impairment charge did not affect the Company’s liquidity or the financial covenants in its outstanding debt agreement.</w:t>
      </w:r>
    </w:p>
    <w:p>
      <w:pPr>
        <w:spacing w:after="0" w:line="79"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In calculating the goodwill impairment charge, the Company estimated the fair value of its single reporting unit based on its market capitalization and an appropriate control premium. Market capitalization is determined by multiplying the number of shares of Class A Common Stock outstanding by the market price of its Class A Common Stock. The control premium, or the amount paid by a new controlling shareholder for the benefits resulting from synergies and other potential benefits derived from controlling the acquired company, is determined by utilizing data from publicly available premium studies for similarly situated public company transactions. A goodwill impairment loss is recognized for the difference between the carrying value of the reporting unit and the fair value.</w:t>
      </w:r>
    </w:p>
    <w:p>
      <w:pPr>
        <w:spacing w:after="0" w:line="79" w:lineRule="exact"/>
        <w:rPr>
          <w:sz w:val="20"/>
          <w:szCs w:val="20"/>
          <w:color w:val="auto"/>
        </w:rPr>
      </w:pPr>
    </w:p>
    <w:p>
      <w:pPr>
        <w:ind w:right="800" w:firstLine="509"/>
        <w:spacing w:after="0" w:line="282" w:lineRule="auto"/>
        <w:rPr>
          <w:sz w:val="20"/>
          <w:szCs w:val="20"/>
          <w:color w:val="auto"/>
        </w:rPr>
      </w:pPr>
      <w:r>
        <w:rPr>
          <w:rFonts w:ascii="Times New Roman" w:cs="Times New Roman" w:eastAsia="Times New Roman" w:hAnsi="Times New Roman"/>
          <w:sz w:val="18"/>
          <w:szCs w:val="18"/>
          <w:color w:val="auto"/>
        </w:rPr>
        <w:t>There were no triggering events identified during the second quarter of 2025 that would have required management to perform a goodwill impairment test.</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and for the periods ended June 30, 2025 and December 31, 2024, goodwill consisted of the following:</w:t>
      </w:r>
    </w:p>
    <w:p>
      <w:pPr>
        <w:spacing w:after="0" w:line="9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48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r>
      <w:tr>
        <w:trPr>
          <w:trHeight w:val="210"/>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gross - beginning of period</w:t>
            </w:r>
          </w:p>
        </w:tc>
        <w:tc>
          <w:tcPr>
            <w:tcW w:w="2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1,369,537</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1,362,480</w:t>
            </w:r>
          </w:p>
        </w:tc>
        <w:tc>
          <w:tcPr>
            <w:tcW w:w="100" w:type="dxa"/>
            <w:vAlign w:val="bottom"/>
            <w:shd w:val="clear" w:color="auto" w:fill="CFF0FC"/>
          </w:tcPr>
          <w:p>
            <w:pPr>
              <w:spacing w:after="0"/>
              <w:rPr>
                <w:sz w:val="18"/>
                <w:szCs w:val="18"/>
                <w:color w:val="auto"/>
              </w:rPr>
            </w:pPr>
          </w:p>
        </w:tc>
      </w:tr>
      <w:tr>
        <w:trPr>
          <w:trHeight w:val="216"/>
        </w:trPr>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(976,254)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(287,400)</w:t>
            </w:r>
          </w:p>
        </w:tc>
      </w:tr>
      <w:tr>
        <w:trPr>
          <w:trHeight w:val="210"/>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net - beginning of period</w:t>
            </w:r>
          </w:p>
        </w:tc>
        <w:tc>
          <w:tcPr>
            <w:tcW w:w="21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393,283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1,075,080</w:t>
            </w:r>
          </w:p>
        </w:tc>
        <w:tc>
          <w:tcPr>
            <w:tcW w:w="100" w:type="dxa"/>
            <w:vAlign w:val="bottom"/>
            <w:shd w:val="clear" w:color="auto" w:fill="CFF0FC"/>
          </w:tcPr>
          <w:p>
            <w:pPr>
              <w:spacing w:after="0"/>
              <w:rPr>
                <w:sz w:val="18"/>
                <w:szCs w:val="18"/>
                <w:color w:val="auto"/>
              </w:rPr>
            </w:pPr>
          </w:p>
        </w:tc>
      </w:tr>
      <w:tr>
        <w:trPr>
          <w:trHeight w:val="216"/>
        </w:trPr>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 acquired during period</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7,057</w:t>
            </w:r>
          </w:p>
        </w:tc>
        <w:tc>
          <w:tcPr>
            <w:tcW w:w="100" w:type="dxa"/>
            <w:vAlign w:val="bottom"/>
          </w:tcPr>
          <w:p>
            <w:pPr>
              <w:spacing w:after="0"/>
              <w:rPr>
                <w:sz w:val="18"/>
                <w:szCs w:val="18"/>
                <w:color w:val="auto"/>
              </w:rPr>
            </w:pPr>
          </w:p>
        </w:tc>
      </w:tr>
      <w:tr>
        <w:trPr>
          <w:trHeight w:val="216"/>
        </w:trPr>
        <w:tc>
          <w:tcPr>
            <w:tcW w:w="4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Goodwill impairment loss</w:t>
            </w:r>
          </w:p>
        </w:tc>
        <w:tc>
          <w:tcPr>
            <w:tcW w:w="2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(176,531)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(688,854)</w:t>
            </w:r>
          </w:p>
        </w:tc>
      </w:tr>
      <w:tr>
        <w:trPr>
          <w:trHeight w:val="210"/>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Goodwill, net - end of period</w:t>
            </w:r>
          </w:p>
        </w:tc>
        <w:tc>
          <w:tcPr>
            <w:tcW w:w="2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216,752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393,283</w:t>
            </w:r>
          </w:p>
        </w:tc>
        <w:tc>
          <w:tcPr>
            <w:tcW w:w="100" w:type="dxa"/>
            <w:vAlign w:val="bottom"/>
          </w:tcPr>
          <w:p>
            <w:pPr>
              <w:spacing w:after="0"/>
              <w:rPr>
                <w:sz w:val="18"/>
                <w:szCs w:val="18"/>
                <w:color w:val="auto"/>
              </w:rPr>
            </w:pPr>
          </w:p>
        </w:tc>
      </w:tr>
      <w:tr>
        <w:trPr>
          <w:trHeight w:val="20"/>
        </w:trPr>
        <w:tc>
          <w:tcPr>
            <w:tcW w:w="48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20"/>
        </w:trPr>
        <w:tc>
          <w:tcPr>
            <w:tcW w:w="48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48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r>
      <w:tr>
        <w:trPr>
          <w:trHeight w:val="210"/>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gross - end of period</w:t>
            </w:r>
          </w:p>
        </w:tc>
        <w:tc>
          <w:tcPr>
            <w:tcW w:w="2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1,369,537</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1,369,537</w:t>
            </w:r>
          </w:p>
        </w:tc>
        <w:tc>
          <w:tcPr>
            <w:tcW w:w="100" w:type="dxa"/>
            <w:vAlign w:val="bottom"/>
            <w:shd w:val="clear" w:color="auto" w:fill="CFF0FC"/>
          </w:tcPr>
          <w:p>
            <w:pPr>
              <w:spacing w:after="0"/>
              <w:rPr>
                <w:sz w:val="18"/>
                <w:szCs w:val="18"/>
                <w:color w:val="auto"/>
              </w:rPr>
            </w:pPr>
          </w:p>
        </w:tc>
      </w:tr>
      <w:tr>
        <w:trPr>
          <w:trHeight w:val="216"/>
        </w:trPr>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(1,152,785)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(976,254)</w:t>
            </w:r>
          </w:p>
        </w:tc>
      </w:tr>
      <w:tr>
        <w:trPr>
          <w:trHeight w:val="20"/>
        </w:trPr>
        <w:tc>
          <w:tcPr>
            <w:tcW w:w="48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net - end of period</w:t>
            </w:r>
          </w:p>
        </w:tc>
        <w:tc>
          <w:tcPr>
            <w:tcW w:w="2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216,752</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393,283</w:t>
            </w:r>
          </w:p>
        </w:tc>
        <w:tc>
          <w:tcPr>
            <w:tcW w:w="100" w:type="dxa"/>
            <w:vAlign w:val="bottom"/>
            <w:shd w:val="clear" w:color="auto" w:fill="CFF0FC"/>
          </w:tcPr>
          <w:p>
            <w:pPr>
              <w:spacing w:after="0"/>
              <w:rPr>
                <w:sz w:val="19"/>
                <w:szCs w:val="19"/>
                <w:color w:val="auto"/>
              </w:rPr>
            </w:pPr>
          </w:p>
        </w:tc>
      </w:tr>
      <w:tr>
        <w:trPr>
          <w:trHeight w:val="20"/>
        </w:trPr>
        <w:tc>
          <w:tcPr>
            <w:tcW w:w="4800" w:type="dxa"/>
            <w:vAlign w:val="bottom"/>
            <w:tcBorders>
              <w:top w:val="single" w:sz="8" w:color="CFF0FC"/>
            </w:tcBorders>
            <w:shd w:val="clear" w:color="auto" w:fill="CFF0FC"/>
          </w:tcPr>
          <w:p>
            <w:pPr>
              <w:spacing w:after="0" w:line="20" w:lineRule="exact"/>
              <w:rPr>
                <w:sz w:val="1"/>
                <w:szCs w:val="1"/>
                <w:color w:val="auto"/>
              </w:rPr>
            </w:pPr>
          </w:p>
        </w:tc>
        <w:tc>
          <w:tcPr>
            <w:tcW w:w="2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-25400</wp:posOffset>
            </wp:positionV>
            <wp:extent cx="5969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-8255</wp:posOffset>
            </wp:positionV>
            <wp:extent cx="5969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-25400</wp:posOffset>
            </wp:positionV>
            <wp:extent cx="5969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-8255</wp:posOffset>
            </wp:positionV>
            <wp:extent cx="5969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7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 also considered its intangible assets with finite useful lives, which are amortized over their estimated useful lives, generally on a straight-line basis. These assets are reviewed for impairment when facts or circumstances indicate that the carrying values may not be recoverable. As described above, the Company experienced a triggering event in the first quarter of 2025 resulting from declines in the Company’s market capitalization driven by sustained decreases in the Company’s stock price. Accordingly, the Company’s intangible assets were reviewed for impairment as a result of this triggering event. Based on quantitative and qualitative analyses performed during the first quarter of 2025, management concluded the assets were recoverable and no impairment charges were recorded on intangible assets as a result of the first quarter triggering event.</w:t>
      </w:r>
    </w:p>
    <w:p>
      <w:pPr>
        <w:spacing w:after="0" w:line="79"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There were no triggering events identified during the second quarter of 2025 that would have required management to perform an impairment test on its intangible assets.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9. Accrued Expenses and Other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and other liabilities consisted of the following:</w:t>
      </w:r>
    </w:p>
    <w:p>
      <w:pPr>
        <w:spacing w:after="0" w:line="9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9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and payroll-related</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8,159</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13,440</w:t>
            </w:r>
          </w:p>
        </w:tc>
        <w:tc>
          <w:tcPr>
            <w:tcW w:w="100" w:type="dxa"/>
            <w:vAlign w:val="bottom"/>
            <w:shd w:val="clear" w:color="auto" w:fill="CFF0FC"/>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Tax receivable agreement, current portion</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13,653</w:t>
            </w:r>
          </w:p>
        </w:tc>
        <w:tc>
          <w:tcPr>
            <w:tcW w:w="100" w:type="dxa"/>
            <w:vAlign w:val="bottom"/>
          </w:tcPr>
          <w:p>
            <w:pPr>
              <w:spacing w:after="0"/>
              <w:rPr>
                <w:sz w:val="18"/>
                <w:szCs w:val="18"/>
                <w:color w:val="auto"/>
              </w:rPr>
            </w:pPr>
          </w:p>
        </w:tc>
      </w:tr>
      <w:tr>
        <w:trPr>
          <w:trHeight w:val="21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capital data expenditures</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2,979</w:t>
            </w:r>
          </w:p>
        </w:tc>
        <w:tc>
          <w:tcPr>
            <w:tcW w:w="100" w:type="dxa"/>
            <w:vAlign w:val="bottom"/>
            <w:shd w:val="clear" w:color="auto" w:fill="CFF0FC"/>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 current</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18"/>
                <w:szCs w:val="18"/>
                <w:color w:val="auto"/>
              </w:rPr>
            </w:pPr>
          </w:p>
        </w:tc>
      </w:tr>
      <w:tr>
        <w:trPr>
          <w:trHeight w:val="21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franchise, and other taxes</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shd w:val="clear" w:color="auto" w:fill="CFF0FC"/>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4,825</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5,795</w:t>
            </w:r>
          </w:p>
        </w:tc>
        <w:tc>
          <w:tcPr>
            <w:tcW w:w="100" w:type="dxa"/>
            <w:vAlign w:val="bottom"/>
          </w:tcPr>
          <w:p>
            <w:pPr>
              <w:spacing w:after="0"/>
              <w:rPr>
                <w:sz w:val="18"/>
                <w:szCs w:val="18"/>
                <w:color w:val="auto"/>
              </w:rPr>
            </w:pPr>
          </w:p>
        </w:tc>
      </w:tr>
      <w:tr>
        <w:trPr>
          <w:trHeight w:val="229"/>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31,271</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40,896</w:t>
            </w:r>
          </w:p>
        </w:tc>
        <w:tc>
          <w:tcPr>
            <w:tcW w:w="100" w:type="dxa"/>
            <w:vAlign w:val="bottom"/>
            <w:shd w:val="clear" w:color="auto" w:fill="CFF0FC"/>
          </w:tcPr>
          <w:p>
            <w:pPr>
              <w:spacing w:after="0"/>
              <w:rPr>
                <w:sz w:val="19"/>
                <w:szCs w:val="19"/>
                <w:color w:val="auto"/>
              </w:rPr>
            </w:pPr>
          </w:p>
        </w:tc>
      </w:tr>
      <w:tr>
        <w:trPr>
          <w:trHeight w:val="20"/>
        </w:trPr>
        <w:tc>
          <w:tcPr>
            <w:tcW w:w="69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-25400</wp:posOffset>
            </wp:positionV>
            <wp:extent cx="596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-8255</wp:posOffset>
            </wp:positionV>
            <wp:extent cx="5969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7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On January 3, 2024, the Company committed to a restructuring plan (the “2024 Restructuring Plan”) intended to reduce operating costs, improve operating margins, and continue advancing the Company’s ongoing commitment to profitable growth. The 2024 Restructuring Plan provided for a reduction of the Company’s then-current workforce by approximately 150 people. Accordingly, during the three and six months ended June 30, 2024, the Company incurred restructuring and related charges of $0.6 million and $7.8 million, respectively, consisting of severance payments, employee benefits, and related cash expenses.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activity in the Company’s liabilities resulting from the 2024 Restructuring Plan:</w:t>
      </w:r>
    </w:p>
    <w:p>
      <w:pPr>
        <w:spacing w:after="0" w:line="98"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3"/>
                <w:szCs w:val="13"/>
                <w:color w:val="auto"/>
              </w:rPr>
            </w:pPr>
          </w:p>
        </w:tc>
      </w:tr>
      <w:tr>
        <w:trPr>
          <w:trHeight w:val="173"/>
        </w:trPr>
        <w:tc>
          <w:tcPr>
            <w:tcW w:w="69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0" w:type="dxa"/>
            <w:vAlign w:val="bottom"/>
          </w:tcPr>
          <w:p>
            <w:pPr>
              <w:spacing w:after="0"/>
              <w:rPr>
                <w:sz w:val="15"/>
                <w:szCs w:val="15"/>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Restructuring Plan</w:t>
            </w:r>
          </w:p>
        </w:tc>
      </w:tr>
      <w:tr>
        <w:trPr>
          <w:trHeight w:val="209"/>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Charges incurred</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payments made</w:t>
            </w: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(214)</w:t>
            </w:r>
          </w:p>
        </w:tc>
      </w:tr>
      <w:tr>
        <w:trPr>
          <w:trHeight w:val="20"/>
        </w:trPr>
        <w:tc>
          <w:tcPr>
            <w:tcW w:w="69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2025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6185535</wp:posOffset>
            </wp:positionH>
            <wp:positionV relativeFrom="paragraph">
              <wp:posOffset>-170815</wp:posOffset>
            </wp:positionV>
            <wp:extent cx="603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does not expect to incur additional material restructuring and related charges associated with the 2024 Restructuring Plan during the remainder of 2025.</w:t>
      </w:r>
    </w:p>
    <w:p>
      <w:pPr>
        <w:spacing w:after="0" w:line="27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332" w:right="4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10. Long-Term Debt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Long-term debt consisted of the following as of June 30, 2025 and December 31, 2024, respectively:</w:t>
      </w:r>
    </w:p>
    <w:p>
      <w:pPr>
        <w:spacing w:after="0" w:line="111"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20" w:type="dxa"/>
            <w:vAlign w:val="bottom"/>
            <w:gridSpan w:val="3"/>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Unamortized debt</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 debt,</w:t>
            </w: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issuance costs /</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3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220" w:type="dxa"/>
            <w:vAlign w:val="bottom"/>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6"/>
              </w:rPr>
              <w:t>net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 Term Loan</w:t>
            </w:r>
          </w:p>
        </w:tc>
        <w:tc>
          <w:tcPr>
            <w:tcW w:w="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170,625</w:t>
            </w:r>
          </w:p>
        </w:tc>
        <w:tc>
          <w:tcPr>
            <w:tcW w:w="3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(1,590)</w:t>
            </w:r>
          </w:p>
        </w:tc>
        <w:tc>
          <w:tcPr>
            <w:tcW w:w="2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169,035</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160,285</w:t>
            </w:r>
          </w:p>
        </w:tc>
        <w:tc>
          <w:tcPr>
            <w:tcW w:w="0" w:type="dxa"/>
            <w:vAlign w:val="bottom"/>
          </w:tcPr>
          <w:p>
            <w:pPr>
              <w:spacing w:after="0"/>
              <w:rPr>
                <w:sz w:val="1"/>
                <w:szCs w:val="1"/>
                <w:color w:val="auto"/>
              </w:rPr>
            </w:pPr>
          </w:p>
        </w:tc>
      </w:tr>
      <w:tr>
        <w:trPr>
          <w:trHeight w:val="251"/>
        </w:trPr>
        <w:tc>
          <w:tcPr>
            <w:tcW w:w="5340" w:type="dxa"/>
            <w:vAlign w:val="bottom"/>
            <w:tcBorders>
              <w:top w:val="single" w:sz="8" w:color="CFF0FC"/>
            </w:tcBorders>
          </w:tcPr>
          <w:p>
            <w:pPr>
              <w:spacing w:after="0"/>
              <w:rPr>
                <w:sz w:val="21"/>
                <w:szCs w:val="21"/>
                <w:color w:val="auto"/>
              </w:rPr>
            </w:pPr>
          </w:p>
        </w:tc>
        <w:tc>
          <w:tcPr>
            <w:tcW w:w="40" w:type="dxa"/>
            <w:vAlign w:val="bottom"/>
            <w:tcBorders>
              <w:top w:val="single" w:sz="8" w:color="CFF0FC"/>
              <w:bottom w:val="single" w:sz="8" w:color="auto"/>
            </w:tcBorders>
          </w:tcPr>
          <w:p>
            <w:pPr>
              <w:spacing w:after="0"/>
              <w:rPr>
                <w:sz w:val="21"/>
                <w:szCs w:val="21"/>
                <w:color w:val="auto"/>
              </w:rPr>
            </w:pPr>
          </w:p>
        </w:tc>
        <w:tc>
          <w:tcPr>
            <w:tcW w:w="200" w:type="dxa"/>
            <w:vAlign w:val="bottom"/>
            <w:tcBorders>
              <w:top w:val="single" w:sz="8" w:color="CFF0FC"/>
              <w:bottom w:val="single" w:sz="8" w:color="auto"/>
            </w:tcBorders>
          </w:tcPr>
          <w:p>
            <w:pPr>
              <w:spacing w:after="0"/>
              <w:rPr>
                <w:sz w:val="21"/>
                <w:szCs w:val="21"/>
                <w:color w:val="auto"/>
              </w:rPr>
            </w:pPr>
          </w:p>
        </w:tc>
        <w:tc>
          <w:tcPr>
            <w:tcW w:w="1020" w:type="dxa"/>
            <w:vAlign w:val="bottom"/>
            <w:tcBorders>
              <w:top w:val="single" w:sz="8" w:color="CFF0FC"/>
              <w:bottom w:val="single" w:sz="8" w:color="auto"/>
            </w:tcBorders>
          </w:tcPr>
          <w:p>
            <w:pPr>
              <w:spacing w:after="0"/>
              <w:rPr>
                <w:sz w:val="21"/>
                <w:szCs w:val="21"/>
                <w:color w:val="auto"/>
              </w:rPr>
            </w:pPr>
          </w:p>
        </w:tc>
        <w:tc>
          <w:tcPr>
            <w:tcW w:w="120" w:type="dxa"/>
            <w:vAlign w:val="bottom"/>
            <w:tcBorders>
              <w:top w:val="single" w:sz="8" w:color="CFF0FC"/>
              <w:bottom w:val="single" w:sz="8" w:color="auto"/>
            </w:tcBorders>
          </w:tcPr>
          <w:p>
            <w:pPr>
              <w:spacing w:after="0"/>
              <w:rPr>
                <w:sz w:val="21"/>
                <w:szCs w:val="21"/>
                <w:color w:val="auto"/>
              </w:rPr>
            </w:pPr>
          </w:p>
        </w:tc>
        <w:tc>
          <w:tcPr>
            <w:tcW w:w="120" w:type="dxa"/>
            <w:vAlign w:val="bottom"/>
            <w:tcBorders>
              <w:top w:val="single" w:sz="8" w:color="CFF0FC"/>
              <w:bottom w:val="single" w:sz="8" w:color="auto"/>
            </w:tcBorders>
          </w:tcPr>
          <w:p>
            <w:pPr>
              <w:spacing w:after="0"/>
              <w:rPr>
                <w:sz w:val="21"/>
                <w:szCs w:val="21"/>
                <w:color w:val="auto"/>
              </w:rPr>
            </w:pPr>
          </w:p>
        </w:tc>
        <w:tc>
          <w:tcPr>
            <w:tcW w:w="20" w:type="dxa"/>
            <w:vAlign w:val="bottom"/>
            <w:tcBorders>
              <w:top w:val="single" w:sz="8" w:color="CFF0FC"/>
              <w:bottom w:val="single" w:sz="8" w:color="auto"/>
            </w:tcBorders>
          </w:tcPr>
          <w:p>
            <w:pPr>
              <w:spacing w:after="0"/>
              <w:rPr>
                <w:sz w:val="21"/>
                <w:szCs w:val="21"/>
                <w:color w:val="auto"/>
              </w:rPr>
            </w:pPr>
          </w:p>
        </w:tc>
        <w:tc>
          <w:tcPr>
            <w:tcW w:w="160" w:type="dxa"/>
            <w:vAlign w:val="bottom"/>
            <w:tcBorders>
              <w:top w:val="single" w:sz="8" w:color="CFF0FC"/>
              <w:bottom w:val="single" w:sz="8" w:color="auto"/>
            </w:tcBorders>
          </w:tcPr>
          <w:p>
            <w:pPr>
              <w:spacing w:after="0"/>
              <w:rPr>
                <w:sz w:val="21"/>
                <w:szCs w:val="21"/>
                <w:color w:val="auto"/>
              </w:rPr>
            </w:pPr>
          </w:p>
        </w:tc>
        <w:tc>
          <w:tcPr>
            <w:tcW w:w="1720" w:type="dxa"/>
            <w:vAlign w:val="bottom"/>
            <w:tcBorders>
              <w:top w:val="single" w:sz="8" w:color="CFF0FC"/>
              <w:bottom w:val="single" w:sz="8" w:color="auto"/>
            </w:tcBorders>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5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20" w:type="dxa"/>
            <w:vAlign w:val="bottom"/>
            <w:gridSpan w:val="3"/>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Unamortized debt</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 debt,</w:t>
            </w: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issuance costs /</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3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 Term Loan</w:t>
            </w:r>
          </w:p>
        </w:tc>
        <w:tc>
          <w:tcPr>
            <w:tcW w:w="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244,063</w:t>
            </w:r>
          </w:p>
        </w:tc>
        <w:tc>
          <w:tcPr>
            <w:tcW w:w="120" w:type="dxa"/>
            <w:vAlign w:val="bottom"/>
            <w:shd w:val="clear" w:color="auto" w:fill="CFF0FC"/>
          </w:tcPr>
          <w:p>
            <w:pPr>
              <w:spacing w:after="0"/>
              <w:rPr>
                <w:sz w:val="18"/>
                <w:szCs w:val="18"/>
                <w:color w:val="auto"/>
              </w:rPr>
            </w:pPr>
          </w:p>
        </w:tc>
        <w:tc>
          <w:tcPr>
            <w:tcW w:w="3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(945)</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243,118</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5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229,368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-942340</wp:posOffset>
            </wp:positionV>
            <wp:extent cx="603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-925195</wp:posOffset>
            </wp:positionV>
            <wp:extent cx="6032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six months ended June 30, 2025, the Company repaid $73.4 million in outstanding principal of the Term Facility (as defined below).</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2021 Credit Agreement</w:t>
      </w:r>
    </w:p>
    <w:p>
      <w:pPr>
        <w:spacing w:after="0" w:line="117"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September 2021, DH Holdings entered into a credit agreement (the “2021 Credit Agreement”) with Bank of America, N.A., as administrative agent, the other lenders party thereto and the other parties specified therein. On January 16, 2025 (the “Closing Date”), DH Holdings entered into an amendment to the credit agreement (the “DH Holdings Credit Agreement Amendment”), dated as of September 17, 2021 (as amended by Amendment No. 1, dated as of October 31, 2022, and as further amended, supplemented or otherwise modified from time to time prior to the date hereof, the “Existing Credit Agreement,” and as further amended by the DH Holdings Credit Agreement Amendment, the “DH Holdings Credit Agreement”), with Bank of America, N.A., as administrative agent, the lenders party thereto and the other parties specified therein.</w:t>
      </w:r>
    </w:p>
    <w:p>
      <w:pPr>
        <w:spacing w:after="0" w:line="7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DH Holdings Credit Agreement Amendment provides for (i) a $175.0 million term loan facility (the “Term Facility”) and (ii) a $50.0 million revolving credit facility (the “Revolving Credit Facility” and, together with the Term Facility, collectively, the “Facilities”), the proceeds of which were used to, among other things, repay the remaining portion of the indebtedness outstanding under the Existing Credit Agreement, and to pay related fees and expenses.</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loans under the Term Facility and the Revolving Credit Facility mature on January 16, 2030. The Facilities are guaranteed, subject to customary exceptions, by all of DH Holdings’ wholly-owned domestic restricted subsidiaries and AIDH Buyer, LLC, a Delaware limited liability company and the direct parent company of DH Holdings (“Holdings”), and are secured by associated collateral agreements that pledge a lien on substantially all of DH Holdings’ assets, including fixed assets and intangibles, and the assets of the guarantors, in each case, subject to customary exceptions (the “Pledged Assets”). As of June 30, 2025, the Pledged Assets of these subsidiaries approximated $664.2 million, and the net assets of these subsidiaries approximated $351.7 million.</w:t>
      </w:r>
    </w:p>
    <w:p>
      <w:pPr>
        <w:spacing w:after="0" w:line="7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Term Facility is subject to amortization of principal, payable in quarterly installments on the last day of each fiscal quarter, commencing on the last day of the first full fiscal quarter after the Closing Date (the “Initial Amortization Date”), equal to 5.0% of the original principal amount of the term loans for each of the five years after the Initial Amortization Date. The remaining initial aggregate advances under the Term Facility are payable at the maturity of the Term Facility.</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20" w:name="page21"/>
    <w:bookmarkEnd w:id="20"/>
    <w:p>
      <w:pPr>
        <w:ind w:firstLine="509"/>
        <w:spacing w:after="0" w:line="254" w:lineRule="auto"/>
        <w:rPr>
          <w:sz w:val="20"/>
          <w:szCs w:val="20"/>
          <w:color w:val="auto"/>
        </w:rPr>
      </w:pPr>
      <w:r>
        <w:rPr>
          <w:rFonts w:ascii="Times New Roman" w:cs="Times New Roman" w:eastAsia="Times New Roman" w:hAnsi="Times New Roman"/>
          <w:sz w:val="18"/>
          <w:szCs w:val="18"/>
          <w:color w:val="auto"/>
        </w:rPr>
        <w:t>The Term Facility and the Revolving Credit Facility bear interest at a rate per annum equal to (a) ABR (as defined in the DH Holdings Credit Agreement) or (b) Term SOFR (as defined in the DH Holdings Credit Agreement) for the interest period in effect for the applicable borrowing, in each case, plus an applicable margin based on a grid ranging from 1.00% to 1.50% for ABR borrowings and 2.00% to 2.50% for Term SOFR borrowings. The interest rates are subject to two step-ups of 0.25% based on the total net leverage ratio of DH Holdings and its restricted subsidiaries on a consolidated basis (the “Total Net Leverage Ratio”). In addition, DH Holdings will pay an unused commitment fee of between 0.25% and 0.30% on the undrawn commitments under the Revolving Credit Facility, also depending on the Total Net Leverage Ratio. The expense is included in interest expense in the unaudited condensed consolidated statements of operations. There was no outstanding balance on the Revolving Credit Facility at June 30, 2025. However, in lieu of a security deposit, the Company has provided a standby letter of credit of $0.3 million to the lessor of the Company’s corporate headquarters, which reduced the amount available under the Revolving Credit Facility to $49.7 million as of June 30, 2025.</w:t>
      </w:r>
    </w:p>
    <w:p>
      <w:pPr>
        <w:spacing w:after="0" w:line="80"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Under the DH Holdings Credit Agreement, DH Holdings (and in certain circumstances, Holdings) and its restricted subsidiaries are subject to customary affirmative, negative and financial covenants, and events of default for facilities of this type (with customary grace periods, as applicable, and lender remedies).</w:t>
      </w:r>
    </w:p>
    <w:p>
      <w:pPr>
        <w:spacing w:after="0" w:line="6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connection with the DH Holdings Credit Agreement Amendment, the Company repaid $69.1 million of outstanding principal amount of the Term Facility and reduced its borrowing capacity under the Revolving Credit Facility by $25.0 million. As a result, the Company incurred a loss on partial extinguishment of debt of $0.5 million during the first quarter of 2025 attributed to the derecognition of a proportionate amount of the unamortized debt discount, a result of repaying the $69.1 million of outstanding principal on the Term Facility and reducing the Revolving Credit Facility. In addition, the Company capitalized financing costs totaling $1.7 million, of which $1.2 million related to the Term Facility and $0.5 million related to the Revolving Line of Credit. The financing costs associated with the Term Facility are recorded as a contra-debt balance in term loan, net of current portion in the consolidated balance sheets and are amortized over the remaining life of the loan using the effective interest method. The financing costs associated with the Revolving Line of Credit are recorded in other assets in the unaudited condensed consolidated balance sheets are amortized over the life of the arrangement. At June 30, 2025 and December 31, 2024, the unamortized financing costs were $0.5 million and $0.3 million, respectively.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11. Derivative Instruments and Hedging Activities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Objective of Using Derivatives</w:t>
      </w:r>
    </w:p>
    <w:p>
      <w:pPr>
        <w:spacing w:after="0" w:line="11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The Company is exposed to risks from changes in interest rates related to the 2021 Term Loan (See Note 10.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The Company uses derivative financial instruments, specifically, interest rate swap and cap contracts, in order to manage its exposure to interest rate movements. Interest rate swaps designated as cash flow hedges involve the receipt of variable amounts from a counterparty in exchange for the Company making fixed-rate payments over the life of the agreements without exchange of the underlying notional amount. Interest rate caps designated as cash flow hedges involve the receipt of variable-rate amounts from a counterparty if interest rates rise above the strike rate on the contract in exchange for an up-front premium. The Company’s primary objective in holding derivatives is to reduce the volatility of cash flows associated with changes in interest rates. The Company does not enter into derivative transactions for speculative or trading purposes.</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 of Interest Rate Risk</w:t>
      </w:r>
    </w:p>
    <w:p>
      <w:pPr>
        <w:spacing w:after="0" w:line="121" w:lineRule="exact"/>
        <w:rPr>
          <w:sz w:val="20"/>
          <w:szCs w:val="20"/>
          <w:color w:val="auto"/>
        </w:rPr>
      </w:pPr>
    </w:p>
    <w:p>
      <w:pPr>
        <w:jc w:val="both"/>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Company entered into two interest rate swap agreements, effective on March 31, 2022. The swap agreements matured on March 31, 2025. The two interest rate swap agreements each had a notional value of $61.9 million with fixed interest rates of 1.90650% and 1.90900%. Interest payments under the swaps were made monthly on a net settlement basis. The Company has not recorded any amounts due to ineffectiveness for the period ended June 30, 2025 or year ended December 31, 2024.</w:t>
      </w:r>
    </w:p>
    <w:p>
      <w:pPr>
        <w:spacing w:after="0" w:line="72"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During the first quarter of 2025, the Company entered into two interest rate cap agreements, effective March 31, 2025. The two interest rate cap agreements each have a notional value of $68.3 million as of June 30, 2025, with an interest rate cap of 4.50%. Interest payments under the caps are made monthly on a net settlement basis. The Company has not recorded any amounts due to ineffectiveness for the period ended June 30, 2025.</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derivative interest rate caps are designated and qualify as cash flow hedges. Consequently, the change in the estimated fair value of the effective portion of the derivative is recognized in accumulated other comprehensive (deficit) income (“AOCI”) on the unaudited condensed consolidated balance sheets and reclassified to interest expense, net, when the underlying transaction has an impact on earnings. The Company expects to recognize $0.1 million of net pre-tax losses from accumulated other comprehensive income as a charge to interest expense in the next twelve months associated with its interest rate caps. The Company recognizes derivative instruments and hedging activities on a gross basis as either assets or liabilities on the Company’s consolidated balance sheets and measures them at fair value. Hedge accounting generally provides for the matching of the timing of gain or loss recognition on the hedging instrument with the earnings effect of the hedged forecasted transactions in a cash flow hedge. To receive hedge accounting treatment, all hedging relationships are formally documented at the inception of the hedge, and the hedges must be highly effective in offsetting changes to future cash flows on hedged transactions.</w:t>
      </w:r>
    </w:p>
    <w:p>
      <w:pPr>
        <w:spacing w:after="0" w:line="80"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fair values of the interest rate caps as of June 30, 2025 and the fair values of the interest rate swaps as of December 31, 2024 were recorded in the Company’s unaudited condensed consolidated balance sheets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40" w:type="dxa"/>
            <w:vAlign w:val="bottom"/>
          </w:tcPr>
          <w:p>
            <w:pPr>
              <w:spacing w:after="0"/>
              <w:rPr>
                <w:sz w:val="13"/>
                <w:szCs w:val="13"/>
                <w:color w:val="auto"/>
              </w:rPr>
            </w:pPr>
          </w:p>
        </w:tc>
        <w:tc>
          <w:tcPr>
            <w:tcW w:w="3820" w:type="dxa"/>
            <w:vAlign w:val="bottom"/>
            <w:vMerge w:val="restart"/>
          </w:tcPr>
          <w:p>
            <w:pPr>
              <w:jc w:val="right"/>
              <w:ind w:right="1108"/>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2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8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2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5"/>
                <w:szCs w:val="15"/>
                <w:color w:val="auto"/>
              </w:rPr>
            </w:pPr>
          </w:p>
        </w:tc>
        <w:tc>
          <w:tcPr>
            <w:tcW w:w="38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derivative asset</w:t>
            </w:r>
          </w:p>
        </w:tc>
        <w:tc>
          <w:tcPr>
            <w:tcW w:w="39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280" w:type="dxa"/>
            <w:vAlign w:val="bottom"/>
            <w:gridSpan w:val="2"/>
            <w:shd w:val="clear" w:color="auto" w:fill="CFF0FC"/>
          </w:tcPr>
          <w:p>
            <w:pPr>
              <w:jc w:val="right"/>
              <w:ind w:right="100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717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Long-term derivative asset</w:t>
            </w:r>
          </w:p>
        </w:tc>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1280" w:type="dxa"/>
            <w:vAlign w:val="bottom"/>
            <w:gridSpan w:val="2"/>
          </w:tcPr>
          <w:p>
            <w:pPr>
              <w:jc w:val="right"/>
              <w:ind w:right="100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38"/>
        </w:trPr>
        <w:tc>
          <w:tcPr>
            <w:tcW w:w="5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960" w:type="dxa"/>
            <w:vAlign w:val="bottom"/>
            <w:gridSpan w:val="2"/>
          </w:tcPr>
          <w:p>
            <w:pPr>
              <w:jc w:val="right"/>
              <w:ind w:right="1528"/>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12. Fair Value Measurements</w:t>
      </w:r>
    </w:p>
    <w:p>
      <w:pPr>
        <w:spacing w:after="0" w:line="119" w:lineRule="exact"/>
        <w:rPr>
          <w:sz w:val="20"/>
          <w:szCs w:val="20"/>
          <w:color w:val="auto"/>
        </w:rPr>
      </w:pPr>
    </w:p>
    <w:p>
      <w:pPr>
        <w:jc w:val="both"/>
        <w:ind w:right="280" w:firstLine="509"/>
        <w:spacing w:after="0" w:line="267" w:lineRule="auto"/>
        <w:rPr>
          <w:sz w:val="20"/>
          <w:szCs w:val="20"/>
          <w:color w:val="auto"/>
        </w:rPr>
      </w:pPr>
      <w:r>
        <w:rPr>
          <w:rFonts w:ascii="Times New Roman" w:cs="Times New Roman" w:eastAsia="Times New Roman" w:hAnsi="Times New Roman"/>
          <w:sz w:val="18"/>
          <w:szCs w:val="18"/>
          <w:color w:val="auto"/>
        </w:rPr>
        <w:t xml:space="preserve">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(“ASC 820”), defines fair value as the price that would be received for an asset, or paid to transfer a liability, in an orderly transaction between market participants on the measurement date, and establishes a three-level fair value hierarchy that prioritizes the inputs used to measure fair value as follows:</w:t>
      </w:r>
    </w:p>
    <w:p>
      <w:pPr>
        <w:spacing w:after="0" w:line="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 Observable inputs (unadjusted) that reflect unadjusted quoted prices in active markets for identical assets or liabilities.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2 – Other inputs that are directly or indirectly observable in the marketplace.</w:t>
      </w:r>
    </w:p>
    <w:p>
      <w:pPr>
        <w:spacing w:after="0" w:line="117" w:lineRule="exact"/>
        <w:rPr>
          <w:sz w:val="20"/>
          <w:szCs w:val="20"/>
          <w:color w:val="auto"/>
        </w:rPr>
      </w:pPr>
    </w:p>
    <w:p>
      <w:pPr>
        <w:ind w:left="520" w:right="400"/>
        <w:spacing w:after="0" w:line="282" w:lineRule="auto"/>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including the Company’s own assumptions in determining fair value.</w:t>
      </w:r>
    </w:p>
    <w:p>
      <w:pPr>
        <w:spacing w:after="0" w:line="5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Company’s financial assets and liabilities subject to the three-level fair value hierarchy consist principally of cash and equivalents, short-term investments, accounts receivable, accounts payable, long-term and short-term debt, derivative financial instruments, and contingent consideration payable. The estimated fair value of cash included in cash and cash equivalents, accounts receivable, and accounts payable approximates their carrying value due to due to their short maturities (less than 12 months).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2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Company’s short- and long-term debt are recorded at their carrying values in the unaudited condensed consolidated balance sheets, which may differ from their respective fair values. The estimated fair values of the Company’s short- and long-term debt approximate their carrying values as of June 30, 2025 and December 31, 2024, based on interest rates currently available to the Company for similar borrowings.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Money market funds (included in cash and cash equivalents)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Money market funds are recorded at fair value using quoted market prices in active markets and are classified as Level 1 in the fair value hierarchy.</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estimates the fair values of investments in U.S. treasuries, agency bond securities, commercial paper, and certificates of deposit using level 2 inputs, taking into consideration valuations obtained from a third-party pricing service.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market yield curves, benchmark securities, prepayment/default projections based on historical data, and other observable inputs.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uses interest rate caps and swaps to manage interest rate risk.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w:t>
      </w:r>
    </w:p>
    <w:p>
      <w:pPr>
        <w:spacing w:after="0" w:line="68" w:lineRule="exact"/>
        <w:rPr>
          <w:sz w:val="20"/>
          <w:szCs w:val="20"/>
          <w:color w:val="auto"/>
        </w:rPr>
      </w:pPr>
    </w:p>
    <w:p>
      <w:pPr>
        <w:ind w:right="880" w:firstLine="509"/>
        <w:spacing w:after="0" w:line="282" w:lineRule="auto"/>
        <w:rPr>
          <w:sz w:val="20"/>
          <w:szCs w:val="20"/>
          <w:color w:val="auto"/>
        </w:rPr>
      </w:pPr>
      <w:r>
        <w:rPr>
          <w:rFonts w:ascii="Times New Roman" w:cs="Times New Roman" w:eastAsia="Times New Roman" w:hAnsi="Times New Roman"/>
          <w:sz w:val="18"/>
          <w:szCs w:val="18"/>
          <w:color w:val="auto"/>
        </w:rPr>
        <w:t>To comply with the provisions of ASC 820, the Company incorporates credit valuation adjustments to appropriately reflect both its own nonperformance risk and the respective counterparty’s nonperformance risk in the fair value measurements.</w:t>
      </w:r>
    </w:p>
    <w:p>
      <w:pPr>
        <w:spacing w:after="0" w:line="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32" w:right="379" w:bottom="1440" w:gutter="0" w:footer="0" w:header="0"/>
        </w:sectPr>
      </w:pPr>
    </w:p>
    <w:bookmarkStart w:id="23" w:name="page24"/>
    <w:bookmarkEnd w:id="23"/>
    <w:p>
      <w:pPr>
        <w:ind w:firstLine="509"/>
        <w:spacing w:after="0" w:line="258" w:lineRule="auto"/>
        <w:rPr>
          <w:sz w:val="20"/>
          <w:szCs w:val="20"/>
          <w:color w:val="auto"/>
        </w:rPr>
      </w:pPr>
      <w:r>
        <w:rPr>
          <w:rFonts w:ascii="Times New Roman" w:cs="Times New Roman" w:eastAsia="Times New Roman" w:hAnsi="Times New Roman"/>
          <w:sz w:val="18"/>
          <w:szCs w:val="18"/>
          <w:color w:val="auto"/>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the Company and its counterparties. The Company has determined that the significance of the impact of the credit valuation adjustments made to its derivative contracts, which determination was based on the fair value of each individual contract, was not significant to the overall valuation. As a result, all of its derivatives held as of June 30, 2025 and December 31, 2024 were classified as Level 2 in the fair value hierarchy.</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12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The deferred consideration resulting from the acquisition of Populi in the third quarter of 2023, which is subject to meeting certain revenue metrics during calendar years 2024 and 2025, is measured at fair value on a recurring basis. The fair value was estimated based on the present value of the amount expected to be paid at the end of the measurement period. At June 30, 2025, the fair value of the contingent consideration associated with this acquisition was estimated to be $6.3 million, all of which was included in accrued expenses and other liabilities in the unaudited condensed consolidated balance sheets. The change in estimate of contingent consideration subsequent to initial measurement as of the acquisition date was recorded in transaction, integration, and restructuring expense in the accompanying unaudited condensed consolidated statements of operations.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Contingent consideration resulting from an earnout associated with a previous acquisition was paid during the year ended December 31, 2024.</w:t>
      </w:r>
    </w:p>
    <w:p>
      <w:pPr>
        <w:spacing w:after="0" w:line="117"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Earnout liabilities are classified within Level 3 in the fair value hierarchy because the methodology used to develop the estimated fair value includes significant unobservable inputs reflecting management’s own assumptions. The table below presents a reconciliation of earnout liabilities measured at fair value on a recurring basis using significant unobservable inputs (Level 3):</w:t>
      </w:r>
    </w:p>
    <w:p>
      <w:pPr>
        <w:spacing w:after="0" w:line="4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69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r>
      <w:tr>
        <w:trPr>
          <w:trHeight w:val="210"/>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6,970</w:t>
            </w:r>
          </w:p>
        </w:tc>
        <w:tc>
          <w:tcPr>
            <w:tcW w:w="16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10,352</w:t>
            </w:r>
          </w:p>
        </w:tc>
        <w:tc>
          <w:tcPr>
            <w:tcW w:w="100" w:type="dxa"/>
            <w:vAlign w:val="bottom"/>
            <w:shd w:val="clear" w:color="auto" w:fill="CFF0FC"/>
          </w:tcPr>
          <w:p>
            <w:pPr>
              <w:spacing w:after="0"/>
              <w:rPr>
                <w:sz w:val="18"/>
                <w:szCs w:val="18"/>
                <w:color w:val="auto"/>
              </w:rPr>
            </w:pPr>
          </w:p>
        </w:tc>
      </w:tr>
      <w:tr>
        <w:trPr>
          <w:trHeight w:val="216"/>
        </w:trPr>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change in fair value and other adjustments</w:t>
            </w: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(1,780)</w:t>
            </w:r>
          </w:p>
        </w:tc>
      </w:tr>
      <w:tr>
        <w:trPr>
          <w:trHeight w:val="216"/>
        </w:trPr>
        <w:tc>
          <w:tcPr>
            <w:tcW w:w="6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Payments</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(1,602)</w:t>
            </w:r>
          </w:p>
        </w:tc>
      </w:tr>
      <w:tr>
        <w:trPr>
          <w:trHeight w:val="20"/>
        </w:trPr>
        <w:tc>
          <w:tcPr>
            <w:tcW w:w="69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6,280</w:t>
            </w:r>
          </w:p>
        </w:tc>
        <w:tc>
          <w:tcPr>
            <w:tcW w:w="16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6,970</w:t>
            </w:r>
          </w:p>
        </w:tc>
        <w:tc>
          <w:tcPr>
            <w:tcW w:w="100" w:type="dxa"/>
            <w:vAlign w:val="bottom"/>
          </w:tcPr>
          <w:p>
            <w:pPr>
              <w:spacing w:after="0"/>
              <w:rPr>
                <w:sz w:val="18"/>
                <w:szCs w:val="18"/>
                <w:color w:val="auto"/>
              </w:rPr>
            </w:pPr>
          </w:p>
        </w:tc>
      </w:tr>
      <w:tr>
        <w:trPr>
          <w:trHeight w:val="20"/>
        </w:trPr>
        <w:tc>
          <w:tcPr>
            <w:tcW w:w="6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-170815</wp:posOffset>
            </wp:positionV>
            <wp:extent cx="596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Non-recurring fair value measurements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Certain assets and liabilities, including property and equipment, lease right-of-use assets, goodwill, and other intangible assets, are measured at fair value on a non-recurring basis. These assets are remeasured when the derived fair value is below the carrying value on the Company’s unaudited condensed consolidated balance sheet. For these assets, the Company does not periodically adjust carrying value to fair value except in the event of impairment. When impairment has occurred, the Company measures the required charges and adjusts the carrying value as discussed in Note 2. </w:t>
      </w:r>
      <w:r>
        <w:rPr>
          <w:rFonts w:ascii="Times New Roman" w:cs="Times New Roman" w:eastAsia="Times New Roman" w:hAnsi="Times New Roman"/>
          <w:sz w:val="18"/>
          <w:szCs w:val="18"/>
          <w:i w:val="1"/>
          <w:iCs w:val="1"/>
          <w:color w:val="auto"/>
        </w:rPr>
        <w:t>Summary of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Policies </w:t>
      </w:r>
      <w:r>
        <w:rPr>
          <w:rFonts w:ascii="Times New Roman" w:cs="Times New Roman" w:eastAsia="Times New Roman" w:hAnsi="Times New Roman"/>
          <w:sz w:val="18"/>
          <w:szCs w:val="18"/>
          <w:color w:val="auto"/>
        </w:rPr>
        <w:t>of the notes to the consolidated financial statements in the Company’s 2024 Form 10-K.</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June 30, 2025 and December 31, 2024, assets and liabilities measured at fair value on a recurring basis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gridSpan w:val="3"/>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060" w:type="dxa"/>
            <w:vAlign w:val="bottom"/>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3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4,417</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4,417</w:t>
            </w: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paper (maturities less than 90 days)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Treasuries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64,262</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64,262</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Certificates of deposit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 cap contracts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 cap contracts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6,280</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00" w:type="dxa"/>
            <w:vAlign w:val="bottom"/>
            <w:gridSpan w:val="3"/>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6,280</w:t>
            </w:r>
          </w:p>
        </w:tc>
        <w:tc>
          <w:tcPr>
            <w:tcW w:w="10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0"/>
        </w:trPr>
        <w:tc>
          <w:tcPr>
            <w:tcW w:w="3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0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4" w:name="page25"/>
    <w:bookmarkEnd w:id="24"/>
    <w:tbl>
      <w:tblPr>
        <w:tblLayout w:type="fixed"/>
        <w:tblInd w:w="300" w:type="dxa"/>
        <w:tblCellMar>
          <w:top w:w="0" w:type="dxa"/>
          <w:left w:w="0" w:type="dxa"/>
          <w:bottom w:w="0" w:type="dxa"/>
          <w:right w:w="0" w:type="dxa"/>
        </w:tblCellMar>
      </w:tblPr>
      <w:tr>
        <w:trPr>
          <w:trHeight w:val="173"/>
        </w:trPr>
        <w:tc>
          <w:tcPr>
            <w:tcW w:w="4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9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060" w:type="dxa"/>
            <w:vAlign w:val="bottom"/>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63,389</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63,389</w:t>
            </w:r>
          </w:p>
        </w:tc>
        <w:tc>
          <w:tcPr>
            <w:tcW w:w="6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paper (maturities less than 90 days)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treasuries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127,682</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127,682</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Certificates of deposit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20" w:type="dxa"/>
            <w:vAlign w:val="bottom"/>
            <w:gridSpan w:val="3"/>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20" w:type="dxa"/>
            <w:vAlign w:val="bottom"/>
            <w:gridSpan w:val="3"/>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At June 30, 2025 and December 31, 2024, except for the non-current portion of the contingent consideration noted above, the estimated fair values of all of the Company’s financial assets and liabilities subject to the three-level fair value hierarchy approximated their carrying values due to their short-term maturities (less than 12 months).</w:t>
      </w:r>
    </w:p>
    <w:p>
      <w:pPr>
        <w:spacing w:after="0" w:line="6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60" w:right="4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13. Noncontrolling Interest</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operates and controls all of the business and affairs of Definitive OpCo, and through Definitive OpCo and its subsidiaries, conducts its business. Accordingly, the Company consolidates the financial results of Definitive OpCo, and reports the noncontrolling interests of its consolidated subsidiaries on its unaudited condensed consolidated financial statements based on the LLC Units held by Continuing Pre-IPO LLC Members other than the Company. Changes in the Company’s ownership interest in its consolidated subsidiaries are accounted for as equity transactions. As such, future redemptions or direct exchanges of LLC Units by such Continuing Pre-IPO LLC Members will result in a change in ownership and reduce or increase the amount recorded as noncontrolling interests and increase or decrease additional paid-in capital in the Company’s unaudited condensed consolidated balance sheets.</w:t>
      </w:r>
    </w:p>
    <w:p>
      <w:pPr>
        <w:spacing w:after="0" w:line="8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During the six months ended June 30, 2025, 1,043,270 LLC Units held by Continuing Pre-IPO LLC Members were exchanged for shares of Class A Common Stock of the Company pursuant to the terms of the Amended LLC Agreement. In addition, 1,933,593 restricted stock units (“RSUs”) vested and 619,548 shares of Class A Common Stock were withheld to cover withholding tax obligations, resulting in the net issuance of 1,314,045 shares of Class A Common Stock of the Company. Furthermore, 11,563,888 shares of Class A Common Stock have been repurchased and subsequently retired under Repurchase Programs (as the term is defined below) authorized by the Company’s board of directors (the “Board”). Pursuant to the Definitive OpCo second amended and restated limited liability company agreement entered into in connection with the IPO, LLC Units were issued on a one-for-one basis in connection with the vesting of RSUs and LLC Units were cancelled on a one-for-one basis in connection with the repurchases of shares of the Company’s Class A Common Stock.</w:t>
      </w:r>
    </w:p>
    <w:p>
      <w:pPr>
        <w:spacing w:after="0" w:line="84" w:lineRule="exact"/>
        <w:rPr>
          <w:sz w:val="20"/>
          <w:szCs w:val="20"/>
          <w:color w:val="auto"/>
        </w:rPr>
      </w:pPr>
    </w:p>
    <w:p>
      <w:pPr>
        <w:ind w:right="400" w:firstLine="509"/>
        <w:spacing w:after="0" w:line="280" w:lineRule="auto"/>
        <w:rPr>
          <w:sz w:val="20"/>
          <w:szCs w:val="20"/>
          <w:color w:val="auto"/>
        </w:rPr>
      </w:pPr>
      <w:r>
        <w:rPr>
          <w:rFonts w:ascii="Times New Roman" w:cs="Times New Roman" w:eastAsia="Times New Roman" w:hAnsi="Times New Roman"/>
          <w:sz w:val="18"/>
          <w:szCs w:val="18"/>
          <w:color w:val="auto"/>
        </w:rPr>
        <w:t>As of June 30, 2025 and December 31, 2024, the Company held ownership interests in Definitive OpCo of 73.2% and 74.3%, respectively, and noncontrolling interests of 26.8% and 25.7%, respectively</w:t>
      </w:r>
      <w:r>
        <w:rPr>
          <w:rFonts w:ascii="Times New Roman" w:cs="Times New Roman" w:eastAsia="Times New Roman" w:hAnsi="Times New Roman"/>
          <w:sz w:val="21"/>
          <w:szCs w:val="21"/>
          <w:color w:val="auto"/>
        </w:rPr>
        <w:t>.</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14. Accumulated Other Comprehensive (Deficit) Income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summarize the changes in AOCI for the three and six months ended June 30, 2025 and 2024, respectively.</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9"/>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8"/>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940" w:type="dxa"/>
            <w:vAlign w:val="bottom"/>
          </w:tcPr>
          <w:p>
            <w:pPr>
              <w:spacing w:after="0"/>
              <w:rPr>
                <w:sz w:val="10"/>
                <w:szCs w:val="10"/>
                <w:color w:val="auto"/>
              </w:rPr>
            </w:pPr>
          </w:p>
        </w:tc>
        <w:tc>
          <w:tcPr>
            <w:tcW w:w="12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80" w:type="dxa"/>
            <w:vAlign w:val="bottom"/>
          </w:tcPr>
          <w:p>
            <w:pPr>
              <w:spacing w:after="0"/>
              <w:rPr>
                <w:sz w:val="10"/>
                <w:szCs w:val="10"/>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Foreign</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000" w:type="dxa"/>
            <w:vAlign w:val="bottom"/>
            <w:gridSpan w:val="3"/>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00" w:type="dxa"/>
            <w:vAlign w:val="bottom"/>
          </w:tcPr>
          <w:p>
            <w:pPr>
              <w:spacing w:after="0"/>
              <w:rPr>
                <w:sz w:val="10"/>
                <w:szCs w:val="10"/>
                <w:color w:val="auto"/>
              </w:rPr>
            </w:pPr>
          </w:p>
        </w:tc>
        <w:tc>
          <w:tcPr>
            <w:tcW w:w="102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Foreign</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Gain (Loss)</w:t>
            </w:r>
          </w:p>
        </w:tc>
        <w:tc>
          <w:tcPr>
            <w:tcW w:w="10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Gain on Cash</w:t>
            </w:r>
          </w:p>
        </w:tc>
        <w:tc>
          <w:tcPr>
            <w:tcW w:w="10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Gain (Loss) on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Loss on Cash</w:t>
            </w:r>
          </w:p>
        </w:tc>
        <w:tc>
          <w:tcPr>
            <w:tcW w:w="220" w:type="dxa"/>
            <w:vAlign w:val="bottom"/>
          </w:tcPr>
          <w:p>
            <w:pPr>
              <w:spacing w:after="0"/>
              <w:rPr>
                <w:sz w:val="12"/>
                <w:szCs w:val="12"/>
                <w:color w:val="auto"/>
              </w:rPr>
            </w:pPr>
          </w:p>
        </w:tc>
        <w:tc>
          <w:tcPr>
            <w:tcW w:w="7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on</w:t>
            </w:r>
          </w:p>
        </w:tc>
        <w:tc>
          <w:tcPr>
            <w:tcW w:w="10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9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Flow Hedges</w:t>
            </w: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5"/>
                <w:szCs w:val="15"/>
                <w:color w:val="auto"/>
              </w:rPr>
            </w:pPr>
          </w:p>
        </w:tc>
        <w:tc>
          <w:tcPr>
            <w:tcW w:w="640" w:type="dxa"/>
            <w:vAlign w:val="bottom"/>
            <w:gridSpan w:val="2"/>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Flow Hedges</w:t>
            </w: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0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5"/>
                <w:szCs w:val="15"/>
                <w:color w:val="auto"/>
              </w:rPr>
            </w:pPr>
          </w:p>
        </w:tc>
        <w:tc>
          <w:tcPr>
            <w:tcW w:w="640" w:type="dxa"/>
            <w:vAlign w:val="bottom"/>
            <w:gridSpan w:val="2"/>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(1,264)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9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(loss) income</w:t>
            </w: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before reclassifications</w:t>
            </w:r>
          </w:p>
        </w:tc>
        <w:tc>
          <w:tcPr>
            <w:tcW w:w="1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(260)</w:t>
            </w:r>
          </w:p>
        </w:tc>
        <w:tc>
          <w:tcPr>
            <w:tcW w:w="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(686)</w:t>
            </w:r>
          </w:p>
        </w:tc>
        <w:tc>
          <w:tcPr>
            <w:tcW w:w="22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(538)</w:t>
            </w:r>
          </w:p>
        </w:tc>
        <w:tc>
          <w:tcPr>
            <w:tcW w:w="2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r>
        <w:trPr>
          <w:trHeight w:val="250"/>
        </w:trPr>
        <w:tc>
          <w:tcPr>
            <w:tcW w:w="2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345"/>
        </w:trPr>
        <w:tc>
          <w:tcPr>
            <w:tcW w:w="29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9"/>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8"/>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940" w:type="dxa"/>
            <w:vAlign w:val="bottom"/>
          </w:tcPr>
          <w:p>
            <w:pPr>
              <w:spacing w:after="0"/>
              <w:rPr>
                <w:sz w:val="10"/>
                <w:szCs w:val="10"/>
                <w:color w:val="auto"/>
              </w:rPr>
            </w:pPr>
          </w:p>
        </w:tc>
        <w:tc>
          <w:tcPr>
            <w:tcW w:w="126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Unrealized Gain</w:t>
            </w:r>
          </w:p>
        </w:tc>
        <w:tc>
          <w:tcPr>
            <w:tcW w:w="80" w:type="dxa"/>
            <w:vAlign w:val="bottom"/>
          </w:tcPr>
          <w:p>
            <w:pPr>
              <w:spacing w:after="0"/>
              <w:rPr>
                <w:sz w:val="10"/>
                <w:szCs w:val="10"/>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Foreign</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000" w:type="dxa"/>
            <w:vAlign w:val="bottom"/>
            <w:gridSpan w:val="3"/>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00" w:type="dxa"/>
            <w:vAlign w:val="bottom"/>
          </w:tcPr>
          <w:p>
            <w:pPr>
              <w:spacing w:after="0"/>
              <w:rPr>
                <w:sz w:val="10"/>
                <w:szCs w:val="10"/>
                <w:color w:val="auto"/>
              </w:rPr>
            </w:pPr>
          </w:p>
        </w:tc>
        <w:tc>
          <w:tcPr>
            <w:tcW w:w="102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Foreign</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Gain (Loss) on</w:t>
            </w:r>
          </w:p>
        </w:tc>
        <w:tc>
          <w:tcPr>
            <w:tcW w:w="100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Gain (Loss)</w:t>
            </w:r>
          </w:p>
        </w:tc>
        <w:tc>
          <w:tcPr>
            <w:tcW w:w="10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26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(Loss) on Cash</w:t>
            </w:r>
          </w:p>
        </w:tc>
        <w:tc>
          <w:tcPr>
            <w:tcW w:w="8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Loss on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Cash Flow</w:t>
            </w:r>
          </w:p>
        </w:tc>
        <w:tc>
          <w:tcPr>
            <w:tcW w:w="220" w:type="dxa"/>
            <w:vAlign w:val="bottom"/>
          </w:tcPr>
          <w:p>
            <w:pPr>
              <w:spacing w:after="0"/>
              <w:rPr>
                <w:sz w:val="12"/>
                <w:szCs w:val="12"/>
                <w:color w:val="auto"/>
              </w:rPr>
            </w:pPr>
          </w:p>
        </w:tc>
        <w:tc>
          <w:tcPr>
            <w:tcW w:w="7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on</w:t>
            </w:r>
          </w:p>
        </w:tc>
        <w:tc>
          <w:tcPr>
            <w:tcW w:w="10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9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Flow Hedges</w:t>
            </w: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5"/>
                <w:szCs w:val="15"/>
                <w:color w:val="auto"/>
              </w:rPr>
            </w:pPr>
          </w:p>
        </w:tc>
        <w:tc>
          <w:tcPr>
            <w:tcW w:w="640" w:type="dxa"/>
            <w:vAlign w:val="bottom"/>
            <w:gridSpan w:val="2"/>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0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5"/>
                <w:szCs w:val="15"/>
                <w:color w:val="auto"/>
              </w:rPr>
            </w:pPr>
          </w:p>
        </w:tc>
        <w:tc>
          <w:tcPr>
            <w:tcW w:w="640" w:type="dxa"/>
            <w:vAlign w:val="bottom"/>
            <w:gridSpan w:val="2"/>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9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income (loss)</w:t>
            </w: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before reclassifications</w:t>
            </w:r>
          </w:p>
        </w:tc>
        <w:tc>
          <w:tcPr>
            <w:tcW w:w="1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FF0FC"/>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(824)</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(1,661)</w:t>
            </w:r>
          </w:p>
        </w:tc>
        <w:tc>
          <w:tcPr>
            <w:tcW w:w="2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0" w:type="dxa"/>
            <w:vAlign w:val="bottom"/>
          </w:tcPr>
          <w:p>
            <w:pPr>
              <w:spacing w:after="0"/>
              <w:rPr>
                <w:sz w:val="1"/>
                <w:szCs w:val="1"/>
                <w:color w:val="auto"/>
              </w:rPr>
            </w:pPr>
          </w:p>
        </w:tc>
      </w:tr>
      <w:tr>
        <w:trPr>
          <w:trHeight w:val="249"/>
        </w:trPr>
        <w:tc>
          <w:tcPr>
            <w:tcW w:w="2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521"/>
        </w:trPr>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459"/>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-2211070</wp:posOffset>
            </wp:positionV>
            <wp:extent cx="768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-2193925</wp:posOffset>
            </wp:positionV>
            <wp:extent cx="768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-2211070</wp:posOffset>
            </wp:positionV>
            <wp:extent cx="7747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-2193925</wp:posOffset>
            </wp:positionV>
            <wp:extent cx="7747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-2211070</wp:posOffset>
            </wp:positionV>
            <wp:extent cx="7747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-2193925</wp:posOffset>
            </wp:positionV>
            <wp:extent cx="774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-2211070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-2193925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-2211070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-2193925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-2211070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-2193925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-2211070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-2193925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-2211070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-2193925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-864870</wp:posOffset>
            </wp:positionV>
            <wp:extent cx="7683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-848360</wp:posOffset>
            </wp:positionV>
            <wp:extent cx="7683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-864870</wp:posOffset>
            </wp:positionV>
            <wp:extent cx="7747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-848360</wp:posOffset>
            </wp:positionV>
            <wp:extent cx="7747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-864870</wp:posOffset>
            </wp:positionV>
            <wp:extent cx="7747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-848360</wp:posOffset>
            </wp:positionV>
            <wp:extent cx="7747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-864870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-848360</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-864870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-848360</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-864870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-848360</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-864870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-848360</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-848360</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15. Stockholders’ Equity and Equity-Based Compensation</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Programs</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May 2024, the Board authorized a stock repurchase program of up to $20.0 million of the Company’s Class A Common Stock, which expired on December 31, 2024 (the “2024 Repurchase Program”). On November 1, 2024, the Board announced a new stock repurchase program (the “2025 Repurchase Program” and, together with the 2024 Repurchase Program, the “Repurchase Programs”) of the Company’s Class A Common Stock authorizing up to $100.0 million in share repurchases. The 2025 Repurchase Program expires on December 31, 2025 and became effective upon the expiration or completion of the 2024 Repurchase Program. Repurchases may be effected, from time to time, either on the open market (including pre-set trading plans), in privately negotiated transactions, and other transactions in accordance with applicable securities laws.</w:t>
      </w:r>
    </w:p>
    <w:p>
      <w:pPr>
        <w:spacing w:after="0" w:line="79" w:lineRule="exact"/>
        <w:rPr>
          <w:sz w:val="20"/>
          <w:szCs w:val="20"/>
          <w:color w:val="auto"/>
        </w:rPr>
      </w:pPr>
    </w:p>
    <w:p>
      <w:pPr>
        <w:jc w:val="both"/>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timing and the amount of any repurchased Class A Common Stock will be determined by the Company’s management based on its evaluation of market conditions and other factors. The repurchase program will be funded using the Company’s working capital. Any repurchased shares of Class A Common Stock will be retired. The repurchase program does not obligate the Company to acquire any particular amount of Class A Common Stock, and the repurchase program may be suspended or discontinued at any time at the Company’s discretion.</w:t>
      </w:r>
    </w:p>
    <w:p>
      <w:pPr>
        <w:spacing w:after="0" w:line="7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2025, the Company repurchased 11.6 million shares of Class A Common Stock under the 2025 Repurchase Program for an aggregate purchase price of $40.2 million, including commissions. As of June 30, 2025, the Company has repurchased an aggregate of 16.3 million shares of Class A Common Stock under the Repurchase Programs for an aggregate purchase price of $62.7 million, including commissions.</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Company recognizes equity-based compensation expense associated with awards granted under equity incentive plans. Equity-based compensation expense is allocated to all departments based on the recipients of the compensation. A summary of the expense by line item in the unaudited condensed consolidated statements of operations for the three and six months ended June 30, 2025 and 2024, respectively, is provided in the following table.</w:t>
      </w:r>
    </w:p>
    <w:p>
      <w:pPr>
        <w:spacing w:after="0" w:line="6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0" w:type="dxa"/>
            <w:vAlign w:val="bottom"/>
            <w:gridSpan w:val="4"/>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3220" w:type="dxa"/>
            <w:vAlign w:val="bottom"/>
            <w:vMerge w:val="continue"/>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4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4,346</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3,898</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8,587</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compensation expense</w:t>
            </w: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6,980</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8,842</w:t>
            </w:r>
          </w:p>
        </w:tc>
        <w:tc>
          <w:tcPr>
            <w:tcW w:w="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14,299</w:t>
            </w:r>
          </w:p>
        </w:tc>
        <w:tc>
          <w:tcPr>
            <w:tcW w:w="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2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-24765</wp:posOffset>
            </wp:positionV>
            <wp:extent cx="596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-7620</wp:posOffset>
            </wp:positionV>
            <wp:extent cx="596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-24765</wp:posOffset>
            </wp:positionV>
            <wp:extent cx="6032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-7620</wp:posOffset>
            </wp:positionV>
            <wp:extent cx="6032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-24765</wp:posOffset>
            </wp:positionV>
            <wp:extent cx="603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603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-24765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June 30, 2025, the Company accelerated the vesting of 258,886 and 357,808 previously unvested time-based RSUs, respectively, in connection with the departure of certain executive-level employees. The remaining unvested shares held by the award holders were forfeited upon separation, and the modifications resulted in an incremental stock-based compensation charge of approximately $0.3 million and $0.6 million during the three and six months ended June 30, 2025, respectively.</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accelerated the vesting of 203,761 and 750,145 previously unvested time-based RSUs, respectively. Additionally, during the first quarter of 2024, the Company accelerated the vesting of 60,098 previously unvested LLC units and 49,265 previously unvested performance-based RSUs (“PSUs”). These modifications occurred in connection with departures of certain executive-level employees. Remaining unvested shares held by the award holders were forfeited upon separation, and the modifications resulted in incremental stock-based compensation charges of approximately $0.8 million and $7.5 million during the three and six months ended June 30, 2024, respectively.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28" w:name="page29"/>
    <w:bookmarkEnd w:id="28"/>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Units with Market Conditions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During the six months ended June 30, 2025, the Company granted 1,675,811 PSUs to certain executives with a relative total stockholder return (“TSR”) component, pursuant to the Company’s 2021 Equity Incentive Plan. These awards vest based on the satisfaction of certain service conditions, market conditions, and performance-based conditions measured over a cumulative three-year period ended December 31, 2027. The earned payout of these PSUs, if at all, will range from 0% to 200% of target, based upon achievement of certain cumulative performance goals, which include revenue and adjusted EBITDA margin targets determined by the Company with a relative TSR multiplier up to plus or minus 20%. For fiscal year 2025, the revenue and adjusted EBITDA margin targets have been determined, with the fiscal year 2026 and 2027 targets to be determined within 75 days following the end of the previous applicable fiscal year, and the three-year cumulative performance targets set in 2027. In accordance with ASC 718, </w:t>
      </w:r>
      <w:r>
        <w:rPr>
          <w:rFonts w:ascii="Times New Roman" w:cs="Times New Roman" w:eastAsia="Times New Roman" w:hAnsi="Times New Roman"/>
          <w:sz w:val="18"/>
          <w:szCs w:val="18"/>
          <w:i w:val="1"/>
          <w:iCs w:val="1"/>
          <w:color w:val="auto"/>
        </w:rPr>
        <w:t>Compensation -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the grant date for these PSUs can only be established when a mutual understanding of the terms of the award are established, including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 targets for the cumulative performance period being explicitly defined in 2027. In addition, the awards are not forfeited in the event an interim annual target for 2025 or 2026 is not attained and accordingly, there is no service inception date prior to the grant date. Accordingly, measurement of stock-based compensation attributed to these PSUs will be based on the grant date fair value using a Monte-Carlo valuation model once the grant date is determined, with the resulting stock-based compensation expense recorded over the substantive service period in 2027.</w:t>
      </w:r>
    </w:p>
    <w:p>
      <w:pPr>
        <w:spacing w:after="0" w:line="8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June 2024, the Company granted PSUs to its Chief Executive Officer with performance criteria related to the Company’s achievement of certain stock price hurdles over a four-year period. These PSUs subject to the performance criteria will become earned and eligible to vest in four vesting tranches over the performance period. As these PSUs vest based on the achievement of market conditions, the grant date fair values were determined using a Monte-Carlo valuation model. The Monte-Carlo valuation model considered a variety of potential future share prices for the Company as well as its peer companies in the selected market index. Expense for these awards is recognized ratably over the requisite service period based on the fair value of the award.</w:t>
      </w:r>
    </w:p>
    <w:p>
      <w:pPr>
        <w:spacing w:after="0" w:line="7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February 2024, the Company granted PSUs to its Executive Chairman with performance criteria related to the relative ranking of the TSR of the Company’s common stock for the cumulative three-year performance period return relative to the TSR of certain peer companies within the Nasdaq Software &amp; Services Index. TSR will be measured based on the 45-trading-day average closing stock price on the first day of the performance period compared to the 45-trading-day average closing stock price on the last day of such period, inclusive of applicable cash dividend payments. These PSUs subject to the performance criteria will cliff vest after three years, subject to the satisfaction of the performance criteria and the executive’s continued employment through the performance period. PSUs may vest in a range between 0% and 200%, based on the satisfaction of performance, and no shares will be issued if the minimum applicable performance metric is not achieved. As these PSUs vest based on the achievement of market conditions, the grant date fair values were determined using a Monte-Carlo valuation model. The Monte-Carlo valuation model considered a variety of potential future share prices for the Company as well as its peer companies in the selected market index. Expense for these awards is recognized ratably over the requisite service period based on the fair value of the award.</w:t>
      </w:r>
    </w:p>
    <w:p>
      <w:pPr>
        <w:spacing w:after="0" w:line="8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recognized approximately $0.6 million and $1.2 million in stock-based compensation expense associated with PSUs with market conditions during the three and six months ended June 30, 2025, respectively, and $0.4 million and $0.6 million during the three and six months ended June 30, 2024, respectively.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16. Income Taxes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2025, management performed an assessment of the recoverability of deferred tax assets. Based on the review of all available evidence, the Company determined that it has not yet attained a sustained level of profitability and the objectively verifiable negative evidence outweighed the positive evidence. Therefore, the Company has recorded a valuation allowance for all years on its net operating loss carryforwards, R&amp;D credit carryforwards, and other net deferred tax assets that remain after all sources of taxable income are exhausted, not supportable by the “naked credit” deferred tax liability sourced income as of June 30, 2025.</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June 30, 2025 and December 31, 2024, the Company has recorded net deferred tax liabilities of $13.8 million and $24.5 million, respectively.</w:t>
      </w:r>
    </w:p>
    <w:p>
      <w:pPr>
        <w:spacing w:after="0" w:line="117"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Company's effective tax rate was (5.2)% and 6.7% for the three months ended June 30, 2025 and 2024, respectively, and 6.0% and 6.6% for the six months ended June 30, 2025 and 2024, respectively. The Company’s effective tax rate differs from the statutory tax rate of 21% due to the valuation allowance recorded, foreign tax rates that differ from the U.S. statutory tax rate, and partnership income that is not taxed.</w:t>
      </w:r>
    </w:p>
    <w:p>
      <w:pPr>
        <w:spacing w:after="0" w:line="6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income of the Company’s subsidiaries is generally subject to corporate-level taxation, and certain of these subsidiaries have a valuation allowance whereas others do not. The effective tax rates for each period generally arise from the tax provisions for Company subsidiaries without valuation allowances, and the impact of any revaluation of deferred taxes arising from changes in the states effective tax rates. Such revaluations are caused by changes in state apportionment factors arising from fluctuations in the mix of sales, property and payroll by state, certain state tax rate changes and certain state tax incentives.</w:t>
      </w:r>
    </w:p>
    <w:p>
      <w:pPr>
        <w:spacing w:after="0" w:line="7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On July 4, 2025, the One Big Beautiful Bill Act (“OBBBA”) was enacted into law. The OBBBA provides for significant U.S. tax law changes. ASC 740, </w:t>
      </w:r>
      <w:r>
        <w:rPr>
          <w:rFonts w:ascii="Times New Roman" w:cs="Times New Roman" w:eastAsia="Times New Roman" w:hAnsi="Times New Roman"/>
          <w:sz w:val="18"/>
          <w:szCs w:val="18"/>
          <w:i w:val="1"/>
          <w:iCs w:val="1"/>
          <w:color w:val="auto"/>
        </w:rPr>
        <w:t>Accounting for Income Taxes</w:t>
      </w:r>
      <w:r>
        <w:rPr>
          <w:rFonts w:ascii="Times New Roman" w:cs="Times New Roman" w:eastAsia="Times New Roman" w:hAnsi="Times New Roman"/>
          <w:sz w:val="18"/>
          <w:szCs w:val="18"/>
          <w:color w:val="auto"/>
        </w:rPr>
        <w:t>, provides that changes in tax rates and laws are recognized in the period of enactment. As a result, the Company is assessing the impact of this new legislation and will record any impacts in the period of enactment.</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Pursuant to the Company’s election under Section 754 of the Internal Revenue Code (the “Code”), the Company expects to obtain an increase in its share of the tax basis in the net assets of Definitive OpCo when LLC Units are redeemed or exchanged by other members. The Company intends to treat any redemptions and exchanges of LLC Interest as direct purchases of LLC Interests for U.S. federal income tax purposes. These increases in tax basis may reduce the amounts that would otherwise be paid in the future to various tax authorities. They may also decrease gains (or increase losses) on future dispositions of certain capital assets to the extent tax basis is allocated to those capital assets.</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connection with the IPO, the Company entered into a Tax Receivable Agreement (“TRA”) among Definitive Healthcare Corp., Definitive OpCo, and the TRA Parties and has recorded a liability under the TRA of $31.2 million and $63.2 million as of June 30, 2025 and December 31, 2024, respectively. The $32.0 million decrease in the TRA liability during the six months ended June 30, 2025 was primarily driven by a $17.8 million remeasurement of the liability based on future realizability of tax attributes with an offsetting adjustment to statement of operations and $13.8 million of payments to TRA Parties, while concurrently decreasing $0.4 million with an offsetting adjustment to additional paid-in capital for current year exchange transactions and redemptions. Under the TRA, the Company generally will be required to pay to the TRA Parties 85% of the amount of cash savings, if any, in U.S. federal, state, or local tax that the Company actually realizes directly or indirectly (or are deemed to realize in certain circumstances) as a result of (i) certain tax basis adjustments resulting from (a) acquisitions by the Company of LLC Units from pre-IPO holders in connection with the IPO, and (b) subsequent redemptions or exchanges of LLC Units by holders for Class A Common Stock or other consideration, (ii) certain tax attributes acquired by the Company from the Blocker Companies in the Reorganization Transactions, and (iii) certain payments made under the TRA. The Company expects to benefit from the remaining 15% of any tax benefits that it may actually realize. To the extent that the Company is unable to timely make payments under the TRA for any reason, such payments generally will be deferred and will accrue interest until paid.</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17. Loss Per Share</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Basic net loss per share of Class A Common Stock is computed by dividing net income attributable to the Company by the weighted-average number of shares of Class A Common Stock outstanding during the period, excluding unvested equity awards and subsidiary member units not exchanged. Diluted earnings per share of Class A Common Stock is calculated by dividing net income attributable to the Company, adjusted for the assumed exchange of all potentially dilutive securities by the weighted-average number of shares of Class A Common Stock outstanding.</w:t>
      </w:r>
    </w:p>
    <w:p>
      <w:pPr>
        <w:spacing w:after="0" w:line="7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reconciliations of the numerators and denominators used to compute basic and diluted net loss per share of Class A Common Stock for the three and six months ended June 30, 2025 and 2024.</w:t>
      </w:r>
    </w:p>
    <w:p>
      <w:pPr>
        <w:spacing w:after="0" w:line="101"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80" w:type="dxa"/>
            <w:vAlign w:val="bottom"/>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6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96"/>
        </w:trPr>
        <w:tc>
          <w:tcPr>
            <w:tcW w:w="52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r>
      <w:tr>
        <w:trPr>
          <w:trHeight w:val="210"/>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(9,265)</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(306,187)</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(164,358)</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(318,905)</w:t>
            </w:r>
          </w:p>
        </w:tc>
      </w:tr>
      <w:tr>
        <w:trPr>
          <w:trHeight w:val="21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(1,714)</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(92,552)</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(49,579)</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(95,752)</w:t>
            </w:r>
          </w:p>
        </w:tc>
      </w:tr>
      <w:tr>
        <w:trPr>
          <w:trHeight w:val="20"/>
        </w:trPr>
        <w:tc>
          <w:tcPr>
            <w:tcW w:w="5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Definitive Healthcare Corp.</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(7,551)</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(213,635)</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(114,779)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(223,153)</w:t>
            </w:r>
          </w:p>
        </w:tc>
      </w:tr>
      <w:tr>
        <w:trPr>
          <w:trHeight w:val="20"/>
        </w:trPr>
        <w:tc>
          <w:tcPr>
            <w:tcW w:w="5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-170815</wp:posOffset>
            </wp:positionV>
            <wp:extent cx="6032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-170815</wp:posOffset>
            </wp:positionV>
            <wp:extent cx="6032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6032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-170815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of Class A Common Stock for the three and six months ended June 30, 2025 and 2024 (per share amounts unaudited).</w:t>
      </w:r>
    </w:p>
    <w:p>
      <w:pPr>
        <w:spacing w:after="0" w:line="101"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4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6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48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number of shares and per share amounts)</w:t>
            </w:r>
          </w:p>
        </w:tc>
        <w:tc>
          <w:tcPr>
            <w:tcW w:w="1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Basic net loss per share attributable to common stockholders</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Allocation of net loss attributable to Definitive Healthcare Corp.</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(7,551)</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(213,635)</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(114,779)</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(223,153)</w:t>
            </w:r>
          </w:p>
        </w:tc>
        <w:tc>
          <w:tcPr>
            <w:tcW w:w="0" w:type="dxa"/>
            <w:vAlign w:val="bottom"/>
          </w:tcPr>
          <w:p>
            <w:pPr>
              <w:spacing w:after="0"/>
              <w:rPr>
                <w:sz w:val="1"/>
                <w:szCs w:val="1"/>
                <w:color w:val="auto"/>
              </w:rPr>
            </w:pPr>
          </w:p>
        </w:tc>
      </w:tr>
      <w:tr>
        <w:trPr>
          <w:trHeight w:val="216"/>
        </w:trPr>
        <w:tc>
          <w:tcPr>
            <w:tcW w:w="48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86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Weighted average number of shares of Class A Common Stock</w:t>
            </w:r>
          </w:p>
        </w:tc>
        <w:tc>
          <w:tcPr>
            <w:tcW w:w="18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106,815,740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117,750,392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109,782,640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117,591,956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outstanding</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(0.07)</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(1.81)</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(1.05)</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0"/>
        </w:trPr>
        <w:tc>
          <w:tcPr>
            <w:tcW w:w="48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-24765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-7620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-24765</wp:posOffset>
            </wp:positionV>
            <wp:extent cx="6032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6032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03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032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-24765</wp:posOffset>
            </wp:positionV>
            <wp:extent cx="5969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-7620</wp:posOffset>
            </wp:positionV>
            <wp:extent cx="5969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Shares of the Company’s Class B Common Stock do not participate in the earnings or losses of the Company and are therefore not participating securities. As such, separate presentation of basic and diluted earnings per share of Class B Common Stock under the two-class method has not been presented.</w:t>
      </w:r>
    </w:p>
    <w:p>
      <w:pPr>
        <w:spacing w:after="0" w:line="68"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potentially dilutive securities excluded from the computation of diluted net loss per share for the period presented because their effect would have been anti-dilutive: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660" w:type="dxa"/>
            <w:vAlign w:val="bottom"/>
            <w:tcBorders>
              <w:bottom w:val="single" w:sz="8" w:color="auto"/>
            </w:tcBorders>
            <w:gridSpan w:val="3"/>
          </w:tcPr>
          <w:p>
            <w:pPr>
              <w:jc w:val="right"/>
              <w:ind w:right="92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40" w:type="dxa"/>
            <w:vAlign w:val="bottom"/>
            <w:gridSpan w:val="2"/>
          </w:tcPr>
          <w:p>
            <w:pPr>
              <w:spacing w:after="0"/>
              <w:rPr>
                <w:sz w:val="15"/>
                <w:szCs w:val="15"/>
                <w:color w:val="auto"/>
              </w:rPr>
            </w:pPr>
          </w:p>
        </w:tc>
      </w:tr>
      <w:tr>
        <w:trPr>
          <w:trHeight w:val="196"/>
        </w:trPr>
        <w:tc>
          <w:tcPr>
            <w:tcW w:w="46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72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7"/>
                <w:szCs w:val="17"/>
                <w:color w:val="auto"/>
              </w:rPr>
            </w:pPr>
          </w:p>
        </w:tc>
        <w:tc>
          <w:tcPr>
            <w:tcW w:w="172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10"/>
        </w:trPr>
        <w:tc>
          <w:tcPr>
            <w:tcW w:w="46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Definitive OpCo LLC Units (vested and unvested)</w:t>
            </w:r>
          </w:p>
        </w:tc>
        <w:tc>
          <w:tcPr>
            <w:tcW w:w="3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38,395,357</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39,489,246</w:t>
            </w:r>
          </w:p>
        </w:tc>
        <w:tc>
          <w:tcPr>
            <w:tcW w:w="100" w:type="dxa"/>
            <w:vAlign w:val="bottom"/>
            <w:shd w:val="clear" w:color="auto" w:fill="CFF0FC"/>
          </w:tcPr>
          <w:p>
            <w:pPr>
              <w:spacing w:after="0"/>
              <w:rPr>
                <w:sz w:val="18"/>
                <w:szCs w:val="18"/>
                <w:color w:val="auto"/>
              </w:rPr>
            </w:pPr>
          </w:p>
        </w:tc>
        <w:tc>
          <w:tcPr>
            <w:tcW w:w="440" w:type="dxa"/>
            <w:vAlign w:val="bottom"/>
          </w:tcPr>
          <w:p>
            <w:pPr>
              <w:spacing w:after="0"/>
              <w:rPr>
                <w:sz w:val="18"/>
                <w:szCs w:val="18"/>
                <w:color w:val="auto"/>
              </w:rPr>
            </w:pPr>
          </w:p>
        </w:tc>
      </w:tr>
      <w:tr>
        <w:trPr>
          <w:trHeight w:val="234"/>
        </w:trPr>
        <w:tc>
          <w:tcPr>
            <w:tcW w:w="46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3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15,384,682</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9,189,401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738"/>
        </w:trPr>
        <w:tc>
          <w:tcPr>
            <w:tcW w:w="4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22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31</w:t>
            </w: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763"/>
        </w:trPr>
        <w:tc>
          <w:tcPr>
            <w:tcW w:w="46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18. Segment Data</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Operating segments are defined as components of an enterprise about which separate financial information is available that is evaluated regularly by the chief operating decision-maker (“CODM”) in deciding how to allocate resources and assess performance. The Company derives substantially all of its revenue from the sale of subscription fees for access to its platform and stand-ready support—a product designed to provide accurate and comprehensive information on healthcare providers and their activities helping its customers optimize everything from product development to go-to-market planning and sales and marketing execution. To assess performance, the Company’s CODM, the Chief Executive Officer, reviews financial information on a consolidated basis. Therefore, the Company determined it has one operating segment and one reportable segment. The accounting policies of the Company’s operating segment are the same as those described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 the notes to the consolidated financial statements in the 2024 Form 10-K. The CODM uses consolidated net loss to set budgets, evaluate margins, review actual results, and to make decisions whether to reinvest profits into the business, pursue acquisitions and partnerships, repurchase shares, and/or engage in other capital management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190500</wp:posOffset>
            </wp:positionV>
            <wp:extent cx="4032885" cy="1625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032885" cy="162560"/>
                    </a:xfrm>
                    <a:prstGeom prst="rect">
                      <a:avLst/>
                    </a:prstGeom>
                    <a:noFill/>
                  </pic:spPr>
                </pic:pic>
              </a:graphicData>
            </a:graphic>
          </wp:anchor>
        </w:drawing>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2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5"/>
                <w:szCs w:val="15"/>
                <w:color w:val="auto"/>
              </w:rPr>
            </w:pPr>
          </w:p>
        </w:tc>
        <w:tc>
          <w:tcPr>
            <w:tcW w:w="278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96"/>
        </w:trPr>
        <w:tc>
          <w:tcPr>
            <w:tcW w:w="462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r>
      <w:tr>
        <w:trPr>
          <w:trHeight w:val="210"/>
        </w:trPr>
        <w:tc>
          <w:tcPr>
            <w:tcW w:w="300" w:type="dxa"/>
            <w:vAlign w:val="bottom"/>
          </w:tcPr>
          <w:p>
            <w:pPr>
              <w:spacing w:after="0"/>
              <w:rPr>
                <w:sz w:val="18"/>
                <w:szCs w:val="18"/>
                <w:color w:val="auto"/>
              </w:rPr>
            </w:pPr>
          </w:p>
        </w:tc>
        <w:tc>
          <w:tcPr>
            <w:tcW w:w="4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60,750</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63,737</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119,941</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127,217</w:t>
            </w:r>
          </w:p>
        </w:tc>
        <w:tc>
          <w:tcPr>
            <w:tcW w:w="120" w:type="dxa"/>
            <w:vAlign w:val="bottom"/>
            <w:shd w:val="clear" w:color="auto" w:fill="CFF0FC"/>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13,283</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26,381</w:t>
            </w:r>
          </w:p>
        </w:tc>
        <w:tc>
          <w:tcPr>
            <w:tcW w:w="1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20,469</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21,545</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41,122</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43,305</w:t>
            </w:r>
          </w:p>
        </w:tc>
        <w:tc>
          <w:tcPr>
            <w:tcW w:w="120" w:type="dxa"/>
            <w:vAlign w:val="bottom"/>
            <w:shd w:val="clear" w:color="auto" w:fill="CFF0FC"/>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10,122</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20,254</w:t>
            </w:r>
          </w:p>
        </w:tc>
        <w:tc>
          <w:tcPr>
            <w:tcW w:w="1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12,673</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12,527</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24,942</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29,410</w:t>
            </w:r>
          </w:p>
        </w:tc>
        <w:tc>
          <w:tcPr>
            <w:tcW w:w="120" w:type="dxa"/>
            <w:vAlign w:val="bottom"/>
            <w:shd w:val="clear" w:color="auto" w:fill="CFF0FC"/>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32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segment items, net </w:t>
            </w:r>
            <w:r>
              <w:rPr>
                <w:rFonts w:ascii="Times New Roman" w:cs="Times New Roman" w:eastAsia="Times New Roman" w:hAnsi="Times New Roman"/>
                <w:sz w:val="24"/>
                <w:szCs w:val="24"/>
                <w:color w:val="auto"/>
                <w:vertAlign w:val="superscript"/>
              </w:rPr>
              <w:t>(1)(2)</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334,347</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181,828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349,452</w:t>
            </w:r>
          </w:p>
        </w:tc>
        <w:tc>
          <w:tcPr>
            <w:tcW w:w="1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 from income taxes</w:t>
            </w: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(456)</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21,900</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10,430</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22,680</w:t>
            </w:r>
          </w:p>
        </w:tc>
        <w:tc>
          <w:tcPr>
            <w:tcW w:w="120" w:type="dxa"/>
            <w:vAlign w:val="bottom"/>
            <w:shd w:val="clear" w:color="auto" w:fill="CFF0FC"/>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3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300" w:type="dxa"/>
            <w:vAlign w:val="bottom"/>
          </w:tcPr>
          <w:p>
            <w:pPr>
              <w:spacing w:after="0"/>
              <w:rPr>
                <w:sz w:val="18"/>
                <w:szCs w:val="18"/>
                <w:color w:val="auto"/>
              </w:rPr>
            </w:pPr>
          </w:p>
        </w:tc>
        <w:tc>
          <w:tcPr>
            <w:tcW w:w="4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(9,265)</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(306,187)</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(164,358)</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(318,905)</w:t>
            </w:r>
          </w:p>
        </w:tc>
      </w:tr>
      <w:tr>
        <w:trPr>
          <w:trHeight w:val="20"/>
        </w:trPr>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2"/>
        </w:trPr>
        <w:tc>
          <w:tcPr>
            <w:tcW w:w="30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3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-256540</wp:posOffset>
            </wp:positionV>
            <wp:extent cx="596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-256540</wp:posOffset>
            </wp:positionV>
            <wp:extent cx="6032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-256540</wp:posOffset>
            </wp:positionV>
            <wp:extent cx="6032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-256540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520" w:right="20" w:hanging="512"/>
        <w:spacing w:after="0" w:line="256"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June 30, 2025, other segment items, net includes a tax receivable agreement remeasurement loss of $2.9 million, depreciation and amortization expense of $9.0 million, interest expense of $3.0 million, interest income of $1.7 million, transaction, integration, and restructuring expenses of $0.7 million, and net foreign currency transaction losses of $0.5 million. For the three months ended June 30, 2024, other segment items, net includes a goodwill impairment charge of $363.6 million, a tax receivable agreement remeasurement gain of $41.7 million, depreciation and amortization expense of $9.4 million, interest expense of $3.8 million, interest income of $3.7 million, transaction integration, and restructuring expenses of $2.9 million, and net foreign currency transaction losses of $0.1 million.</w:t>
      </w:r>
    </w:p>
    <w:p>
      <w:pPr>
        <w:spacing w:after="0" w:line="79" w:lineRule="exact"/>
        <w:rPr>
          <w:rFonts w:ascii="Times New Roman" w:cs="Times New Roman" w:eastAsia="Times New Roman" w:hAnsi="Times New Roman"/>
          <w:sz w:val="18"/>
          <w:szCs w:val="18"/>
          <w:color w:val="auto"/>
        </w:rPr>
      </w:pPr>
    </w:p>
    <w:p>
      <w:pPr>
        <w:ind w:left="520" w:right="180" w:hanging="512"/>
        <w:spacing w:after="0" w:line="255"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six months ended June 30, 2025, other segment items, net includes a goodwill impairment charge of $176.5 million, a tax receivable agreement remeasurement gain of $17.8 million, depreciation and amortization expense of $17.5 million, interest expense of $5.4 million, interest income of $3.8 million, transaction integration, and restructuring expenses of $1.9 million, net foreign currency transaction losses of $1.5 million, and a loss on the partial extinguishment of debt of $0.5 million. For the six months ended June 30, 2024, other segment items, net includes a goodwill impairment charge of $363.6 million, a tax receivable agreement remeasurement gain of $44.0 million, depreciation and amortization expense of $18.7 million, transaction integration, and restructuring expenses of $11.4 million, interest expense of $7.6 million, interest income of $7.6 million, and net foreign currency transaction losses of $0.3 million.</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32"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19. Related Parties</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231F20"/>
        </w:rPr>
        <w:t xml:space="preserve">The Company has engaged in revenue transactions within the ordinary course of business with entities affiliated with its Sponsors and with members of the Board. During the three months ended June 30, 2025 and 2024, the Company recorded revenue from related parties of $0.1 </w:t>
      </w:r>
      <w:r>
        <w:rPr>
          <w:rFonts w:ascii="Times New Roman" w:cs="Times New Roman" w:eastAsia="Times New Roman" w:hAnsi="Times New Roman"/>
          <w:sz w:val="18"/>
          <w:szCs w:val="18"/>
          <w:color w:val="000000"/>
        </w:rPr>
        <w:t>million and</w:t>
      </w:r>
      <w:r>
        <w:rPr>
          <w:rFonts w:ascii="Times New Roman" w:cs="Times New Roman" w:eastAsia="Times New Roman" w:hAnsi="Times New Roman"/>
          <w:sz w:val="18"/>
          <w:szCs w:val="18"/>
          <w:color w:val="231F20"/>
        </w:rPr>
        <w:t xml:space="preserve"> $0.2 million, respectively. During the six months ended June 30, 2025 and 2024, the Company recorded revenue from related parties of $0.3 </w:t>
      </w:r>
      <w:r>
        <w:rPr>
          <w:rFonts w:ascii="Times New Roman" w:cs="Times New Roman" w:eastAsia="Times New Roman" w:hAnsi="Times New Roman"/>
          <w:sz w:val="18"/>
          <w:szCs w:val="18"/>
          <w:color w:val="000000"/>
        </w:rPr>
        <w:t>million and</w:t>
      </w:r>
      <w:r>
        <w:rPr>
          <w:rFonts w:ascii="Times New Roman" w:cs="Times New Roman" w:eastAsia="Times New Roman" w:hAnsi="Times New Roman"/>
          <w:sz w:val="18"/>
          <w:szCs w:val="18"/>
          <w:color w:val="231F20"/>
        </w:rPr>
        <w:t xml:space="preserve"> $0.4 million, respectively. Receivables for related party revenue transactions amounted to less than $0.1 million and $0.2 million at June 30, 2025 and December 31, 2024, respectively.</w:t>
      </w:r>
    </w:p>
    <w:p>
      <w:pPr>
        <w:spacing w:after="0" w:line="7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231F20"/>
        </w:rPr>
        <w:t>During the three and six months ended June 30, 2025, the Company also paid $0.1 million and $0.4 million, respectively, to related parties for transactions within the ordinary course of business. Payables to related parties amounted to $0.2 million at June 30, 2025. There were no such payments or payables during the three and six months ended June 30, 2024.</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32" w:right="419" w:bottom="1440" w:gutter="0" w:footer="0" w:header="0"/>
        </w:sectPr>
      </w:pPr>
    </w:p>
    <w:bookmarkStart w:id="33" w:name="page34"/>
    <w:bookmarkEnd w:id="33"/>
    <w:p>
      <w:pPr>
        <w:ind w:left="2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related notes included elsewhere in this Quarterly Report and with our audited Consolidated Financial Statements, “Risk Factors,” and “Management’s Discussion and Analysis of Financial Condition and Results of Operations” included in our 2024 Form 10-K.</w:t>
      </w:r>
    </w:p>
    <w:p>
      <w:pPr>
        <w:spacing w:after="0" w:line="7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As discussed in “Cautionary Note Regarding Forward-Looking Statements,” the following discussion and analysis contains forward-looking statements that involve risks and uncertainties. Our actual results may materially differ from those discussed in such forward-looking statements. Factors that could cause or contribute to these differences include, but are not limited to, those identified below and those discussed in “Risk Factors” under Part II, Item 1A in this Quarterly Report and in Part I, Item 1A of our 2024 Form 10-K.</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Definitive Healthcare is a leading provider of healthcare commercial intelligence. Our solutions are designed to provide accurate and comprehensive information on healthcare providers and their activities to help our customers optimize everything from product development to go-to-market planning and sales and marketing execution. Delivered through our software as a service (“SaaS”) platform, our intelligence has become important to the commercial success of our approximately 2,400 customers as of June 30, 2025. We generally define a customer as a company that maintains one or more active paid subscriptions to our platform.</w:t>
      </w:r>
    </w:p>
    <w:p>
      <w:pPr>
        <w:spacing w:after="0" w:line="75"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sell into three end markets: Life Sciences, Provider, and Diversified. Life Sciences is made up of biopharmaceutical and medical device companies; Providers are the healthcare providers; and Diversified includes healthcare information technology companies and other organizations seeking commercial success in the attractive but complex healthcare ecosystem, such as staffing firms, commercial real estate firms, and financial institutions. Within these organizations, our platform is leveraged by a broad set of functional groups, including sales, marketing, clinical research and product development, strategy, talent acquisition, and physician network management. We offer access to our platform on a subscription basis, and we generate substantially all of our revenue from subscription fees.</w:t>
      </w:r>
    </w:p>
    <w:p>
      <w:pPr>
        <w:spacing w:after="0" w:line="79"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We were founded in 2011 by our Executive Chairman, Jason Krantz. Mr. Krantz founded the company to provide healthcare commercial intelligence that enables companies that compete within or sell into the healthcare ecosystem to make better, informed decisions and be more successful. Over time, we have expanded our platform with new intelligence modules, innovative analytics, workflow capabilities, and additional data sources.</w:t>
      </w:r>
    </w:p>
    <w:p>
      <w:pPr>
        <w:spacing w:after="0" w:line="68"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believe any company selling or competing within the healthcare ecosystem is a potential customer for us and contributes to our estimated current total addressable market of over $10 billion. In total, we have identified more than 100,000 potential customers that we believe could benefit from our platform.</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 xml:space="preserve">On January 16, 2024, we completed the purchase of assets comprising the Carevoyance business line of H1 Insights, Inc., a product that helps medical technology (“MedTech”) customers improve segmentation, targeting, and prospect engagement for $13.7 million, subject to closing adjustments. Refer to Note 2.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to our accompanying unaudited condensed consolidated financial statements for further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During the first quarter of 2025, we experienced declines in our market capitalization as a result of sustained decreases in our stock price, which represented a triggering event requiring our management to perform a quantitative goodwill impairment test as of the end of the first quarter of 2025. As a result of the impairment test, we determined that the fair value of our single reporting unit was lower than its carrying value and, accordingly, recorded a non-cash, pre-tax, goodwill impairment charge of $176.5 million during the first quarter of 2025. The goodwill impairment charge did not affect our liquidity or the financial covenants in our outstanding debt agreement. There were no triggering events identified during the second quarter of 2025 that would have required our management to perform a goodwill impairment test.</w:t>
      </w:r>
    </w:p>
    <w:p>
      <w:pPr>
        <w:spacing w:after="0" w:line="77" w:lineRule="exact"/>
        <w:rPr>
          <w:sz w:val="20"/>
          <w:szCs w:val="20"/>
          <w:color w:val="auto"/>
        </w:rPr>
      </w:pPr>
    </w:p>
    <w:p>
      <w:pPr>
        <w:jc w:val="both"/>
        <w:ind w:right="300" w:firstLine="509"/>
        <w:spacing w:after="0" w:line="267" w:lineRule="auto"/>
        <w:rPr>
          <w:sz w:val="20"/>
          <w:szCs w:val="20"/>
          <w:color w:val="auto"/>
        </w:rPr>
      </w:pPr>
      <w:r>
        <w:rPr>
          <w:rFonts w:ascii="Times New Roman" w:cs="Times New Roman" w:eastAsia="Times New Roman" w:hAnsi="Times New Roman"/>
          <w:sz w:val="18"/>
          <w:szCs w:val="18"/>
          <w:color w:val="auto"/>
        </w:rPr>
        <w:t xml:space="preserve">We will continue to monitor for potential impairment indicators and potential impairments. See Note 8. </w:t>
      </w:r>
      <w:r>
        <w:rPr>
          <w:rFonts w:ascii="Times New Roman" w:cs="Times New Roman" w:eastAsia="Times New Roman" w:hAnsi="Times New Roman"/>
          <w:sz w:val="18"/>
          <w:szCs w:val="18"/>
          <w:i w:val="1"/>
          <w:iCs w:val="1"/>
          <w:color w:val="auto"/>
        </w:rPr>
        <w:t>Goodwill and Intangible Assets</w:t>
      </w:r>
      <w:r>
        <w:rPr>
          <w:rFonts w:ascii="Times New Roman" w:cs="Times New Roman" w:eastAsia="Times New Roman" w:hAnsi="Times New Roman"/>
          <w:sz w:val="18"/>
          <w:szCs w:val="18"/>
          <w:color w:val="auto"/>
        </w:rPr>
        <w:t xml:space="preserve"> to our accompanying unaudited condensed consolidated financial statements. Our reporting unit is at risk for future goodwill impairments if we experience a continued decline in our market capitalization or worsening macroeconomic conditions.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Charges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During the first quarter of 2024, we committed to a restructuring plan intended to reduce operating costs, improve operating margins, and continue advancing our ongoing commitment to profitable growth (the “2024 Restructuring Plan”). The 2024 Restructuring Plan provided for a reduction of the Company’s current workforce by approximately 150 people. During the three and six months ended June 30, 2024, we incurred restructuring and related charges of $0.6 million and $7.8 million, respectively, consisting primarily of severance payments, employee benefits, and related cash expenses. These charges were recognized within transaction, integration, and restructuring expenses in our unaudited condensed consolidated statements of operations. We do not expect to incur any additional material charges associated with the 2024 Restructuring Plan.</w:t>
      </w:r>
    </w:p>
    <w:p>
      <w:pPr>
        <w:spacing w:after="0" w:line="7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In fiscal year 2024, we recorded impairment charges of $1.2 million related to the consolidation of certain leased office space at our corporate headquarters. These charges comprised $0.9 million relating to the operating lease right-of-use assets and $0.3 million relating to the leasehold improvements. During the first quarter of 2025, we incurred an additional $0.2 million in impairment charges related to the operating lease right-of-use assets. These charges were recognized within transaction, integration, and restructuring expenses in our unaudited condensed consolidated statements of operations for each respective period. No such charges were incurred during the second quarter of 2025.</w:t>
      </w:r>
    </w:p>
    <w:p>
      <w:pPr>
        <w:spacing w:after="0" w:line="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32"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Sales Execution Challenges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As part of the 2024 Restructuring Plan, we made significant changes to our go-to-market team that reduced overlay expenses, created a separate group and sales motion for our small and medium sized customers, and allocated more resources to our Enterprise Customers (as the term is defined below). These changes created disruptions to our sales efforts in 2024, impacting both new customer acquisition and upsell to existing customers. These factors, in addition to the lower than historical renewal rates we observed through the second half of 2024 and the first half of 2025, have impacted, and we expect will continue to impact, our results in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Transitions</w:t>
      </w:r>
    </w:p>
    <w:p>
      <w:pPr>
        <w:spacing w:after="0" w:line="12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As part of the Company’s ongoing review of its organizational design with respect to executive leadership we have recently experienced several executive transitions.</w:t>
      </w:r>
    </w:p>
    <w:p>
      <w:pPr>
        <w:spacing w:after="0" w:line="54"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On November 7, 2024, we announced that our former Chief Financial Officer, Richard Booth, would be leaving the Company effective June 1, 2025. After a thorough search process, our board of directors (the “Board”) appointed Casey Heller, our former Senior Vice President of Finance, to the role of Chief Financial Officer effective June 2, 2025.</w:t>
      </w:r>
    </w:p>
    <w:p>
      <w:pPr>
        <w:spacing w:after="0" w:line="6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June 25, 2025, we announced that the Chief Operating Officer position, held by Kate Shamsuddin Jensen, would be eliminated. Ms. Shamsuddin Jensen will remain employed with the Company through August 1, 2025. Ms. Shamsuddin Jensen’s departure constitutes a termination of employment without “cause” for purposes of any employment, equity compensation, or benefit agreement, plan, or arrangement of the Company and its subsidiaries to which Ms. Shamsuddin Jensen is a party or in which she otherwise participates.</w:t>
      </w:r>
    </w:p>
    <w:p>
      <w:pPr>
        <w:spacing w:after="0" w:line="72" w:lineRule="exact"/>
        <w:rPr>
          <w:sz w:val="20"/>
          <w:szCs w:val="20"/>
          <w:color w:val="auto"/>
        </w:rPr>
      </w:pPr>
    </w:p>
    <w:p>
      <w:pPr>
        <w:jc w:val="both"/>
        <w:ind w:right="60" w:firstLine="509"/>
        <w:spacing w:after="0" w:line="257" w:lineRule="auto"/>
        <w:rPr>
          <w:sz w:val="20"/>
          <w:szCs w:val="20"/>
          <w:color w:val="auto"/>
        </w:rPr>
      </w:pPr>
      <w:r>
        <w:rPr>
          <w:rFonts w:ascii="Times New Roman" w:cs="Times New Roman" w:eastAsia="Times New Roman" w:hAnsi="Times New Roman"/>
          <w:sz w:val="18"/>
          <w:szCs w:val="18"/>
          <w:color w:val="auto"/>
        </w:rPr>
        <w:t>Additionally, on July 20, 2025, Jill Larsen resigned from the Board and as a member and chair of the human capital management and compensation committee (the “Compensation Committee”) of the Board, effective July 21, 2025. Ms. Larsen’s resignation was related to increased responsibilities at her present employer and not the result of any disagreements with the Company relating to the Company’s operations, policies, or practices. Due to Ms.</w:t>
      </w:r>
    </w:p>
    <w:p>
      <w:pPr>
        <w:spacing w:after="0" w:line="1"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Larsen’s resignation, the size of the Board was reduced from 10 members to 9 members. In addition, the Board appointed Scott Stephenson as a member and Chair of the Compensation Committee.</w:t>
      </w:r>
    </w:p>
    <w:p>
      <w:pPr>
        <w:spacing w:after="0" w:line="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Macroeconomic Conditions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current and prospective customers and their business spendings are impacted by difficult macroeconomic conditions to varying degrees and as a result, in some cases we are observing deal cycles lengthen for new and existing customers, in part as a result of more stringent approval processes, as well as a significant number of deferred purchasing decisions. We are also experiencing heightened customer churn. These trends have been particularly pronounced for smaller customers and in the Life Sciences market. This churn has impacted our revenue growth since 2023, and we expect this will continue to have an impact on our growth in fiscal year 2025.</w:t>
      </w:r>
    </w:p>
    <w:p>
      <w:pPr>
        <w:spacing w:after="0" w:line="75"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As a corporation with a global footprint, we are subject to risks and exposures caused by significant events and their macroeconomic impacts, including, but not limited to, fluctuating inflation and high interest rates, volatility in the capital markets, international trade policies, including tariffs, sanctions, and trade barriers, and related market uncertainty, the conflicts in Ukraine and the Middle East, and global geopolitical tensions. We continuously monitor the direct and indirect impacts, and the potential for future impacts, of these circumstances on our business and financial results, as well as the overall global economy and geopolitical landscape. While our revenue and earnings have historically been relatively predictable as a result of our subscription-based business model, the potential implications of these macroeconomic events on our business, results of operations and overall financial position, particularly in the long term, introduce additional uncertainty.</w:t>
      </w:r>
    </w:p>
    <w:p>
      <w:pPr>
        <w:spacing w:after="0" w:line="8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have been observing changes in the healthcare claims data market as a result of data source disruption in calendar year 2024, including how data providers are reviewing pricing, data availability, and use terms, all of which may negatively impact the prices at which we acquire such data. We are continuing to evaluate these and other past and potential future direct and indirect impacts on our business and results of operations.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that the growth and future success of our business depend on many factors, including the following: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Acquiring New Customers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plan to organically grow the number of customers that use our platform by increasing demand for our platform and penetrating our addressable market. Our results of operations and growth prospects will depend, in part, on our ability to attract new customers. We intend to drive new customer acquisition with our efficient go-to-market engine by continuing to invest in our sales and marketing efforts and developing new use cases for our platform. Customers generating more than $100,000 in Annual Recurring Revenue (“ARR”), which we refer to as “Enterprise Customers,” represent the majority of our ARR and are a key focus of our go-to-market programs.</w:t>
      </w:r>
    </w:p>
    <w:p>
      <w:pPr>
        <w:spacing w:after="0" w:line="7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Our total customer count, which includes smaller customers, was approximately 2,400 as of June 30, 2025, compared with approximately 2,600 customers as of June 30, 2024. Our Enterprise Customer accounts have decreased by 27 to 510 customers as of June 30, 2025 compared with 537 customers as of June 30, 2024. Our smaller customers have churned at disproportionately higher rates, primarily due to current macroeconomic conditions.</w:t>
      </w:r>
    </w:p>
    <w:p>
      <w:pPr>
        <w:spacing w:after="0" w:line="176"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We have identified more than 100,000 potential customers across the healthcare ecosystem that we believe could benefit from our platform. Our ability to attract and acquire new customers is dependent on the strength of our platform and effectiveness of our go-to-market strategy, as well as macroeconomic factors and their impact on our potential customers’ business spending.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Expanding Relationships with Existing Customers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We believe there is a significant opportunity to generate additional revenue from our existing customer base of approximately 2,400 customers as of June 30, 2025.</w:t>
      </w:r>
    </w:p>
    <w:p>
      <w:pPr>
        <w:spacing w:after="0" w:line="5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customers have historically increased their spending by adding functionality and by expanding use-cases across departments. Our customers are typically assigned to one of our vertically focused teams, which is responsible for driving usage and increasing adoption of the platform, identifying expansion opportunities, and driving customer renewals. Real-time input from these customer centric teams feeds directly into our product innovation teams, enhancing the development of new capabilities. We believe this feedback loop and our ability to innovate creates significant opportunities for continual existing customer expansion. Our ability to generate additional revenue from existing customers is also subject to such existing customers’ business spending trends and the impact of macroeconomic conditions thereon.</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progress in expanding usage of our platform with our existing customers is demonstrated by our NDR, which is further described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Continuing to Innovate and Expand Our Platform</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growth of our business is driven in part by our ability to apply our deep healthcare domain expertise to innovate and expand our platform. We have continually created new products since our founding in 2011. We plan to continue to invest significantly into our engineering and research and development efforts to enhance our capabilities and functionality and facilitate the expansion of our platform to new use cases and customers. In addition, we work to continuously release updates and new features. While we are primarily focused on organic investments to drive innovation, we will also evaluate strategic acquisitions and investments that further expand our platform.</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Key Metrics</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We monitor the following key metrics to help us evaluate our business performance, identify financial trends, formulate business plans, and make strategic operational decisions.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Dollar Retention Rate (“NDR”)</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believe the growth in use of our platform by our existing customers is an important measure of the health of our business and our future growth prospects. We evaluate and report on our NDR on an annual basis to measure this growth. We define NDR as the percentage of ARR retained from existing customers across a defined period, after accounting for upsell, down-sell, pricing changes, and churn. We calculate NDR as beginning ARR for a period, plus (i) expansion ARR (including, but not limited to, upsell and pricing increases), less (ii) churn (including, but not limited to, non-renewals and contractions), divided by (iii) beginning ARR for the same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Remaining Performance Obligations (“cRPO”)</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monitor current remaining performance obligations as a metric to help us evaluate the health of our business and identify trends affecting our growth. cRPO represents the amount of contracted future revenue that has not yet been recognized, including both deferred revenue and non-cancelable contracted amounts that will be invoiced and recognized as revenue within the next twelve months. cRPO is not necessarily indicative of future revenue growth. In addition to total contract volume, cRPO is influenced by several factors, including seasonality, disparate contract terms, and the timing of renewals, because renewals tend to be most frequent in the fourth quarter. Due to these factors, it is important to review cRPO in conjunction with revenue and other financial metrics.</w:t>
      </w:r>
    </w:p>
    <w:p>
      <w:pPr>
        <w:spacing w:after="0" w:line="79"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Our cRPO will continue to be impacted by macroeconomic challenges, which have resulted in elongating deal cycles as customers implement more stringent approval processes or push out final decisions to later periods. We expect this trend, along with the continued pressures on our renewals and other factors, will result in a negative revenue growth rate for 2025 relative to 2024.</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our current and total remaining performance obligations as of June 30, 2025 and December 31, 2024:</w:t>
      </w:r>
    </w:p>
    <w:p>
      <w:pPr>
        <w:spacing w:after="0" w:line="9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9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170,327</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188,050</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Non-current</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91,084</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105,673</w:t>
            </w:r>
          </w:p>
        </w:tc>
        <w:tc>
          <w:tcPr>
            <w:tcW w:w="100" w:type="dxa"/>
            <w:vAlign w:val="bottom"/>
          </w:tcPr>
          <w:p>
            <w:pPr>
              <w:spacing w:after="0"/>
              <w:rPr>
                <w:sz w:val="18"/>
                <w:szCs w:val="18"/>
                <w:color w:val="auto"/>
              </w:rPr>
            </w:pPr>
          </w:p>
        </w:tc>
      </w:tr>
      <w:tr>
        <w:trPr>
          <w:trHeight w:val="250"/>
        </w:trPr>
        <w:tc>
          <w:tcPr>
            <w:tcW w:w="69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261,411</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293,723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-24765</wp:posOffset>
            </wp:positionV>
            <wp:extent cx="6032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032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Acquisitions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We seek to enhance our platform, data and business through internal development and through acquisitions of and investments in businesses that broaden and strengthen our platform. During fiscal year 2024, we completed the purchase of assets comprising the Carevoyance business line of H1 Insights, Inc., a product that helps MedTech customers to improve segmentation, targeting, and prospect engagement. Acquisitions can result in transaction costs, amortization expenses and other adjustments as purchase accounting requires that all assets acquired and liabilities assumed be recorded at fair value on the acquisition date. Refer to Note 2.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to our accompanying unaudited condensed consolidated financial statements for further details.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For the six months ended June 30, 2025, we derived approximately 96% of our revenue from subscription services and the remainder from professional services. Our subscription services consist primarily of subscription fees for access to our platform and stand-ready support. Our subscription contracts typically have a term ranging from 1 to 3 years and are non-cancellable. We typically bill for services in advance annually, and we typically require payment at the beginning of each annual period. Our subscription revenue is recognized ratably over the contract term. Our professional services revenue typically is derived from non-recurring consulting services or from other one-time deliveries, which are generally capable of being distinct and can be accounted for as separate performance obligations. Revenue related to these professional services is recognized at a point in time when the performance obligations under the terms of the contract are satisfied and control has been transferred to the customer.</w:t>
      </w:r>
    </w:p>
    <w:p>
      <w:pPr>
        <w:spacing w:after="0" w:line="8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As part of the 2024 Restructuring Plan, we made significant changes to our go-to-market team that reduced overlay expenses, created a separate group and sales motion for our small and medium sized customers, and allocated more resources to our Enterprise Customers. These changes disrupted our sales efforts in 2024, coupled with continued macroeconomic headwinds and sales execution challenges throughout 2024. As we moved through 2024 and the first half of 2025, we did not see subscription renewals return to historical levels. Based on these impacts, we expect our revenue to decline in 2025 compared with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19" w:lineRule="exact"/>
        <w:rPr>
          <w:sz w:val="20"/>
          <w:szCs w:val="20"/>
          <w:color w:val="auto"/>
        </w:rPr>
      </w:pPr>
    </w:p>
    <w:p>
      <w:pPr>
        <w:jc w:val="both"/>
        <w:ind w:right="160" w:firstLine="509"/>
        <w:spacing w:after="0" w:line="277" w:lineRule="auto"/>
        <w:rPr>
          <w:sz w:val="20"/>
          <w:szCs w:val="20"/>
          <w:color w:val="auto"/>
        </w:rPr>
      </w:pPr>
      <w:r>
        <w:rPr>
          <w:rFonts w:ascii="Times New Roman" w:cs="Times New Roman" w:eastAsia="Times New Roman" w:hAnsi="Times New Roman"/>
          <w:sz w:val="17"/>
          <w:szCs w:val="17"/>
          <w:i w:val="1"/>
          <w:iCs w:val="1"/>
          <w:color w:val="auto"/>
        </w:rPr>
        <w:t>Cost of Revenue</w:t>
      </w:r>
      <w:r>
        <w:rPr>
          <w:rFonts w:ascii="Times New Roman" w:cs="Times New Roman" w:eastAsia="Times New Roman" w:hAnsi="Times New Roman"/>
          <w:sz w:val="17"/>
          <w:szCs w:val="17"/>
          <w:color w:val="auto"/>
        </w:rPr>
        <w:t>. Cost of revenue, excluding amortization of acquired technology and data, consists of direct expenses related to the support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operations of our SaaS platform, such as data and infrastructure costs, personnel costs for our professional services, customer support, and data research teams, including salaries, bonuses, stock-based compensation, and other employee-related benefits, as well as allocated overheads. We anticipate that we will continue to invest in cost of revenue and that cost of revenue as a percentage of revenue will modestly increase as we add to our existing intelligence modules and invest in new products and data sources. Cost of data is included in the cost of revenue and is a fundamental driver of innovation.</w:t>
      </w:r>
    </w:p>
    <w:p>
      <w:pPr>
        <w:spacing w:after="0" w:line="60" w:lineRule="exact"/>
        <w:rPr>
          <w:sz w:val="20"/>
          <w:szCs w:val="20"/>
          <w:color w:val="auto"/>
        </w:rPr>
      </w:pPr>
    </w:p>
    <w:p>
      <w:pPr>
        <w:ind w:right="60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Amortization</w:t>
      </w:r>
      <w:r>
        <w:rPr>
          <w:rFonts w:ascii="Times New Roman" w:cs="Times New Roman" w:eastAsia="Times New Roman" w:hAnsi="Times New Roman"/>
          <w:sz w:val="18"/>
          <w:szCs w:val="18"/>
          <w:color w:val="auto"/>
        </w:rPr>
        <w:t>. Includes amortization expense for technology and data acquired in business combinations and asset purchase agreements.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anticipate that amortization will only increase if we make additional acquisitions in the future.</w:t>
      </w:r>
    </w:p>
    <w:p>
      <w:pPr>
        <w:spacing w:after="0" w:line="52"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We have been observing changes in the healthcare claims data market as a result of data source disruption since early 2024, including how data providers are reviewing pricing, data availability, and use terms, all of which may negatively impact the prices at which we acquire such data.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Gross profit is revenue less cost of revenue, and gross margin is gross profit as a percentage of revenue. Gross profit and gross margin have been and will continue to be affected by various factors, including the costs associated with third-party data and third-party hosting services, leveraging economies of scale, and the extent to which we introduce new intelligence modules, features, or functionality, or expand our customer support and service organizations, hire additional personnel, or complete additional acquisitions. We expect that our gross profit and gross margin will fluctuate from period to period depending on the interplay of these various factors.</w:t>
      </w:r>
    </w:p>
    <w:p>
      <w:pPr>
        <w:spacing w:after="0" w:line="75"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We expect that gross profit margin for 2025 will continue to be impacted by the expansion of data sources and the anticipated revenue declines, as described above. Revenue declines, in combination with our largely fixed cost structure, are expected to result in a decrease in gross profit margin in 2025.</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4"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180" w:firstLine="509"/>
        <w:spacing w:after="0" w:line="277" w:lineRule="auto"/>
        <w:rPr>
          <w:sz w:val="20"/>
          <w:szCs w:val="20"/>
          <w:color w:val="auto"/>
        </w:rPr>
      </w:pPr>
      <w:r>
        <w:rPr>
          <w:rFonts w:ascii="Times New Roman" w:cs="Times New Roman" w:eastAsia="Times New Roman" w:hAnsi="Times New Roman"/>
          <w:sz w:val="17"/>
          <w:szCs w:val="17"/>
          <w:color w:val="auto"/>
        </w:rPr>
        <w:t>The most significant component of our operating expenses is personnel costs, which consist of salaries, bonuses, sales commissions, stock-based compensation, and other employee-related benefits. Operating expenses also include non-personnel costs such as facilities, technology, professional fees, and marketing. In light of macroeconomic conditions and their past and potential future impacts on our business, we have made efforts to contain our operating expenses, including implementing restructuring plans. Inflation, and in particular increases to the cost of labor due to cost-of-living increases, have negatively impacted our operating expenses, and we expect this to continue. However, inflation has not materially affected our business to date.</w:t>
      </w:r>
    </w:p>
    <w:p>
      <w:pPr>
        <w:spacing w:after="0" w:line="5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Sales and marketing expenses primarily consist of personnel costs such as salaries, bonuses, sales commissions,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and other employee-related benefits for our sales and marketing teams, as well as non-personnel costs including overhead costs, technology and advertising costs. While we have slowed hiring in response to macroeconomic conditions, and expect to maintain slower levels until macroeconomic conditions improve, we have continued to hire additional sales and marketing personnel, enhance our digital marketing infrastructure and invest in marketing programs targeting our major vertical markets.</w:t>
      </w:r>
    </w:p>
    <w:p>
      <w:pPr>
        <w:spacing w:after="0" w:line="75"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Product development</w:t>
      </w:r>
      <w:r>
        <w:rPr>
          <w:rFonts w:ascii="Times New Roman" w:cs="Times New Roman" w:eastAsia="Times New Roman" w:hAnsi="Times New Roman"/>
          <w:sz w:val="18"/>
          <w:szCs w:val="18"/>
          <w:color w:val="auto"/>
        </w:rPr>
        <w:t>. Product development expenses primarily consist of personnel costs such as salaries, bonuses, stock-based compensation,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employee-related benefits for our engineering, data science and product teams, as well as non-personnel costs including overhead costs. We believe that our core technologies and ongoing innovation represent a significant competitive advantage for us, and we continue to invest in systems optimization and product improvements for our customers, enhance our software development team and invest in automation and artificial intelligence to drive higher quality data and deeper insights.</w:t>
      </w:r>
    </w:p>
    <w:p>
      <w:pPr>
        <w:spacing w:after="0" w:line="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expenses primarily consist of personnel costs such as salaries, bonuses,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and other employee-related benefits for our executive, finance, legal, human resources, IT and operations, and administrative teams, as well as non-personnel costs including overhead costs, professional fees and other corporate expenses. General and administration expenses also include sales tax amounts payable to taxation authorities, inclusive of interest and penalties, for customers that we did not collect sales taxes from, due to misclassifications of products and services for sales tax purposes. We do not expect sales taxes and related interest and penalties to be an ongoing component of our general and administrative expense as we have completed voluntary disclosure agreements, registered with certain tax authorities, and commenced collection of sales taxes from customers in these tax jurisdictions.</w:t>
      </w:r>
    </w:p>
    <w:p>
      <w:pPr>
        <w:spacing w:after="0" w:line="75" w:lineRule="exact"/>
        <w:rPr>
          <w:sz w:val="20"/>
          <w:szCs w:val="20"/>
          <w:color w:val="auto"/>
        </w:rPr>
      </w:pPr>
    </w:p>
    <w:p>
      <w:pPr>
        <w:ind w:right="40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Depreciation and amortization expenses consist primarily of amortization of intangible assets resulting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acquisitions and business combinations, as well as depreciation of property and equipment. We anticipate depreciation of property and equipment as a percentage of revenue to moderately decrease, although amortization will increase if we make additional acquisitions in the future.</w:t>
      </w:r>
    </w:p>
    <w:p>
      <w:pPr>
        <w:spacing w:after="0" w:line="65" w:lineRule="exact"/>
        <w:rPr>
          <w:sz w:val="20"/>
          <w:szCs w:val="20"/>
          <w:color w:val="auto"/>
        </w:rPr>
      </w:pPr>
    </w:p>
    <w:p>
      <w:pPr>
        <w:jc w:val="both"/>
        <w:ind w:right="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Transaction, integration, and restructuring expenses</w:t>
      </w:r>
      <w:r>
        <w:rPr>
          <w:rFonts w:ascii="Times New Roman" w:cs="Times New Roman" w:eastAsia="Times New Roman" w:hAnsi="Times New Roman"/>
          <w:sz w:val="18"/>
          <w:szCs w:val="18"/>
          <w:color w:val="auto"/>
        </w:rPr>
        <w:t>. Transaction, integration, and restructuring expenses are costs directly associated with various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strategic partnership, and integration activities we have undertaken, primarily accounting, legal due diligence, consulting, and advisory fees, as well as expenses related to the 2024 Restructuring Plan and our office relocations and consolidations.</w:t>
      </w:r>
    </w:p>
    <w:p>
      <w:pPr>
        <w:spacing w:after="0" w:line="65"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Goodwill impairment</w:t>
      </w:r>
      <w:r>
        <w:rPr>
          <w:rFonts w:ascii="Times New Roman" w:cs="Times New Roman" w:eastAsia="Times New Roman" w:hAnsi="Times New Roman"/>
          <w:sz w:val="18"/>
          <w:szCs w:val="18"/>
          <w:color w:val="auto"/>
        </w:rPr>
        <w:t>. Goodwill represents the excess of consideration transferred over the fair value of tangible and identifiable intangible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acquired and the liabilities assumed in a business combination. Substantially all of our goodwill was recognized in the purchase price allocations when we were acquired in 2019 by Advent (the “Advent Acquisition”), with smaller incremental amounts recognized in subsequent business combinations. Goodwill is not amortized, but is tested for impairment at the reporting unit level annually and more frequently if indicators of potential impairment arise. In conducting the impairment test, we first review qualitative factors to determine whether it is more likely than not that the fair value of our single reporting unit is less than its carrying amount.</w:t>
      </w:r>
    </w:p>
    <w:p>
      <w:pPr>
        <w:spacing w:after="0" w:line="76"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When testing goodwill for impairment, we have the option of first performing a qualitative assessment to determine whether it is more likely than not that the fair value of the reporting unit is less than its carrying amount. If we elect to bypass the qualitative assessment, or if a qualitative assessment indicates it is more likely than not that carrying value exceeds its fair value, we perform a quantitative goodwill impairment test. Under the quantitative goodwill impairment test, if our reporting unit’s carrying amount exceeds its fair value, we will record an impairment charge based on that difference. During the first quarter of 2025, we experienced declines in our market capitalization as a result of sustained decreases in our stock price, which represented a triggering event requiring our management to perform a quantitative goodwill impairment test as of the end of the first quarter of 2025. As a result of the impairment test, we determined that the fair value of our single reporting unit was lower than its carrying value and, accordingly, recorded a non-cash, pre-tax, goodwill impairment charge of $176.5 million during the first quarter of 2025. The goodwill impairment charges did not affect our liquidity or the financial covenants in our outstanding debt agreement.</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consists of interest expense on our debt obligations and the amortization of debt discounts and debt issuance costs.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consists of earnings resulting from our cash and cash equivalents and short-term investments.</w:t>
      </w:r>
    </w:p>
    <w:p>
      <w:pPr>
        <w:spacing w:after="0" w:line="117" w:lineRule="exact"/>
        <w:rPr>
          <w:sz w:val="20"/>
          <w:szCs w:val="20"/>
          <w:color w:val="auto"/>
        </w:rPr>
      </w:pPr>
    </w:p>
    <w:p>
      <w:pPr>
        <w:ind w:firstLine="509"/>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Other income (expense), net </w:t>
      </w:r>
      <w:r>
        <w:rPr>
          <w:rFonts w:ascii="Times New Roman" w:cs="Times New Roman" w:eastAsia="Times New Roman" w:hAnsi="Times New Roman"/>
          <w:sz w:val="17"/>
          <w:szCs w:val="17"/>
          <w:color w:val="auto"/>
        </w:rPr>
        <w:t>consists primarily of the revaluation of Tax Receivable Agreement liabilities, realized and unrealized gains and losses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related to the impact of transactions denominated in a foreign currency, and a loss on the partial extinguishment of debt. Significant changes in the projected liability resulting from the Tax Receivable Agreement may occur based on changes in anticipated future taxable income, changes in applicable tax rates, or other changes in tax attributes that may occur and could affect the expected future tax benefits to be received by us. We do not have significant exposure to foreign exchange volatility and do not anticipate foreign currency transaction gains or losses to materially impact our results of operations.</w:t>
      </w:r>
    </w:p>
    <w:p>
      <w:pPr>
        <w:spacing w:after="0" w:line="2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4" w:right="3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a summary of our unaudited condensed consolidated statements of operations for the periods presented: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4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0" w:type="dxa"/>
            <w:vAlign w:val="bottom"/>
          </w:tcPr>
          <w:p>
            <w:pPr>
              <w:spacing w:after="0"/>
              <w:rPr>
                <w:sz w:val="15"/>
                <w:szCs w:val="15"/>
                <w:color w:val="auto"/>
              </w:rPr>
            </w:pPr>
          </w:p>
        </w:tc>
        <w:tc>
          <w:tcPr>
            <w:tcW w:w="262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5"/>
                <w:szCs w:val="15"/>
                <w:color w:val="auto"/>
              </w:rPr>
            </w:pPr>
          </w:p>
        </w:tc>
        <w:tc>
          <w:tcPr>
            <w:tcW w:w="288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860" w:type="dxa"/>
            <w:vAlign w:val="bottom"/>
            <w:vMerge w:val="continue"/>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60,750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63,737</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119,941</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127,217</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Cost of revenue exclusive of amortization</w:t>
            </w: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9,904</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18,941</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19,640</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Amortization</w:t>
            </w: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5,337</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10,627</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8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cost of revenue</w:t>
            </w:r>
          </w:p>
        </w:tc>
        <w:tc>
          <w:tcPr>
            <w:tcW w:w="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14,137</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13,283</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29,568</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26,381</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Gross profit</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46,613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50,454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90,373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100,836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Sales and marketing</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41,122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43,305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Product development</w:t>
            </w: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7,968</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10,122</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17,269</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20,254</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9,001</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9,409</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17,528</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18,731</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Transaction, integration, and restructuring expenses</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Goodwill impairment</w:t>
            </w:r>
          </w:p>
        </w:tc>
        <w:tc>
          <w:tcPr>
            <w:tcW w:w="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363,641</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176,531</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363,641</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86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50,783</w:t>
            </w:r>
          </w:p>
        </w:tc>
        <w:tc>
          <w:tcPr>
            <w:tcW w:w="24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420,095</w:t>
            </w:r>
          </w:p>
        </w:tc>
        <w:tc>
          <w:tcPr>
            <w:tcW w:w="20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279,329</w:t>
            </w:r>
          </w:p>
        </w:tc>
        <w:tc>
          <w:tcPr>
            <w:tcW w:w="20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486,726</w:t>
            </w:r>
          </w:p>
        </w:tc>
        <w:tc>
          <w:tcPr>
            <w:tcW w:w="100" w:type="dxa"/>
            <w:vAlign w:val="bottom"/>
            <w:tcBorders>
              <w:top w:val="single" w:sz="8" w:color="CFF0FC"/>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Loss from operations</w:t>
            </w:r>
          </w:p>
        </w:tc>
        <w:tc>
          <w:tcPr>
            <w:tcW w:w="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(4,170)</w:t>
            </w: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(369,641)</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(188,956)</w:t>
            </w: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(385,890)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(4,639)</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41,554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44,305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(8,809)</w:t>
            </w: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(328,087)</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(174,788)</w:t>
            </w: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(341,585)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(456)</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4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(9,265)</w:t>
            </w: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(306,187)</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(164,358)</w:t>
            </w: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(318,905)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(1,714)</w:t>
            </w: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(92,552)</w:t>
            </w: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(49,579)</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(95,752)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4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loss attributable to Definitive Healthcare Corp.</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(7,551)</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(213,635)</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(114,779)</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(223,153)</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37"/>
        </w:trPr>
        <w:tc>
          <w:tcPr>
            <w:tcW w:w="580" w:type="dxa"/>
            <w:vAlign w:val="bottom"/>
          </w:tcPr>
          <w:p>
            <w:pPr>
              <w:spacing w:after="0"/>
              <w:rPr>
                <w:sz w:val="24"/>
                <w:szCs w:val="24"/>
                <w:color w:val="auto"/>
              </w:rPr>
            </w:pPr>
          </w:p>
        </w:tc>
        <w:tc>
          <w:tcPr>
            <w:tcW w:w="486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jc w:val="right"/>
              <w:ind w:right="772"/>
              <w:spacing w:after="0"/>
              <w:rPr>
                <w:sz w:val="20"/>
                <w:szCs w:val="20"/>
                <w:color w:val="auto"/>
              </w:rPr>
            </w:pPr>
            <w:r>
              <w:rPr>
                <w:rFonts w:ascii="Times New Roman" w:cs="Times New Roman" w:eastAsia="Times New Roman" w:hAnsi="Times New Roman"/>
                <w:sz w:val="18"/>
                <w:szCs w:val="18"/>
                <w:color w:val="auto"/>
                <w:w w:val="99"/>
              </w:rPr>
              <w:t>43</w:t>
            </w:r>
          </w:p>
        </w:tc>
        <w:tc>
          <w:tcPr>
            <w:tcW w:w="24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-3256915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-3256915</wp:posOffset>
            </wp:positionV>
            <wp:extent cx="6032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-3256915</wp:posOffset>
            </wp:positionV>
            <wp:extent cx="6032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-3256915</wp:posOffset>
            </wp:positionV>
            <wp:extent cx="6032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-2151380</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-2151380</wp:posOffset>
            </wp:positionV>
            <wp:extent cx="6032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-2151380</wp:posOffset>
            </wp:positionV>
            <wp:extent cx="6032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-2151380</wp:posOffset>
            </wp:positionV>
            <wp:extent cx="6032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-1294130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-1294130</wp:posOffset>
            </wp:positionV>
            <wp:extent cx="6032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-1294130</wp:posOffset>
            </wp:positionV>
            <wp:extent cx="6032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-1294130</wp:posOffset>
            </wp:positionV>
            <wp:extent cx="6032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-1002665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-985520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-1002665</wp:posOffset>
            </wp:positionV>
            <wp:extent cx="6032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-985520</wp:posOffset>
            </wp:positionV>
            <wp:extent cx="6032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-1002665</wp:posOffset>
            </wp:positionV>
            <wp:extent cx="6032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-985520</wp:posOffset>
            </wp:positionV>
            <wp:extent cx="6032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-1002665</wp:posOffset>
            </wp:positionV>
            <wp:extent cx="6032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-985520</wp:posOffset>
            </wp:positionV>
            <wp:extent cx="6032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43" w:name="page44"/>
    <w:bookmarkEnd w:id="43"/>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2025 compared to Three Months Ended June 30, 2024</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Revenue decreased $3.0 million, or 5%, in the three months ended June 30, 2025 compared with the same period in the prior year due to lower subscription revenue of $3.8 million, partially offset by higher professional services revenue of $0.8 million. Revenue attributable to customers that existed prior to the start of 2025 decreased $7.9 million, which was partially offset by a $4.9 million increase in revenue from new customers in 2025, inclusive of revenue from a data partnership that was launched earlier this year.</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121" w:lineRule="exact"/>
        <w:rPr>
          <w:sz w:val="20"/>
          <w:szCs w:val="20"/>
          <w:color w:val="auto"/>
        </w:rPr>
      </w:pPr>
    </w:p>
    <w:p>
      <w:pPr>
        <w:ind w:right="60" w:firstLine="509"/>
        <w:spacing w:after="0" w:line="273" w:lineRule="auto"/>
        <w:rPr>
          <w:sz w:val="20"/>
          <w:szCs w:val="20"/>
          <w:color w:val="auto"/>
        </w:rPr>
      </w:pPr>
      <w:r>
        <w:rPr>
          <w:rFonts w:ascii="Times New Roman" w:cs="Times New Roman" w:eastAsia="Times New Roman" w:hAnsi="Times New Roman"/>
          <w:sz w:val="17"/>
          <w:szCs w:val="17"/>
          <w:color w:val="auto"/>
        </w:rPr>
        <w:t>Cost of revenue increased $0.9 million, or 6%, in the three months ended June 30, 2025 compared with the same period in the prior year. The increase was driven primarily by a $2.0 million increase in amortization expense resulting from new data asset purchases and higher rates of amortization on certain technology assets amortized under economic consumption methods, partially offset by a $0.6 million decrease in hosting fees and data subscription and collection costs. Though we continue to experience increased data and hosting costs as a result of expanded customer usage of our platform, the year-over-year decrease in these costs was due to one-time credits totaling approximately $1.9 million we observed during the quarter ended June 30, 2025, primarily as a result of a renegotiation on an existing data contract. We also experienced a $0.4 million decrease in personnel costs, including stock-based compensation, which was primarily driven by costs incurred associated with the 2024 Restructuring Plan that did not repeat in 2025.</w:t>
      </w:r>
    </w:p>
    <w:p>
      <w:pPr>
        <w:spacing w:after="0" w:line="1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Operating expenses decreased $369.3 million, or 88%, during the three months ended June 30, 2025 compared with the same period in the prior year. The decrease to operating expense was primarily due to a goodwill impairment charge of $363.6 million incurred in the prior year period, which did not repeat in the current year period, and:</w:t>
      </w:r>
    </w:p>
    <w:p>
      <w:pPr>
        <w:spacing w:after="0" w:line="68" w:lineRule="exact"/>
        <w:rPr>
          <w:sz w:val="20"/>
          <w:szCs w:val="20"/>
          <w:color w:val="auto"/>
        </w:rPr>
      </w:pPr>
    </w:p>
    <w:p>
      <w:pPr>
        <w:ind w:left="1020" w:right="1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sales and marketing expense of $1.1 million for the three months ended June 30, 2025, primarily due to lower personnel costs in the current period, including stock-based compensation expense, resulting from the 2024 Restructuring Plan and the departure of certain executive-level employees in the prior year, which did not repeat at the same level during the second quarter of 2025;</w:t>
      </w:r>
    </w:p>
    <w:p>
      <w:pPr>
        <w:spacing w:after="0" w:line="67"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product development expense of $2.2 million for the three months ended June 30, 2025, primarily due to lower personnel costs in the current period, including stock-based compensation expense, resulting from the 2024 Restructuring Plan. These decreases were partially offset by increased costs associated with new software application investments in the current period;</w:t>
      </w:r>
    </w:p>
    <w:p>
      <w:pPr>
        <w:spacing w:after="0" w:line="67" w:lineRule="exact"/>
        <w:rPr>
          <w:rFonts w:ascii="Times New Roman" w:cs="Times New Roman" w:eastAsia="Times New Roman" w:hAnsi="Times New Roman"/>
          <w:sz w:val="18"/>
          <w:szCs w:val="18"/>
          <w:color w:val="auto"/>
        </w:rPr>
      </w:pPr>
    </w:p>
    <w:p>
      <w:pPr>
        <w:jc w:val="both"/>
        <w:ind w:left="1020" w:right="20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general and administrative expense of $0.1 million for the three months ended June 30, 2025, primarily due to reductions in bad debt expense, sales tax exposure charges, and consulting fees and severance costs associated with strategic transition initiatives. These decreases were partially offset by higher personnel costs, including stock-based compensation;</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depreciation and amortization expense of $0.4 million for the three months ended June 30, 2025, primarily as a result of certain customer relationship intangible assets utilizing economic consumption amortization methods with lower amortization in the current period; and</w:t>
      </w:r>
    </w:p>
    <w:p>
      <w:pPr>
        <w:spacing w:after="0" w:line="67"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transaction, integration, and restructuring expenses of $2.2 million for the three months ended June 30, 2025, primarily driven by higher costs incurred in the prior year period associated with the consolidation of certain leased office facilities and the 2024 Restructuring Plan.</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4" w:name="page45"/>
    <w:bookmarkEnd w:id="44"/>
    <w:p>
      <w:pPr>
        <w:ind w:left="520"/>
        <w:spacing w:after="0"/>
        <w:rPr>
          <w:sz w:val="20"/>
          <w:szCs w:val="20"/>
          <w:color w:val="auto"/>
        </w:rPr>
      </w:pPr>
      <w:r>
        <w:rPr>
          <w:rFonts w:ascii="Times New Roman" w:cs="Times New Roman" w:eastAsia="Times New Roman" w:hAnsi="Times New Roman"/>
          <w:sz w:val="18"/>
          <w:szCs w:val="18"/>
          <w:b w:val="1"/>
          <w:bCs w:val="1"/>
          <w:color w:val="auto"/>
        </w:rPr>
        <w:t>Total Other (Expense) Income, Net</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Total other expense, net was $4.6 million for the three months ended June 30, 2025 compared to total other income, net, of $41.6 million in the same period in the prior year. The change was primarily driven by a TRA liability remeasurement loss of $2.9 million during the three months ended June 30, 2025 compared with a $41.7 million gain during the same period in the prior year. The TRA liability remeasurement gain in the prior year was primarily driven by a $363.6 million goodwill impairment charge incurred during the three months ended June 30, 2024. Also contributing to the change was a foreign currency transaction loss of $0.5 million in the current year period, compared with a loss of $0.1 million in the prior year period, as well as interest expense, net, of $1.2 million in the current period, compared with interest expense, net, of less than $0.1 million in the prior year period.</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(Provision For) Benefit From Income Taxes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Provision for income taxes was $0.5 million for the three months ended June 30, 2025 compared to a benefit from income taxes of $21.9 million in the comparable prior year period. The overall change was primarily attributed to the $363.6 million impairment of goodwill during the prior period, resulting in a reduction of indefinite-lived deferred tax liabilities. The resulting income tax benefit from the goodwill impairment did not reoccur in the current period.</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2025 compared to Six Months Ended June 30, 2024</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Revenue decreased $7.3 million, or 6%, in the six months ended June 30, 2025 compared with the same period in the prior year due to lower subscription revenue of $8.2 million, partially offset by higher professional services revenue of $1.0 million. Revenue attributable to customers that existed prior to the start of 2025 decreased $14.8 million, which was partially offset by a $7.5 million increase in revenue from new customers in 2025, inclusive of revenue from a data partnership that was launched earlier this year.</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Cost of revenue increased $3.2 million, or 12%, in the six months ended June 30, 2025 compared with the same period in the prior year. The increase was driven primarily by a $3.9 million increase in amortization expense resulting from new data asset purchases and higher rates of amortization on certain technology assets amortized under economic consumption methods, and a $0.2 million increase in hosting fees and data subscription and collection costs. Though we continue to experience increased data and hosting costs as a result of expanded customer usage of our platform, the year-over-year increase in these costs were primarily offset by one-time credits totaling approximately $1.9 million we observed during the quarter ended June 30, 2025, primarily as a result of a renegotiation on an existing data contract. We also experienced a $0.9 million decrease in personnel costs, including stock-based compensation, which was primarily driven by costs incurred associated with the 2024 Restructuring Plan that did not repeat in 2025.</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Operating expenses, which included goodwill impairment charges of $176.5 million and $363.6 million incurred during the six months ended June 30, 2025 and 2024, respectively (refer to Note 8. </w:t>
      </w:r>
      <w:r>
        <w:rPr>
          <w:rFonts w:ascii="Times New Roman" w:cs="Times New Roman" w:eastAsia="Times New Roman" w:hAnsi="Times New Roman"/>
          <w:sz w:val="18"/>
          <w:szCs w:val="18"/>
          <w:i w:val="1"/>
          <w:iCs w:val="1"/>
          <w:color w:val="auto"/>
        </w:rPr>
        <w:t>Goodwill and Intangible Assets</w:t>
      </w:r>
      <w:r>
        <w:rPr>
          <w:rFonts w:ascii="Times New Roman" w:cs="Times New Roman" w:eastAsia="Times New Roman" w:hAnsi="Times New Roman"/>
          <w:sz w:val="18"/>
          <w:szCs w:val="18"/>
          <w:color w:val="auto"/>
        </w:rPr>
        <w:t xml:space="preserve"> to our accompanying unaudited condensed consolidated financial statements for further details), decreased $207.4 million, or 43%, during the six months ended June 30, 2025 compared with the same period in the prior year. The decrease to operating expense as compared to the prior-year period was primarily due to a lower goodwill impairment charge in the current period and:</w:t>
      </w:r>
    </w:p>
    <w:p>
      <w:pPr>
        <w:spacing w:after="0" w:line="291" w:lineRule="exact"/>
        <w:rPr>
          <w:sz w:val="20"/>
          <w:szCs w:val="20"/>
          <w:color w:val="auto"/>
        </w:rPr>
      </w:pPr>
    </w:p>
    <w:p>
      <w:pPr>
        <w:ind w:left="1020" w:right="20" w:hanging="503"/>
        <w:spacing w:after="0" w:line="26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sales and marketing expense of $2.2 million for the six months ended June 30, 2025, primarily due to lower personnel costs in the current period, including stock-based compensation expense, resulting from the 2024 Restructuring Plan and the departure of certain executive-level employees in the prior year, which did not repeat at the same level during the six months ended June 30, 2025, partially offset by increased costs associated with new software applications, and with certain sales and marketing events in the current period;</w:t>
      </w:r>
    </w:p>
    <w:p>
      <w:pPr>
        <w:spacing w:after="0" w:line="71" w:lineRule="exact"/>
        <w:rPr>
          <w:rFonts w:ascii="Times New Roman" w:cs="Times New Roman" w:eastAsia="Times New Roman" w:hAnsi="Times New Roman"/>
          <w:sz w:val="18"/>
          <w:szCs w:val="18"/>
          <w:color w:val="auto"/>
        </w:rPr>
      </w:pPr>
    </w:p>
    <w:p>
      <w:pPr>
        <w:ind w:left="1020" w:right="140" w:hanging="503"/>
        <w:spacing w:after="0" w:line="258"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product development expense of $3.0 million for the six months ended June 30, 2025, primarily driven by lower personnel costs in the current period, including stock-based compensation expense. Higher stock-based compensation costs in the first quarter of 2024 associated with equity grant modifications were primarily driven by the 2024 Restructuring Plan, which did not repeat at the same level during the current period. These decreases were partially offset by increased costs associated with new software application investments in the current period;</w:t>
      </w:r>
    </w:p>
    <w:p>
      <w:pPr>
        <w:spacing w:after="0" w:line="75" w:lineRule="exact"/>
        <w:rPr>
          <w:rFonts w:ascii="Times New Roman" w:cs="Times New Roman" w:eastAsia="Times New Roman" w:hAnsi="Times New Roman"/>
          <w:sz w:val="18"/>
          <w:szCs w:val="18"/>
          <w:color w:val="auto"/>
        </w:rPr>
      </w:pPr>
    </w:p>
    <w:p>
      <w:pPr>
        <w:ind w:left="1020" w:right="160" w:hanging="503"/>
        <w:spacing w:after="0" w:line="25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general and administrative expense of $4.5 million for the six months ended June 30, 2025, primarily driven by lower stock-based compensation expense in the current period. Higher costs incurred in the prior period associated with equity grant modifications were primarily driven by the 2024 Restructuring Plan and the departure of certain executive-level employees, which did not repeat at the same level during the current period. Also during the current period, we experienced reductions in bad debt expense, sales tax exposure charges, and consulting fees and severance costs associated with strategic transition initiatives. These decreases were partially offset by higher personnel costs and higher franchise taxes;</w:t>
      </w:r>
    </w:p>
    <w:p>
      <w:pPr>
        <w:spacing w:after="0" w:line="79"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depreciation and amortization expense of $1.2 million for the six months ended June 30, 2025, primarily driven by certain customer relationship intangible assets utilizing economic consumption amortization methods with lower amortization in the current period; and</w:t>
      </w:r>
    </w:p>
    <w:p>
      <w:pPr>
        <w:spacing w:after="0" w:line="67"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transaction, integration, and restructuring expenses of $9.4 million for the six months ended June 30, 2025, primarily driven by higher costs incurred in the prior year period associated with the 2024 Restructuring Plan and the consolidation of certain leased office facilities.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46" w:name="page47"/>
    <w:bookmarkEnd w:id="46"/>
    <w:p>
      <w:pPr>
        <w:ind w:left="520"/>
        <w:spacing w:after="0"/>
        <w:rPr>
          <w:sz w:val="20"/>
          <w:szCs w:val="20"/>
          <w:color w:val="auto"/>
        </w:rPr>
      </w:pPr>
      <w:r>
        <w:rPr>
          <w:rFonts w:ascii="Times New Roman" w:cs="Times New Roman" w:eastAsia="Times New Roman" w:hAnsi="Times New Roman"/>
          <w:sz w:val="18"/>
          <w:szCs w:val="18"/>
          <w:b w:val="1"/>
          <w:bCs w:val="1"/>
          <w:color w:val="auto"/>
        </w:rPr>
        <w:t>Total Other Income, Net</w:t>
      </w:r>
    </w:p>
    <w:p>
      <w:pPr>
        <w:spacing w:after="0" w:line="121"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Total other income, net was $14.2 million for the six months ended June 30, 2025 compared to $44.3 million in the same period in the prior year. The decrease was primarily driven by a decrease in the TRA liability remeasurement gain of $26.2 million during the six months ended June 30, 2025, compared with the same period in the prior year. The TRA liability remeasurement gain was lower in the current period, primarily as a result of a $187.1 million decrease in goodwill impairment charges incurred during the six months ended June 30, 2025 compared with the same period in 2024. Also contributing to the decrease was a foreign currency transaction loss of $1.5 million in the current year period, compared with a gain of $0.3 million in the prior year period, interest expense, net, of $1.6 million in the current year period, compared with interest income, net, of $0.1 million in the prior year period, and a $0.5 million loss on the partial extinguishment of debt incurred during the six months ended June 30, 2025.</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Benefit from Income Taxes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Benefit from income taxes was $10.4 million for the six months ended June 30, 2025 compared to $22.7 million in the comparable prior year period. The decrease was primarily attributed to a $187.1 million decrease in goodwill impairment charges during the current period, resulting in reduced income tax benefits from the reduction of indefinite-lived deferred tax liabilities.</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In addition to our results determined in accordance with GAAP, we believe certain non-GAAP measures are useful in evaluating our operating performance. Non-GAAP measures include, but are not limited to, Adjusted Gross Profit, Adjusted Gross Margin, Adjusted EBITDA, and Adjusted EBITDA Margin. We believe these non-GAAP measures are useful to investors because they eliminate certain items that affect period-over-period comparability and provide consistency with past financial performance and additional information about our underlying results and trends by excluding certain items that may not be indicative of our business, results of operations, or outlook.</w:t>
      </w:r>
    </w:p>
    <w:p>
      <w:pPr>
        <w:spacing w:after="0" w:line="7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view Adjusted Gross Profit, Adjusted Gross Margin, Adjusted EBITDA, and Adjusted EBITDA Margin as operating performance measures. As such, we believe the most directly comparable GAAP financial measures to Adjusted Gross Profit and Adjusted Gross Margin are GAAP Gross Profit and GAAP Gross Margin, respectively, and the most directly comparable GAAP financial measures to Adjusted EBITDA and Adjusted EBITDA Margin are GAAP net loss and GAAP net loss margin, respectively.</w:t>
      </w:r>
    </w:p>
    <w:p>
      <w:pPr>
        <w:spacing w:after="0" w:line="7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Non-GAAP measures are supplemental financial measures of our performance and should not be considered substitutes for net loss, gross profit, or any other measure derived in accordance with GAAP. This information should be read only in conjunction with our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or events being adjusted. In addition, other companies may use different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 and Adjusted Gross Margin</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define Adjusted Gross Profit as Gross Profit, excluding acquisition-related depreciation and amortization, and equity-based compensation costs. We exclude acquisition-related depreciation and amortization expenses as they have no direct correlation to the cost of operating our business on an ongoing basis. A small portion of equity-based compensation is included in cost of revenue in accordance with GAAP, but is excluded from our Adjusted Gross Profit calculations due to its non-cash nature. Gross Margin is defined as Gross Profit as a percentage of revenue and Adjusted Gross Margin is defined as Adjusted Gross Profit as a percentage of revenue. These are key metrics used by management and our Board to assess our operations.</w:t>
      </w:r>
    </w:p>
    <w:p>
      <w:pPr>
        <w:spacing w:after="0" w:line="7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gross profit and gross margin to adjusted gross profit and adjusted gross margin, respectively, for the periods presented: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7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7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29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3"/>
          </w:tcPr>
          <w:p>
            <w:pPr>
              <w:jc w:val="right"/>
              <w:ind w:right="6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jc w:val="right"/>
              <w:ind w:right="72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117"/>
        </w:trPr>
        <w:tc>
          <w:tcPr>
            <w:tcW w:w="2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jc w:val="center"/>
              <w:ind w:right="37"/>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80" w:type="dxa"/>
            <w:vAlign w:val="bottom"/>
          </w:tcPr>
          <w:p>
            <w:pPr>
              <w:spacing w:after="0"/>
              <w:rPr>
                <w:sz w:val="10"/>
                <w:szCs w:val="10"/>
                <w:color w:val="auto"/>
              </w:rPr>
            </w:pPr>
          </w:p>
        </w:tc>
      </w:tr>
      <w:tr>
        <w:trPr>
          <w:trHeight w:val="173"/>
        </w:trPr>
        <w:tc>
          <w:tcPr>
            <w:tcW w:w="29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 of Revenue</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80" w:type="dxa"/>
            <w:vAlign w:val="bottom"/>
          </w:tcPr>
          <w:p>
            <w:pPr>
              <w:spacing w:after="0"/>
              <w:rPr>
                <w:sz w:val="15"/>
                <w:szCs w:val="15"/>
                <w:color w:val="auto"/>
              </w:rPr>
            </w:pPr>
          </w:p>
        </w:tc>
      </w:tr>
      <w:tr>
        <w:trPr>
          <w:trHeight w:val="210"/>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Reported gross profit and margin</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46,613</w:t>
            </w:r>
          </w:p>
        </w:tc>
        <w:tc>
          <w:tcPr>
            <w:tcW w:w="1260" w:type="dxa"/>
            <w:vAlign w:val="bottom"/>
            <w:tcBorders>
              <w:right w:val="single" w:sz="8" w:color="CFF0FC"/>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50,454</w:t>
            </w:r>
          </w:p>
        </w:tc>
        <w:tc>
          <w:tcPr>
            <w:tcW w:w="280" w:type="dxa"/>
            <w:vAlign w:val="bottom"/>
            <w:tcBorders>
              <w:right w:val="single" w:sz="8" w:color="CFF0FC"/>
            </w:tcBorders>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90,373</w:t>
            </w:r>
          </w:p>
        </w:tc>
        <w:tc>
          <w:tcPr>
            <w:tcW w:w="13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100,836</w:t>
            </w: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r>
      <w:tr>
        <w:trPr>
          <w:trHeight w:val="198"/>
        </w:trPr>
        <w:tc>
          <w:tcPr>
            <w:tcW w:w="2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Amortization of intangible assets</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96"/>
        </w:trPr>
        <w:tc>
          <w:tcPr>
            <w:tcW w:w="2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resulting from acquisition-related</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54"/>
        </w:trPr>
        <w:tc>
          <w:tcPr>
            <w:tcW w:w="2960" w:type="dxa"/>
            <w:vAlign w:val="bottom"/>
          </w:tcPr>
          <w:p>
            <w:pPr>
              <w:spacing w:after="0" w:line="255" w:lineRule="exact"/>
              <w:rPr>
                <w:sz w:val="20"/>
                <w:szCs w:val="20"/>
                <w:color w:val="auto"/>
              </w:rPr>
            </w:pPr>
            <w:r>
              <w:rPr>
                <w:rFonts w:ascii="Times New Roman" w:cs="Times New Roman" w:eastAsia="Times New Roman" w:hAnsi="Times New Roman"/>
                <w:sz w:val="18"/>
                <w:szCs w:val="18"/>
                <w:color w:val="auto"/>
              </w:rPr>
              <w:t>purchase accounting adjustments</w:t>
            </w:r>
            <w:r>
              <w:rPr>
                <w:rFonts w:ascii="Times New Roman" w:cs="Times New Roman" w:eastAsia="Times New Roman" w:hAnsi="Times New Roman"/>
                <w:sz w:val="24"/>
                <w:szCs w:val="24"/>
                <w:color w:val="auto"/>
                <w:vertAlign w:val="superscript"/>
              </w:rPr>
              <w:t>(a)</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w:t>
            </w: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280" w:type="dxa"/>
            <w:vAlign w:val="bottom"/>
          </w:tcPr>
          <w:p>
            <w:pPr>
              <w:spacing w:after="0"/>
              <w:rPr>
                <w:sz w:val="22"/>
                <w:szCs w:val="2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6,341</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4,810</w:t>
            </w:r>
          </w:p>
        </w:tc>
        <w:tc>
          <w:tcPr>
            <w:tcW w:w="220" w:type="dxa"/>
            <w:vAlign w:val="bottom"/>
          </w:tcPr>
          <w:p>
            <w:pPr>
              <w:spacing w:after="0"/>
              <w:rPr>
                <w:sz w:val="22"/>
                <w:szCs w:val="22"/>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Equity-based compensation costs</w:t>
            </w: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20" w:type="dxa"/>
            <w:vAlign w:val="bottom"/>
            <w:shd w:val="clear" w:color="auto" w:fill="CFF0FC"/>
          </w:tcPr>
          <w:p>
            <w:pPr>
              <w:spacing w:after="0"/>
              <w:rPr>
                <w:sz w:val="18"/>
                <w:szCs w:val="18"/>
                <w:color w:val="auto"/>
              </w:rPr>
            </w:pPr>
          </w:p>
        </w:tc>
        <w:tc>
          <w:tcPr>
            <w:tcW w:w="10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80" w:type="dxa"/>
            <w:vAlign w:val="bottom"/>
            <w:tcBorders>
              <w:right w:val="single" w:sz="8" w:color="CFF0FC"/>
            </w:tcBorders>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3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0"/>
        </w:trPr>
        <w:tc>
          <w:tcPr>
            <w:tcW w:w="29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32"/>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gross profit and margin</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49,981</w:t>
            </w:r>
          </w:p>
        </w:tc>
        <w:tc>
          <w:tcPr>
            <w:tcW w:w="2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53,130</w:t>
            </w:r>
          </w:p>
        </w:tc>
        <w:tc>
          <w:tcPr>
            <w:tcW w:w="28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97,054</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106,226</w:t>
            </w: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-159385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-159385</wp:posOffset>
            </wp:positionV>
            <wp:extent cx="11176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-159385</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-159385</wp:posOffset>
            </wp:positionV>
            <wp:extent cx="11112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-159385</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-159385</wp:posOffset>
            </wp:positionV>
            <wp:extent cx="11112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-159385</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-159385</wp:posOffset>
            </wp:positionV>
            <wp:extent cx="11176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47" w:lineRule="exact"/>
        <w:rPr>
          <w:sz w:val="20"/>
          <w:szCs w:val="20"/>
          <w:color w:val="auto"/>
        </w:rPr>
      </w:pPr>
    </w:p>
    <w:p>
      <w:pPr>
        <w:ind w:left="1020" w:right="18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intangible assets resulting from purchase accounting adjustments represents non-cash amortization of acquired intangibles, primarily resulting from the Advent Acquisition.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121" w:lineRule="exact"/>
        <w:rPr>
          <w:sz w:val="20"/>
          <w:szCs w:val="20"/>
          <w:color w:val="auto"/>
        </w:rPr>
      </w:pPr>
    </w:p>
    <w:p>
      <w:pPr>
        <w:ind w:right="80" w:firstLine="509"/>
        <w:spacing w:after="0" w:line="257" w:lineRule="auto"/>
        <w:rPr>
          <w:sz w:val="20"/>
          <w:szCs w:val="20"/>
          <w:color w:val="auto"/>
        </w:rPr>
      </w:pPr>
      <w:r>
        <w:rPr>
          <w:rFonts w:ascii="Times New Roman" w:cs="Times New Roman" w:eastAsia="Times New Roman" w:hAnsi="Times New Roman"/>
          <w:sz w:val="18"/>
          <w:szCs w:val="18"/>
          <w:color w:val="auto"/>
        </w:rPr>
        <w:t>We present “Adjusted EBITDA” as a measure of our operating performance. EBITDA is defined as earnings before (i) debt-related costs, including interest expense and loss on partial extinguishment of debt, (ii) interest expense (income), net, (iii) provision for (benefit from) income taxes, and (iv) depreciation and amortization. Management further adjusts EBITDA in its presentation of Adjusted EBITDA to exclude (i) other expense (income), net,</w:t>
      </w:r>
    </w:p>
    <w:p>
      <w:pPr>
        <w:spacing w:after="0" w:line="1" w:lineRule="exact"/>
        <w:rPr>
          <w:sz w:val="20"/>
          <w:szCs w:val="20"/>
          <w:color w:val="auto"/>
        </w:rPr>
      </w:pPr>
    </w:p>
    <w:p>
      <w:pPr>
        <w:ind w:right="40" w:firstLine="8"/>
        <w:spacing w:after="0" w:line="252" w:lineRule="auto"/>
        <w:tabs>
          <w:tab w:leader="none" w:pos="26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equity-based compensation, (iii) transaction, integration, and restructuring expenses, (iv) goodwill impairment, and (v) other non-core items. We exclude these items because they are by nature non-cash, non-recurring, and/or unrelated to our core operations, and therefore we do not believe them to be representative of ongoing operational performance. Adjusted EBITDA Margin is defined as Adjusted EBITDA as a percentage of revenue. Adjusted EBITDA and Adjusted EBITDA Margin are key metrics used by management and our Board to assess the profitability of our operations. We believe these metrics provide useful measures to investors to assess our operating performance and in measuring the profitability of our operations on a consolidated level.</w:t>
      </w:r>
    </w:p>
    <w:p>
      <w:pPr>
        <w:spacing w:after="0" w:line="82"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net loss and margin to Adjusted EBITDA and Adjusted EBITDA margin, respectively, for the periods presented: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6"/>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7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7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2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4"/>
          </w:tcPr>
          <w:p>
            <w:pPr>
              <w:jc w:val="right"/>
              <w:ind w:right="78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3"/>
          </w:tcPr>
          <w:p>
            <w:pPr>
              <w:jc w:val="right"/>
              <w:ind w:right="72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17"/>
        </w:trPr>
        <w:tc>
          <w:tcPr>
            <w:tcW w:w="2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jc w:val="center"/>
              <w:ind w:right="45"/>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center"/>
              <w:ind w:right="45"/>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00" w:type="dxa"/>
            <w:vAlign w:val="bottom"/>
          </w:tcPr>
          <w:p>
            <w:pPr>
              <w:spacing w:after="0"/>
              <w:rPr>
                <w:sz w:val="10"/>
                <w:szCs w:val="10"/>
                <w:color w:val="auto"/>
              </w:rPr>
            </w:pPr>
          </w:p>
        </w:tc>
      </w:tr>
      <w:tr>
        <w:trPr>
          <w:trHeight w:val="173"/>
        </w:trPr>
        <w:tc>
          <w:tcPr>
            <w:tcW w:w="27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 of Revenue</w:t>
            </w: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5"/>
                <w:szCs w:val="15"/>
                <w:color w:val="auto"/>
              </w:rPr>
            </w:pPr>
          </w:p>
        </w:tc>
        <w:tc>
          <w:tcPr>
            <w:tcW w:w="700" w:type="dxa"/>
            <w:vAlign w:val="bottom"/>
            <w:tcBorders>
              <w:bottom w:val="single" w:sz="8" w:color="auto"/>
            </w:tcBorders>
          </w:tcPr>
          <w:p>
            <w:pPr>
              <w:jc w:val="center"/>
              <w:ind w:right="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 of Revenue</w:t>
            </w: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0" w:type="dxa"/>
            <w:vAlign w:val="bottom"/>
          </w:tcPr>
          <w:p>
            <w:pPr>
              <w:spacing w:after="0"/>
              <w:rPr>
                <w:sz w:val="15"/>
                <w:szCs w:val="15"/>
                <w:color w:val="auto"/>
              </w:rPr>
            </w:pPr>
          </w:p>
        </w:tc>
      </w:tr>
      <w:tr>
        <w:trPr>
          <w:trHeight w:val="156"/>
        </w:trPr>
        <w:tc>
          <w:tcPr>
            <w:tcW w:w="27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Net loss and margin</w:t>
            </w:r>
          </w:p>
        </w:tc>
        <w:tc>
          <w:tcPr>
            <w:tcW w:w="24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(9,265)</w:t>
            </w:r>
          </w:p>
        </w:tc>
        <w:tc>
          <w:tcPr>
            <w:tcW w:w="1280" w:type="dxa"/>
            <w:vAlign w:val="bottom"/>
            <w:gridSpan w:val="3"/>
            <w:shd w:val="clear" w:color="auto" w:fill="CFF0FC"/>
          </w:tcPr>
          <w:p>
            <w:pPr>
              <w:jc w:val="right"/>
              <w:ind w:right="120"/>
              <w:spacing w:after="0" w:line="156" w:lineRule="exact"/>
              <w:rPr>
                <w:sz w:val="20"/>
                <w:szCs w:val="20"/>
                <w:color w:val="auto"/>
              </w:rPr>
            </w:pPr>
            <w:r>
              <w:rPr>
                <w:rFonts w:ascii="Times New Roman" w:cs="Times New Roman" w:eastAsia="Times New Roman" w:hAnsi="Times New Roman"/>
                <w:sz w:val="15"/>
                <w:szCs w:val="15"/>
                <w:color w:val="auto"/>
              </w:rPr>
              <w:t>(15)%</w:t>
            </w:r>
          </w:p>
        </w:tc>
        <w:tc>
          <w:tcPr>
            <w:tcW w:w="1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right w:val="single" w:sz="8" w:color="CFF0FC"/>
            </w:tcBorders>
            <w:gridSpan w:val="2"/>
            <w:shd w:val="clear" w:color="auto" w:fill="CFF0FC"/>
          </w:tcPr>
          <w:p>
            <w:pPr>
              <w:jc w:val="right"/>
              <w:ind w:right="220"/>
              <w:spacing w:after="0" w:line="156" w:lineRule="exact"/>
              <w:rPr>
                <w:sz w:val="20"/>
                <w:szCs w:val="20"/>
                <w:color w:val="auto"/>
              </w:rPr>
            </w:pPr>
            <w:r>
              <w:rPr>
                <w:rFonts w:ascii="Times New Roman" w:cs="Times New Roman" w:eastAsia="Times New Roman" w:hAnsi="Times New Roman"/>
                <w:sz w:val="15"/>
                <w:szCs w:val="15"/>
                <w:color w:val="auto"/>
              </w:rPr>
              <w:t>(306,187)</w:t>
            </w:r>
          </w:p>
        </w:tc>
        <w:tc>
          <w:tcPr>
            <w:tcW w:w="1000" w:type="dxa"/>
            <w:vAlign w:val="bottom"/>
            <w:tcBorders>
              <w:right w:val="single" w:sz="8" w:color="CFF0FC"/>
            </w:tcBorders>
            <w:gridSpan w:val="2"/>
            <w:shd w:val="clear" w:color="auto" w:fill="CFF0FC"/>
          </w:tcPr>
          <w:p>
            <w:pPr>
              <w:jc w:val="right"/>
              <w:ind w:right="120"/>
              <w:spacing w:after="0" w:line="156" w:lineRule="exact"/>
              <w:rPr>
                <w:sz w:val="20"/>
                <w:szCs w:val="20"/>
                <w:color w:val="auto"/>
              </w:rPr>
            </w:pPr>
            <w:r>
              <w:rPr>
                <w:rFonts w:ascii="Times New Roman" w:cs="Times New Roman" w:eastAsia="Times New Roman" w:hAnsi="Times New Roman"/>
                <w:sz w:val="15"/>
                <w:szCs w:val="15"/>
                <w:color w:val="auto"/>
              </w:rPr>
              <w:t>(480)%</w:t>
            </w:r>
          </w:p>
        </w:tc>
        <w:tc>
          <w:tcPr>
            <w:tcW w:w="1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gridSpan w:val="2"/>
            <w:shd w:val="clear" w:color="auto" w:fill="CFF0FC"/>
          </w:tcPr>
          <w:p>
            <w:pPr>
              <w:jc w:val="right"/>
              <w:ind w:right="180"/>
              <w:spacing w:after="0" w:line="156" w:lineRule="exact"/>
              <w:rPr>
                <w:sz w:val="20"/>
                <w:szCs w:val="20"/>
                <w:color w:val="auto"/>
              </w:rPr>
            </w:pPr>
            <w:r>
              <w:rPr>
                <w:rFonts w:ascii="Times New Roman" w:cs="Times New Roman" w:eastAsia="Times New Roman" w:hAnsi="Times New Roman"/>
                <w:sz w:val="15"/>
                <w:szCs w:val="15"/>
                <w:color w:val="auto"/>
              </w:rPr>
              <w:t>(164,358)</w:t>
            </w:r>
          </w:p>
        </w:tc>
        <w:tc>
          <w:tcPr>
            <w:tcW w:w="1180" w:type="dxa"/>
            <w:vAlign w:val="bottom"/>
            <w:tcBorders>
              <w:right w:val="single" w:sz="8" w:color="CFF0FC"/>
            </w:tcBorders>
            <w:gridSpan w:val="2"/>
            <w:shd w:val="clear" w:color="auto" w:fill="CFF0FC"/>
          </w:tcPr>
          <w:p>
            <w:pPr>
              <w:jc w:val="right"/>
              <w:ind w:right="120"/>
              <w:spacing w:after="0" w:line="156" w:lineRule="exact"/>
              <w:rPr>
                <w:sz w:val="20"/>
                <w:szCs w:val="20"/>
                <w:color w:val="auto"/>
              </w:rPr>
            </w:pPr>
            <w:r>
              <w:rPr>
                <w:rFonts w:ascii="Times New Roman" w:cs="Times New Roman" w:eastAsia="Times New Roman" w:hAnsi="Times New Roman"/>
                <w:sz w:val="15"/>
                <w:szCs w:val="15"/>
                <w:color w:val="auto"/>
              </w:rPr>
              <w:t>(137)%</w:t>
            </w:r>
          </w:p>
        </w:tc>
        <w:tc>
          <w:tcPr>
            <w:tcW w:w="1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gridSpan w:val="2"/>
            <w:shd w:val="clear" w:color="auto" w:fill="CFF0FC"/>
          </w:tcPr>
          <w:p>
            <w:pPr>
              <w:jc w:val="right"/>
              <w:ind w:right="160"/>
              <w:spacing w:after="0" w:line="156" w:lineRule="exact"/>
              <w:rPr>
                <w:sz w:val="20"/>
                <w:szCs w:val="20"/>
                <w:color w:val="auto"/>
              </w:rPr>
            </w:pPr>
            <w:r>
              <w:rPr>
                <w:rFonts w:ascii="Times New Roman" w:cs="Times New Roman" w:eastAsia="Times New Roman" w:hAnsi="Times New Roman"/>
                <w:sz w:val="15"/>
                <w:szCs w:val="15"/>
                <w:color w:val="auto"/>
              </w:rPr>
              <w:t>(318,905)</w:t>
            </w:r>
          </w:p>
        </w:tc>
        <w:tc>
          <w:tcPr>
            <w:tcW w:w="8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(251)%</w:t>
            </w:r>
          </w:p>
        </w:tc>
      </w:tr>
      <w:tr>
        <w:trPr>
          <w:trHeight w:val="162"/>
        </w:trPr>
        <w:tc>
          <w:tcPr>
            <w:tcW w:w="27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Interest expense (income), net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1,241</w:t>
            </w:r>
          </w:p>
        </w:tc>
        <w:tc>
          <w:tcPr>
            <w:tcW w:w="120" w:type="dxa"/>
            <w:vAlign w:val="bottom"/>
          </w:tcPr>
          <w:p>
            <w:pPr>
              <w:spacing w:after="0"/>
              <w:rPr>
                <w:sz w:val="14"/>
                <w:szCs w:val="14"/>
                <w:color w:val="auto"/>
              </w:rPr>
            </w:pPr>
          </w:p>
        </w:tc>
        <w:tc>
          <w:tcPr>
            <w:tcW w:w="1280" w:type="dxa"/>
            <w:vAlign w:val="bottom"/>
            <w:gridSpan w:val="3"/>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2%</w:t>
            </w:r>
          </w:p>
        </w:tc>
        <w:tc>
          <w:tcPr>
            <w:tcW w:w="10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46</w:t>
            </w:r>
          </w:p>
        </w:tc>
        <w:tc>
          <w:tcPr>
            <w:tcW w:w="280" w:type="dxa"/>
            <w:vAlign w:val="bottom"/>
          </w:tcPr>
          <w:p>
            <w:pPr>
              <w:spacing w:after="0"/>
              <w:rPr>
                <w:sz w:val="14"/>
                <w:szCs w:val="14"/>
                <w:color w:val="auto"/>
              </w:rPr>
            </w:pPr>
          </w:p>
        </w:tc>
        <w:tc>
          <w:tcPr>
            <w:tcW w:w="100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0%</w:t>
            </w:r>
          </w:p>
        </w:tc>
        <w:tc>
          <w:tcPr>
            <w:tcW w:w="10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1,622</w:t>
            </w:r>
          </w:p>
        </w:tc>
        <w:tc>
          <w:tcPr>
            <w:tcW w:w="220" w:type="dxa"/>
            <w:vAlign w:val="bottom"/>
          </w:tcPr>
          <w:p>
            <w:pPr>
              <w:spacing w:after="0"/>
              <w:rPr>
                <w:sz w:val="14"/>
                <w:szCs w:val="14"/>
                <w:color w:val="auto"/>
              </w:rPr>
            </w:pPr>
          </w:p>
        </w:tc>
        <w:tc>
          <w:tcPr>
            <w:tcW w:w="118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(65)</w:t>
            </w:r>
          </w:p>
        </w:tc>
        <w:tc>
          <w:tcPr>
            <w:tcW w:w="80" w:type="dxa"/>
            <w:vAlign w:val="bottom"/>
          </w:tcPr>
          <w:p>
            <w:pPr>
              <w:spacing w:after="0"/>
              <w:rPr>
                <w:sz w:val="14"/>
                <w:szCs w:val="14"/>
                <w:color w:val="auto"/>
              </w:rPr>
            </w:pPr>
          </w:p>
        </w:tc>
        <w:tc>
          <w:tcPr>
            <w:tcW w:w="90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(0)%</w:t>
            </w:r>
          </w:p>
        </w:tc>
      </w:tr>
      <w:tr>
        <w:trPr>
          <w:trHeight w:val="162"/>
        </w:trPr>
        <w:tc>
          <w:tcPr>
            <w:tcW w:w="270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Provision for (benefit from) income taxes</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456</w:t>
            </w:r>
          </w:p>
        </w:tc>
        <w:tc>
          <w:tcPr>
            <w:tcW w:w="120" w:type="dxa"/>
            <w:vAlign w:val="bottom"/>
            <w:shd w:val="clear" w:color="auto" w:fill="CFF0FC"/>
          </w:tcPr>
          <w:p>
            <w:pPr>
              <w:spacing w:after="0"/>
              <w:rPr>
                <w:sz w:val="14"/>
                <w:szCs w:val="14"/>
                <w:color w:val="auto"/>
              </w:rPr>
            </w:pPr>
          </w:p>
        </w:tc>
        <w:tc>
          <w:tcPr>
            <w:tcW w:w="1280" w:type="dxa"/>
            <w:vAlign w:val="bottom"/>
            <w:gridSpan w:val="3"/>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FF0FC"/>
          </w:tcPr>
          <w:p>
            <w:pPr>
              <w:spacing w:after="0"/>
              <w:rPr>
                <w:sz w:val="14"/>
                <w:szCs w:val="14"/>
                <w:color w:val="auto"/>
              </w:rPr>
            </w:pPr>
          </w:p>
        </w:tc>
        <w:tc>
          <w:tcPr>
            <w:tcW w:w="940" w:type="dxa"/>
            <w:vAlign w:val="bottom"/>
            <w:tcBorders>
              <w:right w:val="single" w:sz="8" w:color="CFF0FC"/>
            </w:tcBorders>
            <w:gridSpan w:val="2"/>
            <w:shd w:val="clear" w:color="auto" w:fill="CFF0FC"/>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(21,900)</w:t>
            </w:r>
          </w:p>
        </w:tc>
        <w:tc>
          <w:tcPr>
            <w:tcW w:w="1000" w:type="dxa"/>
            <w:vAlign w:val="bottom"/>
            <w:tcBorders>
              <w:right w:val="single" w:sz="8" w:color="CFF0FC"/>
            </w:tcBorders>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(34)%</w:t>
            </w:r>
          </w:p>
        </w:tc>
        <w:tc>
          <w:tcPr>
            <w:tcW w:w="1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(10,430)</w:t>
            </w:r>
          </w:p>
        </w:tc>
        <w:tc>
          <w:tcPr>
            <w:tcW w:w="1180" w:type="dxa"/>
            <w:vAlign w:val="bottom"/>
            <w:tcBorders>
              <w:right w:val="single" w:sz="8" w:color="CFF0FC"/>
            </w:tcBorders>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(9)%</w:t>
            </w:r>
          </w:p>
        </w:tc>
        <w:tc>
          <w:tcPr>
            <w:tcW w:w="1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(22,680)</w:t>
            </w:r>
          </w:p>
        </w:tc>
        <w:tc>
          <w:tcPr>
            <w:tcW w:w="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(18)%</w:t>
            </w:r>
          </w:p>
        </w:tc>
      </w:tr>
      <w:tr>
        <w:trPr>
          <w:trHeight w:val="162"/>
        </w:trPr>
        <w:tc>
          <w:tcPr>
            <w:tcW w:w="27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Loss on partial extinguishment of debt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3"/>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0%</w:t>
            </w:r>
          </w:p>
        </w:tc>
        <w:tc>
          <w:tcPr>
            <w:tcW w:w="100" w:type="dxa"/>
            <w:vAlign w:val="bottom"/>
          </w:tcPr>
          <w:p>
            <w:pPr>
              <w:spacing w:after="0"/>
              <w:rPr>
                <w:sz w:val="14"/>
                <w:szCs w:val="14"/>
                <w:color w:val="auto"/>
              </w:rPr>
            </w:pPr>
          </w:p>
        </w:tc>
        <w:tc>
          <w:tcPr>
            <w:tcW w:w="940" w:type="dxa"/>
            <w:vAlign w:val="bottom"/>
            <w:gridSpan w:val="2"/>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0%</w:t>
            </w:r>
          </w:p>
        </w:tc>
        <w:tc>
          <w:tcPr>
            <w:tcW w:w="10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507</w:t>
            </w:r>
          </w:p>
        </w:tc>
        <w:tc>
          <w:tcPr>
            <w:tcW w:w="220" w:type="dxa"/>
            <w:vAlign w:val="bottom"/>
          </w:tcPr>
          <w:p>
            <w:pPr>
              <w:spacing w:after="0"/>
              <w:rPr>
                <w:sz w:val="14"/>
                <w:szCs w:val="14"/>
                <w:color w:val="auto"/>
              </w:rPr>
            </w:pPr>
          </w:p>
        </w:tc>
        <w:tc>
          <w:tcPr>
            <w:tcW w:w="118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0%</w:t>
            </w:r>
          </w:p>
        </w:tc>
        <w:tc>
          <w:tcPr>
            <w:tcW w:w="100" w:type="dxa"/>
            <w:vAlign w:val="bottom"/>
          </w:tcPr>
          <w:p>
            <w:pPr>
              <w:spacing w:after="0"/>
              <w:rPr>
                <w:sz w:val="14"/>
                <w:szCs w:val="14"/>
                <w:color w:val="auto"/>
              </w:rPr>
            </w:pPr>
          </w:p>
        </w:tc>
        <w:tc>
          <w:tcPr>
            <w:tcW w:w="960" w:type="dxa"/>
            <w:vAlign w:val="bottom"/>
            <w:gridSpan w:val="3"/>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0%</w:t>
            </w:r>
          </w:p>
        </w:tc>
      </w:tr>
      <w:tr>
        <w:trPr>
          <w:trHeight w:val="162"/>
        </w:trPr>
        <w:tc>
          <w:tcPr>
            <w:tcW w:w="270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Depreciation &amp; amortization</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14,338</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24%</w:t>
            </w: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12,788</w:t>
            </w:r>
          </w:p>
        </w:tc>
        <w:tc>
          <w:tcPr>
            <w:tcW w:w="280" w:type="dxa"/>
            <w:vAlign w:val="bottom"/>
            <w:tcBorders>
              <w:right w:val="single" w:sz="8" w:color="CFF0FC"/>
            </w:tcBorders>
            <w:shd w:val="clear" w:color="auto" w:fill="CFF0FC"/>
          </w:tcPr>
          <w:p>
            <w:pPr>
              <w:spacing w:after="0"/>
              <w:rPr>
                <w:sz w:val="14"/>
                <w:szCs w:val="14"/>
                <w:color w:val="auto"/>
              </w:rPr>
            </w:pPr>
          </w:p>
        </w:tc>
        <w:tc>
          <w:tcPr>
            <w:tcW w:w="1000" w:type="dxa"/>
            <w:vAlign w:val="bottom"/>
            <w:tcBorders>
              <w:right w:val="single" w:sz="8" w:color="CFF0FC"/>
            </w:tcBorders>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20%</w:t>
            </w: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28,155</w:t>
            </w:r>
          </w:p>
        </w:tc>
        <w:tc>
          <w:tcPr>
            <w:tcW w:w="220" w:type="dxa"/>
            <w:vAlign w:val="bottom"/>
            <w:shd w:val="clear" w:color="auto" w:fill="CFF0FC"/>
          </w:tcPr>
          <w:p>
            <w:pPr>
              <w:spacing w:after="0"/>
              <w:rPr>
                <w:sz w:val="14"/>
                <w:szCs w:val="14"/>
                <w:color w:val="auto"/>
              </w:rPr>
            </w:pPr>
          </w:p>
        </w:tc>
        <w:tc>
          <w:tcPr>
            <w:tcW w:w="1180" w:type="dxa"/>
            <w:vAlign w:val="bottom"/>
            <w:tcBorders>
              <w:right w:val="single" w:sz="8" w:color="CFF0FC"/>
            </w:tcBorders>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23%</w:t>
            </w: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25,472</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20%</w:t>
            </w:r>
          </w:p>
        </w:tc>
      </w:tr>
      <w:tr>
        <w:trPr>
          <w:trHeight w:val="20"/>
        </w:trPr>
        <w:tc>
          <w:tcPr>
            <w:tcW w:w="27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156"/>
        </w:trPr>
        <w:tc>
          <w:tcPr>
            <w:tcW w:w="270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EBITDA and margin</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6,770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180"/>
              <w:spacing w:after="0" w:line="156" w:lineRule="exact"/>
              <w:rPr>
                <w:sz w:val="20"/>
                <w:szCs w:val="20"/>
                <w:color w:val="auto"/>
              </w:rPr>
            </w:pPr>
            <w:r>
              <w:rPr>
                <w:rFonts w:ascii="Times New Roman" w:cs="Times New Roman" w:eastAsia="Times New Roman" w:hAnsi="Times New Roman"/>
                <w:sz w:val="15"/>
                <w:szCs w:val="15"/>
                <w:color w:val="auto"/>
              </w:rPr>
              <w:t>11%</w:t>
            </w:r>
          </w:p>
        </w:tc>
        <w:tc>
          <w:tcPr>
            <w:tcW w:w="100" w:type="dxa"/>
            <w:vAlign w:val="bottom"/>
          </w:tcPr>
          <w:p>
            <w:pPr>
              <w:spacing w:after="0"/>
              <w:rPr>
                <w:sz w:val="13"/>
                <w:szCs w:val="13"/>
                <w:color w:val="auto"/>
              </w:rPr>
            </w:pPr>
          </w:p>
        </w:tc>
        <w:tc>
          <w:tcPr>
            <w:tcW w:w="940" w:type="dxa"/>
            <w:vAlign w:val="bottom"/>
            <w:gridSpan w:val="2"/>
          </w:tcPr>
          <w:p>
            <w:pPr>
              <w:jc w:val="right"/>
              <w:ind w:right="220"/>
              <w:spacing w:after="0" w:line="156" w:lineRule="exact"/>
              <w:rPr>
                <w:sz w:val="20"/>
                <w:szCs w:val="20"/>
                <w:color w:val="auto"/>
              </w:rPr>
            </w:pPr>
            <w:r>
              <w:rPr>
                <w:rFonts w:ascii="Times New Roman" w:cs="Times New Roman" w:eastAsia="Times New Roman" w:hAnsi="Times New Roman"/>
                <w:sz w:val="15"/>
                <w:szCs w:val="15"/>
                <w:color w:val="auto"/>
              </w:rPr>
              <w:t>(315,253)</w:t>
            </w:r>
          </w:p>
        </w:tc>
        <w:tc>
          <w:tcPr>
            <w:tcW w:w="1000" w:type="dxa"/>
            <w:vAlign w:val="bottom"/>
            <w:gridSpan w:val="2"/>
          </w:tcPr>
          <w:p>
            <w:pPr>
              <w:jc w:val="right"/>
              <w:ind w:right="120"/>
              <w:spacing w:after="0" w:line="156" w:lineRule="exact"/>
              <w:rPr>
                <w:sz w:val="20"/>
                <w:szCs w:val="20"/>
                <w:color w:val="auto"/>
              </w:rPr>
            </w:pPr>
            <w:r>
              <w:rPr>
                <w:rFonts w:ascii="Times New Roman" w:cs="Times New Roman" w:eastAsia="Times New Roman" w:hAnsi="Times New Roman"/>
                <w:sz w:val="15"/>
                <w:szCs w:val="15"/>
                <w:color w:val="auto"/>
              </w:rPr>
              <w:t>(495)%</w:t>
            </w:r>
          </w:p>
        </w:tc>
        <w:tc>
          <w:tcPr>
            <w:tcW w:w="100" w:type="dxa"/>
            <w:vAlign w:val="bottom"/>
          </w:tcPr>
          <w:p>
            <w:pPr>
              <w:spacing w:after="0"/>
              <w:rPr>
                <w:sz w:val="13"/>
                <w:szCs w:val="13"/>
                <w:color w:val="auto"/>
              </w:rPr>
            </w:pPr>
          </w:p>
        </w:tc>
        <w:tc>
          <w:tcPr>
            <w:tcW w:w="880" w:type="dxa"/>
            <w:vAlign w:val="bottom"/>
            <w:gridSpan w:val="2"/>
          </w:tcPr>
          <w:p>
            <w:pPr>
              <w:jc w:val="right"/>
              <w:ind w:right="180"/>
              <w:spacing w:after="0" w:line="156" w:lineRule="exact"/>
              <w:rPr>
                <w:sz w:val="20"/>
                <w:szCs w:val="20"/>
                <w:color w:val="auto"/>
              </w:rPr>
            </w:pPr>
            <w:r>
              <w:rPr>
                <w:rFonts w:ascii="Times New Roman" w:cs="Times New Roman" w:eastAsia="Times New Roman" w:hAnsi="Times New Roman"/>
                <w:sz w:val="15"/>
                <w:szCs w:val="15"/>
                <w:color w:val="auto"/>
              </w:rPr>
              <w:t>(144,504)</w:t>
            </w:r>
          </w:p>
        </w:tc>
        <w:tc>
          <w:tcPr>
            <w:tcW w:w="1180" w:type="dxa"/>
            <w:vAlign w:val="bottom"/>
            <w:gridSpan w:val="2"/>
          </w:tcPr>
          <w:p>
            <w:pPr>
              <w:jc w:val="right"/>
              <w:ind w:right="120"/>
              <w:spacing w:after="0" w:line="156" w:lineRule="exact"/>
              <w:rPr>
                <w:sz w:val="20"/>
                <w:szCs w:val="20"/>
                <w:color w:val="auto"/>
              </w:rPr>
            </w:pPr>
            <w:r>
              <w:rPr>
                <w:rFonts w:ascii="Times New Roman" w:cs="Times New Roman" w:eastAsia="Times New Roman" w:hAnsi="Times New Roman"/>
                <w:sz w:val="15"/>
                <w:szCs w:val="15"/>
                <w:color w:val="auto"/>
              </w:rPr>
              <w:t>(120)%</w:t>
            </w:r>
          </w:p>
        </w:tc>
        <w:tc>
          <w:tcPr>
            <w:tcW w:w="100" w:type="dxa"/>
            <w:vAlign w:val="bottom"/>
          </w:tcPr>
          <w:p>
            <w:pPr>
              <w:spacing w:after="0"/>
              <w:rPr>
                <w:sz w:val="13"/>
                <w:szCs w:val="13"/>
                <w:color w:val="auto"/>
              </w:rPr>
            </w:pPr>
          </w:p>
        </w:tc>
        <w:tc>
          <w:tcPr>
            <w:tcW w:w="880" w:type="dxa"/>
            <w:vAlign w:val="bottom"/>
            <w:gridSpan w:val="2"/>
          </w:tcPr>
          <w:p>
            <w:pPr>
              <w:jc w:val="right"/>
              <w:ind w:right="160"/>
              <w:spacing w:after="0" w:line="156" w:lineRule="exact"/>
              <w:rPr>
                <w:sz w:val="20"/>
                <w:szCs w:val="20"/>
                <w:color w:val="auto"/>
              </w:rPr>
            </w:pPr>
            <w:r>
              <w:rPr>
                <w:rFonts w:ascii="Times New Roman" w:cs="Times New Roman" w:eastAsia="Times New Roman" w:hAnsi="Times New Roman"/>
                <w:sz w:val="15"/>
                <w:szCs w:val="15"/>
                <w:color w:val="auto"/>
              </w:rPr>
              <w:t>(316,178)</w:t>
            </w:r>
          </w:p>
        </w:tc>
        <w:tc>
          <w:tcPr>
            <w:tcW w:w="80" w:type="dxa"/>
            <w:vAlign w:val="bottom"/>
          </w:tcPr>
          <w:p>
            <w:pPr>
              <w:spacing w:after="0"/>
              <w:rPr>
                <w:sz w:val="13"/>
                <w:szCs w:val="13"/>
                <w:color w:val="auto"/>
              </w:rPr>
            </w:pPr>
          </w:p>
        </w:tc>
        <w:tc>
          <w:tcPr>
            <w:tcW w:w="900" w:type="dxa"/>
            <w:vAlign w:val="bottom"/>
            <w:gridSpan w:val="2"/>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(249)%</w:t>
            </w:r>
          </w:p>
        </w:tc>
      </w:tr>
      <w:tr>
        <w:trPr>
          <w:trHeight w:val="162"/>
        </w:trPr>
        <w:tc>
          <w:tcPr>
            <w:tcW w:w="270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4"/>
                <w:szCs w:val="14"/>
                <w:color w:val="auto"/>
              </w:rPr>
              <w:t xml:space="preserve">Other expense (income), net </w:t>
            </w:r>
            <w:r>
              <w:rPr>
                <w:rFonts w:ascii="Times New Roman" w:cs="Times New Roman" w:eastAsia="Times New Roman" w:hAnsi="Times New Roman"/>
                <w:sz w:val="18"/>
                <w:szCs w:val="18"/>
                <w:color w:val="auto"/>
                <w:vertAlign w:val="superscript"/>
              </w:rPr>
              <w:t>(a)</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3,398</w:t>
            </w:r>
          </w:p>
        </w:tc>
        <w:tc>
          <w:tcPr>
            <w:tcW w:w="120" w:type="dxa"/>
            <w:vAlign w:val="bottom"/>
            <w:shd w:val="clear" w:color="auto" w:fill="CFF0FC"/>
          </w:tcPr>
          <w:p>
            <w:pPr>
              <w:spacing w:after="0"/>
              <w:rPr>
                <w:sz w:val="14"/>
                <w:szCs w:val="14"/>
                <w:color w:val="auto"/>
              </w:rPr>
            </w:pPr>
          </w:p>
        </w:tc>
        <w:tc>
          <w:tcPr>
            <w:tcW w:w="1280" w:type="dxa"/>
            <w:vAlign w:val="bottom"/>
            <w:gridSpan w:val="3"/>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6%</w:t>
            </w:r>
          </w:p>
        </w:tc>
        <w:tc>
          <w:tcPr>
            <w:tcW w:w="100" w:type="dxa"/>
            <w:vAlign w:val="bottom"/>
            <w:shd w:val="clear" w:color="auto" w:fill="CFF0FC"/>
          </w:tcPr>
          <w:p>
            <w:pPr>
              <w:spacing w:after="0"/>
              <w:rPr>
                <w:sz w:val="14"/>
                <w:szCs w:val="14"/>
                <w:color w:val="auto"/>
              </w:rPr>
            </w:pPr>
          </w:p>
        </w:tc>
        <w:tc>
          <w:tcPr>
            <w:tcW w:w="940" w:type="dxa"/>
            <w:vAlign w:val="bottom"/>
            <w:tcBorders>
              <w:right w:val="single" w:sz="8" w:color="CFF0FC"/>
            </w:tcBorders>
            <w:gridSpan w:val="2"/>
            <w:shd w:val="clear" w:color="auto" w:fill="CFF0FC"/>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(41,600)</w:t>
            </w:r>
          </w:p>
        </w:tc>
        <w:tc>
          <w:tcPr>
            <w:tcW w:w="1000" w:type="dxa"/>
            <w:vAlign w:val="bottom"/>
            <w:tcBorders>
              <w:right w:val="single" w:sz="8" w:color="CFF0FC"/>
            </w:tcBorders>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(65)%</w:t>
            </w:r>
          </w:p>
        </w:tc>
        <w:tc>
          <w:tcPr>
            <w:tcW w:w="1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(16,297)</w:t>
            </w:r>
          </w:p>
        </w:tc>
        <w:tc>
          <w:tcPr>
            <w:tcW w:w="1180" w:type="dxa"/>
            <w:vAlign w:val="bottom"/>
            <w:tcBorders>
              <w:right w:val="single" w:sz="8" w:color="CFF0FC"/>
            </w:tcBorders>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(14)%</w:t>
            </w:r>
          </w:p>
        </w:tc>
        <w:tc>
          <w:tcPr>
            <w:tcW w:w="1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(44,240)</w:t>
            </w:r>
          </w:p>
        </w:tc>
        <w:tc>
          <w:tcPr>
            <w:tcW w:w="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(35)%</w:t>
            </w:r>
          </w:p>
        </w:tc>
      </w:tr>
      <w:tr>
        <w:trPr>
          <w:trHeight w:val="162"/>
        </w:trPr>
        <w:tc>
          <w:tcPr>
            <w:tcW w:w="2700" w:type="dxa"/>
            <w:vAlign w:val="bottom"/>
          </w:tcPr>
          <w:p>
            <w:pPr>
              <w:spacing w:after="0" w:line="162" w:lineRule="exact"/>
              <w:rPr>
                <w:sz w:val="20"/>
                <w:szCs w:val="20"/>
                <w:color w:val="auto"/>
              </w:rPr>
            </w:pPr>
            <w:r>
              <w:rPr>
                <w:rFonts w:ascii="Times New Roman" w:cs="Times New Roman" w:eastAsia="Times New Roman" w:hAnsi="Times New Roman"/>
                <w:sz w:val="14"/>
                <w:szCs w:val="14"/>
                <w:color w:val="auto"/>
              </w:rPr>
              <w:t xml:space="preserve">Equity-based compensation </w:t>
            </w:r>
            <w:r>
              <w:rPr>
                <w:rFonts w:ascii="Times New Roman" w:cs="Times New Roman" w:eastAsia="Times New Roman" w:hAnsi="Times New Roman"/>
                <w:sz w:val="18"/>
                <w:szCs w:val="18"/>
                <w:color w:val="auto"/>
                <w:vertAlign w:val="superscript"/>
              </w:rPr>
              <w:t>(b)</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6,980</w:t>
            </w:r>
          </w:p>
        </w:tc>
        <w:tc>
          <w:tcPr>
            <w:tcW w:w="120" w:type="dxa"/>
            <w:vAlign w:val="bottom"/>
          </w:tcPr>
          <w:p>
            <w:pPr>
              <w:spacing w:after="0"/>
              <w:rPr>
                <w:sz w:val="14"/>
                <w:szCs w:val="14"/>
                <w:color w:val="auto"/>
              </w:rPr>
            </w:pPr>
          </w:p>
        </w:tc>
        <w:tc>
          <w:tcPr>
            <w:tcW w:w="1280" w:type="dxa"/>
            <w:vAlign w:val="bottom"/>
            <w:gridSpan w:val="3"/>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11%</w:t>
            </w:r>
          </w:p>
        </w:tc>
        <w:tc>
          <w:tcPr>
            <w:tcW w:w="10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8,842</w:t>
            </w:r>
          </w:p>
        </w:tc>
        <w:tc>
          <w:tcPr>
            <w:tcW w:w="280" w:type="dxa"/>
            <w:vAlign w:val="bottom"/>
          </w:tcPr>
          <w:p>
            <w:pPr>
              <w:spacing w:after="0"/>
              <w:rPr>
                <w:sz w:val="14"/>
                <w:szCs w:val="14"/>
                <w:color w:val="auto"/>
              </w:rPr>
            </w:pPr>
          </w:p>
        </w:tc>
        <w:tc>
          <w:tcPr>
            <w:tcW w:w="100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14%</w:t>
            </w:r>
          </w:p>
        </w:tc>
        <w:tc>
          <w:tcPr>
            <w:tcW w:w="10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14,299</w:t>
            </w:r>
          </w:p>
        </w:tc>
        <w:tc>
          <w:tcPr>
            <w:tcW w:w="220" w:type="dxa"/>
            <w:vAlign w:val="bottom"/>
          </w:tcPr>
          <w:p>
            <w:pPr>
              <w:spacing w:after="0"/>
              <w:rPr>
                <w:sz w:val="14"/>
                <w:szCs w:val="14"/>
                <w:color w:val="auto"/>
              </w:rPr>
            </w:pPr>
          </w:p>
        </w:tc>
        <w:tc>
          <w:tcPr>
            <w:tcW w:w="118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12%</w:t>
            </w:r>
          </w:p>
        </w:tc>
        <w:tc>
          <w:tcPr>
            <w:tcW w:w="10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24,424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19%</w:t>
            </w:r>
          </w:p>
        </w:tc>
      </w:tr>
      <w:tr>
        <w:trPr>
          <w:trHeight w:val="135"/>
        </w:trPr>
        <w:tc>
          <w:tcPr>
            <w:tcW w:w="27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5"/>
                <w:szCs w:val="15"/>
                <w:color w:val="auto"/>
              </w:rPr>
              <w:t>Transaction, integration, and restructuring</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80" w:type="dxa"/>
            <w:vAlign w:val="bottom"/>
            <w:tcBorders>
              <w:right w:val="single" w:sz="8" w:color="CFF0FC"/>
            </w:tcBorders>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30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r>
      <w:tr>
        <w:trPr>
          <w:trHeight w:val="189"/>
        </w:trPr>
        <w:tc>
          <w:tcPr>
            <w:tcW w:w="27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5"/>
                <w:szCs w:val="15"/>
                <w:color w:val="auto"/>
              </w:rPr>
              <w:t xml:space="preserve">expenses </w:t>
            </w:r>
            <w:r>
              <w:rPr>
                <w:rFonts w:ascii="Times New Roman" w:cs="Times New Roman" w:eastAsia="Times New Roman" w:hAnsi="Times New Roman"/>
                <w:sz w:val="20"/>
                <w:szCs w:val="20"/>
                <w:color w:val="auto"/>
                <w:vertAlign w:val="superscript"/>
              </w:rPr>
              <w:t>(c)</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672</w:t>
            </w:r>
          </w:p>
        </w:tc>
        <w:tc>
          <w:tcPr>
            <w:tcW w:w="120" w:type="dxa"/>
            <w:vAlign w:val="bottom"/>
            <w:shd w:val="clear" w:color="auto" w:fill="CFF0FC"/>
          </w:tcPr>
          <w:p>
            <w:pPr>
              <w:spacing w:after="0"/>
              <w:rPr>
                <w:sz w:val="16"/>
                <w:szCs w:val="16"/>
                <w:color w:val="auto"/>
              </w:rPr>
            </w:pPr>
          </w:p>
        </w:tc>
        <w:tc>
          <w:tcPr>
            <w:tcW w:w="12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2,851</w:t>
            </w:r>
          </w:p>
        </w:tc>
        <w:tc>
          <w:tcPr>
            <w:tcW w:w="280" w:type="dxa"/>
            <w:vAlign w:val="bottom"/>
            <w:tcBorders>
              <w:right w:val="single" w:sz="8" w:color="CFF0FC"/>
            </w:tcBorders>
            <w:shd w:val="clear" w:color="auto" w:fill="CFF0FC"/>
          </w:tcPr>
          <w:p>
            <w:pPr>
              <w:spacing w:after="0"/>
              <w:rPr>
                <w:sz w:val="16"/>
                <w:szCs w:val="16"/>
                <w:color w:val="auto"/>
              </w:rPr>
            </w:pPr>
          </w:p>
        </w:tc>
        <w:tc>
          <w:tcPr>
            <w:tcW w:w="10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1,937</w:t>
            </w:r>
          </w:p>
        </w:tc>
        <w:tc>
          <w:tcPr>
            <w:tcW w:w="220" w:type="dxa"/>
            <w:vAlign w:val="bottom"/>
            <w:shd w:val="clear" w:color="auto" w:fill="CFF0FC"/>
          </w:tcPr>
          <w:p>
            <w:pPr>
              <w:spacing w:after="0"/>
              <w:rPr>
                <w:sz w:val="16"/>
                <w:szCs w:val="16"/>
                <w:color w:val="auto"/>
              </w:rPr>
            </w:pPr>
          </w:p>
        </w:tc>
        <w:tc>
          <w:tcPr>
            <w:tcW w:w="11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11,385</w:t>
            </w: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5"/>
                <w:szCs w:val="15"/>
                <w:color w:val="auto"/>
              </w:rPr>
              <w:t>9%</w:t>
            </w:r>
          </w:p>
        </w:tc>
      </w:tr>
      <w:tr>
        <w:trPr>
          <w:trHeight w:val="162"/>
        </w:trPr>
        <w:tc>
          <w:tcPr>
            <w:tcW w:w="2700" w:type="dxa"/>
            <w:vAlign w:val="bottom"/>
          </w:tcPr>
          <w:p>
            <w:pPr>
              <w:spacing w:after="0" w:line="162" w:lineRule="exact"/>
              <w:rPr>
                <w:sz w:val="20"/>
                <w:szCs w:val="20"/>
                <w:color w:val="auto"/>
              </w:rPr>
            </w:pPr>
            <w:r>
              <w:rPr>
                <w:rFonts w:ascii="Times New Roman" w:cs="Times New Roman" w:eastAsia="Times New Roman" w:hAnsi="Times New Roman"/>
                <w:sz w:val="14"/>
                <w:szCs w:val="14"/>
                <w:color w:val="auto"/>
              </w:rPr>
              <w:t xml:space="preserve">Goodwill impairment </w:t>
            </w:r>
            <w:r>
              <w:rPr>
                <w:rFonts w:ascii="Times New Roman" w:cs="Times New Roman" w:eastAsia="Times New Roman" w:hAnsi="Times New Roman"/>
                <w:sz w:val="18"/>
                <w:szCs w:val="18"/>
                <w:color w:val="auto"/>
                <w:vertAlign w:val="superscript"/>
              </w:rPr>
              <w:t>(d)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3"/>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0%</w:t>
            </w:r>
          </w:p>
        </w:tc>
        <w:tc>
          <w:tcPr>
            <w:tcW w:w="10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363,641</w:t>
            </w:r>
          </w:p>
        </w:tc>
        <w:tc>
          <w:tcPr>
            <w:tcW w:w="280" w:type="dxa"/>
            <w:vAlign w:val="bottom"/>
          </w:tcPr>
          <w:p>
            <w:pPr>
              <w:spacing w:after="0"/>
              <w:rPr>
                <w:sz w:val="14"/>
                <w:szCs w:val="14"/>
                <w:color w:val="auto"/>
              </w:rPr>
            </w:pPr>
          </w:p>
        </w:tc>
        <w:tc>
          <w:tcPr>
            <w:tcW w:w="100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571%</w:t>
            </w:r>
          </w:p>
        </w:tc>
        <w:tc>
          <w:tcPr>
            <w:tcW w:w="10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176,531</w:t>
            </w:r>
          </w:p>
        </w:tc>
        <w:tc>
          <w:tcPr>
            <w:tcW w:w="220" w:type="dxa"/>
            <w:vAlign w:val="bottom"/>
          </w:tcPr>
          <w:p>
            <w:pPr>
              <w:spacing w:after="0"/>
              <w:rPr>
                <w:sz w:val="14"/>
                <w:szCs w:val="14"/>
                <w:color w:val="auto"/>
              </w:rPr>
            </w:pPr>
          </w:p>
        </w:tc>
        <w:tc>
          <w:tcPr>
            <w:tcW w:w="118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147%</w:t>
            </w:r>
          </w:p>
        </w:tc>
        <w:tc>
          <w:tcPr>
            <w:tcW w:w="10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363,641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286%</w:t>
            </w:r>
          </w:p>
        </w:tc>
      </w:tr>
      <w:tr>
        <w:trPr>
          <w:trHeight w:val="162"/>
        </w:trPr>
        <w:tc>
          <w:tcPr>
            <w:tcW w:w="270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4"/>
                <w:szCs w:val="14"/>
                <w:color w:val="auto"/>
              </w:rPr>
              <w:t xml:space="preserve">Other non-core items </w:t>
            </w:r>
            <w:r>
              <w:rPr>
                <w:rFonts w:ascii="Times New Roman" w:cs="Times New Roman" w:eastAsia="Times New Roman" w:hAnsi="Times New Roman"/>
                <w:sz w:val="18"/>
                <w:szCs w:val="18"/>
                <w:color w:val="auto"/>
                <w:vertAlign w:val="superscript"/>
              </w:rPr>
              <w:t>(e)</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836</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2,438</w:t>
            </w:r>
          </w:p>
        </w:tc>
        <w:tc>
          <w:tcPr>
            <w:tcW w:w="280" w:type="dxa"/>
            <w:vAlign w:val="bottom"/>
            <w:tcBorders>
              <w:right w:val="single" w:sz="8" w:color="CFF0FC"/>
            </w:tcBorders>
            <w:shd w:val="clear" w:color="auto" w:fill="CFF0FC"/>
          </w:tcPr>
          <w:p>
            <w:pPr>
              <w:spacing w:after="0"/>
              <w:rPr>
                <w:sz w:val="14"/>
                <w:szCs w:val="14"/>
                <w:color w:val="auto"/>
              </w:rPr>
            </w:pPr>
          </w:p>
        </w:tc>
        <w:tc>
          <w:tcPr>
            <w:tcW w:w="1000" w:type="dxa"/>
            <w:vAlign w:val="bottom"/>
            <w:tcBorders>
              <w:right w:val="single" w:sz="8" w:color="CFF0FC"/>
            </w:tcBorders>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4%</w:t>
            </w: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1,396</w:t>
            </w:r>
          </w:p>
        </w:tc>
        <w:tc>
          <w:tcPr>
            <w:tcW w:w="220" w:type="dxa"/>
            <w:vAlign w:val="bottom"/>
            <w:shd w:val="clear" w:color="auto" w:fill="CFF0FC"/>
          </w:tcPr>
          <w:p>
            <w:pPr>
              <w:spacing w:after="0"/>
              <w:rPr>
                <w:sz w:val="14"/>
                <w:szCs w:val="14"/>
                <w:color w:val="auto"/>
              </w:rPr>
            </w:pPr>
          </w:p>
        </w:tc>
        <w:tc>
          <w:tcPr>
            <w:tcW w:w="1180" w:type="dxa"/>
            <w:vAlign w:val="bottom"/>
            <w:tcBorders>
              <w:right w:val="single" w:sz="8" w:color="CFF0FC"/>
            </w:tcBorders>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1,910</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2%</w:t>
            </w:r>
          </w:p>
        </w:tc>
      </w:tr>
      <w:tr>
        <w:trPr>
          <w:trHeight w:val="20"/>
        </w:trPr>
        <w:tc>
          <w:tcPr>
            <w:tcW w:w="27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196"/>
        </w:trPr>
        <w:tc>
          <w:tcPr>
            <w:tcW w:w="27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Adjusted EBITDA and margin</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18,656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31%</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20,919</w:t>
            </w:r>
          </w:p>
        </w:tc>
        <w:tc>
          <w:tcPr>
            <w:tcW w:w="28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33%</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33,362</w:t>
            </w:r>
          </w:p>
        </w:tc>
        <w:tc>
          <w:tcPr>
            <w:tcW w:w="22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28%</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40,942</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-864870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-864870</wp:posOffset>
            </wp:positionV>
            <wp:extent cx="12827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-864870</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-864870</wp:posOffset>
            </wp:positionV>
            <wp:extent cx="12890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-864870</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-864870</wp:posOffset>
            </wp:positionV>
            <wp:extent cx="12890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-864870</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-864870</wp:posOffset>
            </wp:positionV>
            <wp:extent cx="12890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-136525</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-136525</wp:posOffset>
            </wp:positionV>
            <wp:extent cx="12827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-136525</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-136525</wp:posOffset>
            </wp:positionV>
            <wp:extent cx="12890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-136525</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-136525</wp:posOffset>
            </wp:positionV>
            <wp:extent cx="12890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-136525</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-136525</wp:posOffset>
            </wp:positionV>
            <wp:extent cx="12890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164"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represents foreign exchange and Tax Receivable Agreement liability remeasurement gains and losses.</w:t>
      </w:r>
    </w:p>
    <w:p>
      <w:pPr>
        <w:spacing w:after="0" w:line="27" w:lineRule="exact"/>
        <w:rPr>
          <w:rFonts w:ascii="Times New Roman" w:cs="Times New Roman" w:eastAsia="Times New Roman" w:hAnsi="Times New Roman"/>
          <w:sz w:val="18"/>
          <w:szCs w:val="18"/>
          <w:color w:val="auto"/>
        </w:rPr>
      </w:pPr>
    </w:p>
    <w:p>
      <w:pPr>
        <w:ind w:left="520" w:right="580" w:hanging="512"/>
        <w:spacing w:after="0" w:line="250"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Equity-based compensation represents non-cash compensation expense recognized in association with equity awards made to employees and directors.</w:t>
      </w:r>
    </w:p>
    <w:p>
      <w:pPr>
        <w:ind w:left="520" w:right="520" w:hanging="512"/>
        <w:spacing w:after="0" w:line="255"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and integration expenses primarily represent legal, accounting, and consulting expenses and fair value adjustments for contingent consideration related to our acquisitions and strategic partnerships. Restructuring expenses relate to the 2024 Restructuring Plan, as well as impairment and restructuring charges related to office closures, relocations, and consolidations.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4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80" w:type="dxa"/>
            <w:vAlign w:val="bottom"/>
            <w:gridSpan w:val="4"/>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9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Merger and acquisition due diligence and transaction costs</w:t>
            </w:r>
          </w:p>
        </w:tc>
        <w:tc>
          <w:tcPr>
            <w:tcW w:w="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Integration costs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adjustment for contingent consideration</w:t>
            </w:r>
          </w:p>
        </w:tc>
        <w:tc>
          <w:tcPr>
            <w:tcW w:w="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(690)</w:t>
            </w: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charges for severance and other separation costs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7,819</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Office closure and relocation restructuring charges and impairments</w:t>
            </w:r>
          </w:p>
        </w:tc>
        <w:tc>
          <w:tcPr>
            <w:tcW w:w="4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Total transaction, integration and restructuring expenses</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22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11,385</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4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8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4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-1010920</wp:posOffset>
            </wp:positionV>
            <wp:extent cx="6032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-1010920</wp:posOffset>
            </wp:positionV>
            <wp:extent cx="6032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-1010920</wp:posOffset>
            </wp:positionV>
            <wp:extent cx="6032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-1010920</wp:posOffset>
            </wp:positionV>
            <wp:extent cx="6858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49" w:name="page50"/>
    <w:bookmarkEnd w:id="49"/>
    <w:p>
      <w:pPr>
        <w:ind w:left="520" w:hanging="512"/>
        <w:spacing w:after="0" w:line="255"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impairment represents non-cash, pre-tax, goodwill impairment charges. We experienced declines in our market capitalization as a result of a sustained decrease in our stock price, which represented a triggering event requiring our management to perform a quantitative goodwill impairment test as of the end of the first quarter of 2025. As a result of the impairment test conducted, we determined that the fair value of our single reporting unit was lower than its carrying value and, accordingly, recorded the impairment charge.</w:t>
      </w:r>
    </w:p>
    <w:p>
      <w:pPr>
        <w:spacing w:after="0" w:line="2" w:lineRule="exact"/>
        <w:rPr>
          <w:rFonts w:ascii="Times New Roman" w:cs="Times New Roman" w:eastAsia="Times New Roman" w:hAnsi="Times New Roman"/>
          <w:sz w:val="18"/>
          <w:szCs w:val="18"/>
          <w:color w:val="auto"/>
        </w:rPr>
      </w:pPr>
    </w:p>
    <w:p>
      <w:pPr>
        <w:ind w:left="520" w:right="40" w:hanging="512"/>
        <w:spacing w:after="0" w:line="252"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non-core items represent expenses driven by events that are typically by nature one-time, non-operational, and/or unrelated to our core operations. These expenses are comprised of non-core legal and regulatory costs isolated to unique and extraordinary litigation, legal and regulatory matters that are not considered normal and recurring business activity, including sales tax accrual adjustments inclusive of penalties and interest for sales taxes that we may have been required to collect from customers in certain previous years, and other non-recurring legal and regulatory matters. Other non-core items also include consulting fees and severance costs associated with strategic transition initiatives, as well as professional fees related to financing, capital structure changes, and other non-core items.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4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gridSpan w:val="4"/>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80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Non-core legal and regulatory</w:t>
            </w: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Consulting and severance costs for strategic transition initiatives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non-core expenses</w:t>
            </w:r>
          </w:p>
        </w:tc>
        <w:tc>
          <w:tcPr>
            <w:tcW w:w="6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Total other non-core items</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26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6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-1010920</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-1010920</wp:posOffset>
            </wp:positionV>
            <wp:extent cx="6032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-1010920</wp:posOffset>
            </wp:positionV>
            <wp:extent cx="6032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-1010920</wp:posOffset>
            </wp:positionV>
            <wp:extent cx="6032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As of June 30, 2025, we had $81.0 million of cash and cash equivalents, $103.2 million of short-term investments, and $49.7 million available under our Revolving Credit Facility (as the term is defined below). Our principal sources of liquidity are cash and cash equivalents and short-term investments on hand, as well as the cash flows we generate from operations. Our principal uses of liquidity have been, and are expected to continue to be, primarily for investment in long-term growth of the business through capital expenditures, acquisitions, as well as for debt services (see Note 10.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to our accompanying unaudited condensed consolidated financial statements for further details), repurchases of our Class A Common Stock, and distributions to members of Definitive OpCo, and payments under our tax receivable agreement.</w:t>
      </w:r>
    </w:p>
    <w:p>
      <w:pPr>
        <w:spacing w:after="0" w:line="7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All of our business is conducted through Definitive OpCo and its consolidated subsidiaries and affiliates, and the financial results are included in the unaudited condensed consolidated financial statements of Definitive Healthcare Corp. Definitive Healthcare Corp. has no independent means of generating revenue. The Amended LLC Agreement provides that certain distributions will be made to cover Definitive Healthcare Corp.</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s taxes and such tax distributions are also expected to be used by Definitive Healthcare Corp. to satisfy its obligations under the TRA. We have broad discretion to make distributions out of Definitive OpCo. In the event Definitive Healthcare Corp. declares any cash dividend, we expect to cause Definitive OpCo to make distributions to us, in an amount sufficient to cover such cash dividends declared by us. Deterioration in the financial condition, earnings, or cash flow of Definitive OpCo and its subsidiaries for any reason could limit or impair their ability to pay such distributions. In addition, the terms of our 2021 Credit Agreement contain covenants that may restrict DH Holdings and its subsidiaries from paying such distributions, subject to certain exceptions. Further, Definitive OpCo and Definitive Healthcare Corp. are generally prohibited under Delaware law from making a distribution to a member to the extent that, at the time of the distribution, after giving effect to the distribution, liabilities of Definitive OpCo and DH Holdings (with certain exceptions), as applicable, exceed the fair value of its assets. Subsidiaries of DH Holdings are generally subject to similar legal limitations on their ability to make distributions to DH Holdings.</w:t>
      </w:r>
    </w:p>
    <w:p>
      <w:pPr>
        <w:spacing w:after="0" w:line="8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believe that our cash flow from operations, availability under the 2021 Credit Agreement and available cash and cash equivalents and short-term investments will be sufficient to meet our liquidity needs for at least the next twelve months and in the long term. We anticipate that to the extent that we require additional liquidity, it will be funded through the incurrence of additional indebtedness, the issuance of additional equity, or a combination thereof. We cannot provide assurance that we will be able to obtain this additional liquidity on reasonable terms, or at all.</w:t>
      </w:r>
    </w:p>
    <w:p>
      <w:pPr>
        <w:spacing w:after="0" w:line="7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Additionally, our liquidity and our ability to meet our obligations and fund our capital requirements are dependent on our future financial performance, which is subject to general economic, financial, and other factors that are beyond our control. See “Risk Factors” in our 2024 Form 10-K and the factors described elsewhere in this “Management’s Discussion and Analysis of Financial Condition and Results of Operations.” Macroeconomic conditions, including fluctuating inflation and high interest rates, could increase our anticipated funding requirements. In the event we need to seek additional funding, high interest rates, stock market volatility, or other unfavorable macroeconomic conditions may also prevent us from obtaining additional financing on favorable terms or at all. Future adverse developments with respect to specific financial institutions or the broader financial services industry may lead to market-wide liquidity shortages that could impact us and our customers, and materially harm our business and financial condition. Our ability to access our cash, cash equivalents and investments, including transferring funds, making payments or receiving funds could be threatened and our ability to raise additional capital could be substantially impaired, any of which could materially and adversely affect our business and financial condition. Accordingly, we cannot provide assurance that our business will generate sufficient cash flow from operations or that future borrowings will be available from additional indebtedness or otherwise to meet our liquidity needs. In addition, if we decide to pursue one or more significant acquisitions, we may incur additional debt or sell or issue additional equity to finance such acquisitions, which could possibly result in additional expenses or dilution.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Our financial instruments that are exposed to concentrations of credit risk consist primarily of cash and cash equivalents, short-term investments, and trade and other receivables. We hold cash with reputable financial institutions that often exceed federally insured limits. We manage our credit risk by concentrating our cash deposits and short-term investments with high-quality financial institutions and periodically evaluating the credit quality of those institutions. The carrying value of our financial instruments approximate fair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Inflation</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do not believe inflation has had a material effect on our business, financial condition, or results of operations. However, if our costs were to become subject to significant inflationary pressures, we may not be able to fully offset higher costs through price increases and our inability or failure to do so could potentially harm our business, financial condition, and results of operations.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111"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Pr>
          <w:p>
            <w:pPr>
              <w:spacing w:after="0"/>
              <w:rPr>
                <w:sz w:val="15"/>
                <w:szCs w:val="15"/>
                <w:color w:val="auto"/>
              </w:rPr>
            </w:pPr>
          </w:p>
        </w:tc>
        <w:tc>
          <w:tcPr>
            <w:tcW w:w="282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6960" w:type="dxa"/>
            <w:vAlign w:val="bottom"/>
            <w:vMerge w:val="continue"/>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provided by (used in):</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activities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35,370</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30,629</w:t>
            </w:r>
          </w:p>
        </w:tc>
        <w:tc>
          <w:tcPr>
            <w:tcW w:w="0" w:type="dxa"/>
            <w:vAlign w:val="bottom"/>
          </w:tcPr>
          <w:p>
            <w:pPr>
              <w:spacing w:after="0"/>
              <w:rPr>
                <w:sz w:val="1"/>
                <w:szCs w:val="1"/>
                <w:color w:val="auto"/>
              </w:rPr>
            </w:pPr>
          </w:p>
        </w:tc>
      </w:tr>
      <w:tr>
        <w:trPr>
          <w:trHeight w:val="216"/>
        </w:trPr>
        <w:tc>
          <w:tcPr>
            <w:tcW w:w="6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Investing activities</w:t>
            </w: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73,383</w:t>
            </w: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(9,100)</w:t>
            </w:r>
          </w:p>
        </w:tc>
        <w:tc>
          <w:tcPr>
            <w:tcW w:w="0" w:type="dxa"/>
            <w:vAlign w:val="bottom"/>
          </w:tcPr>
          <w:p>
            <w:pPr>
              <w:spacing w:after="0"/>
              <w:rPr>
                <w:sz w:val="1"/>
                <w:szCs w:val="1"/>
                <w:color w:val="auto"/>
              </w:rPr>
            </w:pPr>
          </w:p>
        </w:tc>
      </w:tr>
      <w:tr>
        <w:trPr>
          <w:trHeight w:val="216"/>
        </w:trPr>
        <w:tc>
          <w:tcPr>
            <w:tcW w:w="6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Financing activities</w:t>
            </w:r>
          </w:p>
        </w:tc>
        <w:tc>
          <w:tcPr>
            <w:tcW w:w="3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(134,406)</w:t>
            </w:r>
          </w:p>
        </w:tc>
        <w:tc>
          <w:tcPr>
            <w:tcW w:w="3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(31,316)</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cash and cash equivalents (excluding effect of exchange rate changes)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(25,653)</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(9,787)</w:t>
            </w:r>
          </w:p>
        </w:tc>
        <w:tc>
          <w:tcPr>
            <w:tcW w:w="0" w:type="dxa"/>
            <w:vAlign w:val="bottom"/>
          </w:tcPr>
          <w:p>
            <w:pPr>
              <w:spacing w:after="0"/>
              <w:rPr>
                <w:sz w:val="1"/>
                <w:szCs w:val="1"/>
                <w:color w:val="auto"/>
              </w:rPr>
            </w:pPr>
          </w:p>
        </w:tc>
      </w:tr>
      <w:tr>
        <w:trPr>
          <w:trHeight w:val="20"/>
        </w:trPr>
        <w:tc>
          <w:tcPr>
            <w:tcW w:w="69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-25400</wp:posOffset>
            </wp:positionV>
            <wp:extent cx="6032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032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Operating Activities</w:t>
      </w:r>
    </w:p>
    <w:p>
      <w:pPr>
        <w:spacing w:after="0" w:line="11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was $35.4 million during the six months ended June 30, 2025, primarily as a result of a net loss of $164.4 million, offset by non-cash charges of $198.5 million. The non-cash charges were primarily comprised of $176.5 million in goodwill impairment charges recorded during the six months ended June 30, 2025, a gain on remeasurement of the TRA of $17.8 million, amortization of intangible assets of $26.7 million, a decrease in deferred taxes of $10.6 million, equity compensation costs of $14.3 million, amortization of deferred contract costs of $7.9 million, and a $0.5 million loss on the extinguishment of debt. The net increase in operating assets and liabilities of $1.2 million for the six months ended June 30, 2025 was primarily driven by cash inflows resulting from a decrease in accounts receivable of $15.9 million, and an increase in deferred revenue of $8.0 million due to the timing of billings and cash received in advance of revenue recognition for subscription services. These factors were partially offset by cash outflows resulting from lower accounts payable, accrued expenses, and other liabilities, collectively, of $12.1 million, an increase in deferred contract costs of $6.3 million, and an increase in prepaid expenses and other assets of $4.2 million.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(Used in) Investing Activities</w:t>
      </w:r>
    </w:p>
    <w:p>
      <w:pPr>
        <w:spacing w:after="0" w:line="11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Cash provided by investing activities during the six months ended June 30, 2025 was $73.4 million, driven primarily by $147.4 million in maturities of short-term investments, partially offset by $64.1 million in purchases of short-term investments, and $10.0 million in purchases of property (including software), equipment, and data assets.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Financing Activities</w:t>
      </w:r>
    </w:p>
    <w:p>
      <w:pPr>
        <w:spacing w:after="0" w:line="11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during the six months ended June 30, 2025 was $134.4 million, driven by net repayments of the 2021 Term Loan (as defined below) of $73.4 million, payments of $40.2 million for repurchases of our Class A Common Stock, including commissions, payments of $13.8 million under the TRA, taxes paid related to the net share settlement of equity awards of $2.5 million, distributions to members of $2.8 million, and payments of debt issuance costs of $1.7 million.</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Debt Obligations</w:t>
      </w:r>
      <w:r>
        <w:rPr>
          <w:rFonts w:ascii="Times New Roman" w:cs="Times New Roman" w:eastAsia="Times New Roman" w:hAnsi="Times New Roman"/>
          <w:sz w:val="18"/>
          <w:szCs w:val="18"/>
          <w:color w:val="auto"/>
        </w:rPr>
        <w:t xml:space="preserve"> for additional information related to our debt obligations.</w:t>
      </w:r>
    </w:p>
    <w:p>
      <w:pPr>
        <w:spacing w:after="0" w:line="11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4" w:right="3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Debt Obligations</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September 2021, DH Holdings entered into a credit agreement (the “2021 Credit Agreement”) with Bank of America, N.A., as administrative agent, the other lenders party thereto and the other parties specified therein. On January 16, 2025 (the “Closing Date”), DH Holdings entered into an amendment to the credit agreement (the “DH Holdings Credit Agreement Amendment”), dated as of September 17, 2021 (as amended by Amendment No. 1, dated as of October 31, 2022, and as further amended, supplemented or otherwise modified from time to time prior to the date hereof, the “Existing Credit Agreement,” and as further amended by the DH Holdings Credit Agreement Amendment, the “DH Holdings Credit Agreement”), with Bank of America, N.A., as administrative agent, the lenders party thereto and the other parties specified therein.</w:t>
      </w:r>
    </w:p>
    <w:p>
      <w:pPr>
        <w:spacing w:after="0" w:line="7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DH Holdings Credit Agreement Amendment provides for (i) a $175.0 million term loan facility (the “Term Facility”) and (ii) a $50.0 million revolving credit facility (the “Revolving Credit Facility” and, together with the Term Facility, collectively, the “Facilities”), the proceeds of which were used to, among other things, repay the remaining portion of the indebtedness outstanding under the Existing Credit Agreement, and to pay related fees and expenses.</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loans under the Term Facility and the Revolving Credit Facility mature on January 16, 2030. The Facilities are guaranteed, subject to customary exceptions, by all of DH Holdings’ wholly-owned domestic restricted subsidiaries and AIDH Buyer, LLC, a Delaware limited liability company and the direct parent company of DH Holdings (“Holdings”), and are secured by associated collateral agreements that pledge a lien on substantially all of DH Holdings’ assets, including fixed assets and intangibles, and the assets of the guarantors, in each case, subject to customary exceptions (the “Pledged Assets”). As of June 30, 2025, the Pledged Assets of these subsidiaries approximated $664.2 million, and the net assets of these subsidiaries approximated $351.7 million.</w:t>
      </w:r>
    </w:p>
    <w:p>
      <w:pPr>
        <w:spacing w:after="0" w:line="7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Term Facility is subject to amortization of principal, payable in quarterly installments on the last day of each fiscal quarter, commencing on the last day of the first full fiscal quarter after the Closing Date (the “Initial Amortization Date”), equal to 5.0% of the original principal amount of the term loans for each of the five years after the Initial Amortization Date. The remaining initial aggregate advances under the Term Facility are payable at the maturity of the Term Facility.</w:t>
      </w:r>
    </w:p>
    <w:p>
      <w:pPr>
        <w:spacing w:after="0" w:line="7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was no outstanding balance on the Revolving Credit Facility as of June 30, 2025, though we provided a standby letter of credit of $0.3 million to the lessor of our corporate headquarters in lieu of a security deposit, reducing the amount available under our Revolving Credit Facility to $49.7 million.</w:t>
      </w:r>
    </w:p>
    <w:p>
      <w:pPr>
        <w:spacing w:after="0" w:line="54"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 xml:space="preserve">The 2021 Credit Agreement, as amended, includes certain financial covenants for which we were compliant as of June 30, 2025 and December 31, 2024. Refer to Note 10.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to our accompanying unaudited condensed consolidated financial statements for further information.</w:t>
      </w:r>
    </w:p>
    <w:p>
      <w:pPr>
        <w:spacing w:after="0" w:line="54"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In connection with the DH Holdings Credit Agreement Amendment, we repaid $69.1 million of outstanding principal amount of the Term Facility and reduced our borrowing capacity under the Revolving Credit Facility by $25.0 million. As a result, we incurred a loss on partial extinguishment of debt of $0.5 million during the first quarter of 2025 attributed to the derecognition of a proportionate amount of the unamortized debt discount, a result of repaying the $69.1 million of outstanding principal on the Term Facility and reducing our Revolving Credit Facility. In addition, we capitalized financing costs totaling $1.7 million, of which $1.2 million related to the Term Facility and $0.5 million related to the Revolving Line of Credit. The financing costs associated with the Term Facility are recorded as a contra-debt balance in term loan, net of current portion in the consolidated balance sheets and are amortized over the remaining life of the loan using the effective interest method. The financing costs associated with the Revolving Line of Credit are recorded in other assets in the unaudited condensed consolidated balance sheets are amortized over the life of the arrangement. At June 30, 2025 and December 31, 2024, the unamortized financing costs were $0.5 million and $0.3 million,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Obligations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Financing obligations generally include repayment of principal amounts of the 2021 Term Loan, lease payments, and purchase obligations. With the exception of the DH Holdings Credit Agreement Amendment as described under </w:t>
      </w:r>
      <w:r>
        <w:rPr>
          <w:rFonts w:ascii="Times New Roman" w:cs="Times New Roman" w:eastAsia="Times New Roman" w:hAnsi="Times New Roman"/>
          <w:sz w:val="18"/>
          <w:szCs w:val="18"/>
          <w:i w:val="1"/>
          <w:iCs w:val="1"/>
          <w:color w:val="auto"/>
        </w:rPr>
        <w:t>Debt Obligations</w:t>
      </w:r>
      <w:r>
        <w:rPr>
          <w:rFonts w:ascii="Times New Roman" w:cs="Times New Roman" w:eastAsia="Times New Roman" w:hAnsi="Times New Roman"/>
          <w:sz w:val="18"/>
          <w:szCs w:val="18"/>
          <w:color w:val="auto"/>
        </w:rPr>
        <w:t xml:space="preserve">, there have been no material changes to our financing obligations during the six months ended June 30, 2025. Refer to Note 5.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and Note 14.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our consolidated financial statements included in our 2024 Form 10-K for further information.</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Programs</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In May 2024, our Board authorized a stock repurchase program of up to $20.0 million of our Class A Common Stock, which expired on December 31, 2024 (the “2024 Repurchase Program”). On November 1, 2024, our Board announced a new stock repurchase program (the “2025 Repurchase Program” and, together with the 2024 Repurchase Program, the “Repurchase Programs”) of our Class A Common Stock authorizing up to $100.0 million in share repurchases. The 2025 Repurchase Program expires on December 31, 2025 and became effective upon the expiration or completion of the 2024 Repurchase Program. Repurchases may be effected, from time to time, either on the open market (including pre-set trading plans), in privately negotiated transactions, and other transactions in accordance with applicable securities laws.</w:t>
      </w:r>
    </w:p>
    <w:p>
      <w:pPr>
        <w:spacing w:after="0" w:line="7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timing and the amount of any repurchased Class A Common Stock will be determined by our management based on its evaluation of market conditions and other factors. The repurchase program will be funded using our working capital. Any repurchased shares of Class A Common Stock will be retired. The repurchase program does not obligate us to acquire any particular amount of Class A Common Stock, and the repurchase program may be suspended or discontinued at any time at our discretion. As of June 30, 2025, an aggregate of 16.3 million shares of Class A Common Stock have been repurchased under the Repurchase Programs.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connection with the Reorganization Transactions and the IPO, the Company entered into the TRA with certain of our pre- IPO unitholders and the former shareholders of certain Blocker Companies. The TRA provides for the payment by Definitive Healthcare Corp. of 85% of the amount of any tax benefits that it actually realizes, or in some cases is deemed to realize, as a result of (i) certain tax attributes that it acquired from the Blocker Companies in the Reorganization Transactions (including net operating losses and the unamortized portion of the increase in tax basis in the tangible and intangible assets of Definitive OpCo and its subsidiaries resulting from the prior acquisitions of interests in Definitive OpCo by the Blocker Companies), (ii) certain tax basis adjustments resulting from the acquisition of LLC Units by Definitive Healthcare Corp., and (iii) certain payments made under the TRA.</w:t>
      </w:r>
    </w:p>
    <w:p>
      <w:pPr>
        <w:spacing w:after="0" w:line="7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each case, these tax basis adjustments generated over time may increase (for tax purposes) the Definitive Healthcare Corp.’s depreciation and amortization deductions and, therefore, may reduce the amount of tax that the Definitive Healthcare Corp. would otherwise be required to pay in the future, although the IRS may challenge all or part of the validity of that tax basis, and a court could sustain such a challenge. The anticipated tax basis adjustments upon redemptions or exchanges of LLC Units may also decrease gains (or increase losses) on future dispositions of certain assets to the extent tax basis is allocated to those assets. The payment obligations under the TRA are an obligation of Definitive Healthcare Corp., but not of Definitive OpCo. Definitive Healthcare Corp. expects to benefit from the remaining 15% of realized cash tax benefits. For purposes of the TRA, the realized cash tax benefits will be computed by comparing the actual income tax liability of Definitive Healthcare Corp. (calculated with certain assumptions) to the amount of such taxes that Definitive Healthcare Corp. would have been required to pay had there been no tax basis adjustments of the assets of Definitive Healthcare Corp. as a result of redemptions or exchanges and no utilization of certain tax attributes of the Blocker Companies, and had Definitive Healthcare Corp. not entered into the TRA. The term of the TRA will continue until all such tax benefits have been utilized or expired, unless (i) Definitive Healthcare Corp. exercises its right to terminate the TRA for an amount based on the agreed payments remaining to be made under the agreement, (ii) Definitive Healthcare Corp. breaches any of its material obligations under the TRA in which case all obligations (including any additional interest due relating to any deferred payments) generally will be accelerated and due as if Definitive Healthcare Corp. had exercised its right to terminate the TRA, or (iii) there is a change of control of Definitive Healthcare Corp., in which case, all obligations (including any additional interest due relating to any deferred payments) generally will be accelerated and due as if Definitive Healthcare Corp. had exercised its right to terminate the TRA as described above in clause (i). Estimating the amount of payments that may be made under the TRA is by its nature imprecise, insofar as the calculation of amounts payable depends on a variety of factors. The amount of the anticipated tax basis adjustments, as well as the amount and timing of any payments under the TRA, will vary depending upon a number of factors, including the timing of exchanges, the price of shares of our Class A Common Stock at the time of an exchange, the extent to which such exchanges are taxable, the amount of tax attributes, and the amount and timing of our income.</w:t>
      </w:r>
    </w:p>
    <w:p>
      <w:pPr>
        <w:spacing w:after="0" w:line="83"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We expect that as a result of the size of the anticipated tax basis adjustment of the tangible and intangible assets of Definitive OpCo upon the exchange or redemption of LLC Units and our possible utilization of certain tax attributes, the payments that Definitive Healthcare Corp. may make under the TRA will be substantial. The payments under the TRA are not conditioned upon continued ownership of us by the exchanging holders of LLC Units. See Note 16.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to our accompanying unaudited condensed consolidated financial statements.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As a requirement of our lease agreement for our corporate headquarters, in lieu of a security deposit, we provided a standby letter of credit of $0.3 million, which is effective through March 2038.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Capital expenditures increased by $9.3 million to $10.0 million for the six months ended June 30, 2025 compared to $0.7 million for the same period in the prior year, primarily driven by higher spend on software and data assets in the current year compared with the comparable prior year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unaudited condensed consolidated financial statements have been prepared in accordance with U.S. GAAP, which requires us to make estimates and assumptions that affect reported amounts. The estimates and assumptions are based on historical experience and on other factors that we believe to be reasonable. Actual results may differ from those estimates. We review these estimates on a periodic basis to ensure reasonableness. Although actual amounts may differ from such estimated amounts, we believe such differences are not likely to be material. For additional detail regarding our critical accounting policies and estimates including business combinations, goodwill and indefinite-lived intangible assets, and income taxes, see our discussion for the year ended December 31, 2024 included in our 2024 Form 10-K. There have been no material changes to these policies or estimates as of June 30,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new accounting pronouncements described under “—Recently Issued Accounting Pronouncements Not Yet Adopted” within Note 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Organization and Basis of Presentation </w:t>
      </w:r>
      <w:r>
        <w:rPr>
          <w:rFonts w:ascii="Times New Roman" w:cs="Times New Roman" w:eastAsia="Times New Roman" w:hAnsi="Times New Roman"/>
          <w:sz w:val="18"/>
          <w:szCs w:val="18"/>
          <w:color w:val="auto"/>
        </w:rPr>
        <w:t>to our accompanying unaudited condensed consolidated financial statements.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Market risk represents the risk of loss that may impact our financial condition due to adverse changes in financial market prices and rates. Our market risk exposure is primarily a result of exposure due to potential changes in inflation, interest rates, or currency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do not believe inflation has had a material effect on our business, financial condition, or results of operations. However, if our costs were to become subject to significant inflationary pressures, we may not be able to fully offset higher costs through price increases and our inability or failure to do so could potentially harm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Our cash, cash equivalents, and short-term investments primarily consist of cash on hand and highly liquid investments in money market funds, U.S. government securities, and commercial paper. As of June 30, 2025, we had cash and cash equivalents of $81.0 million and short-term investments of $103.2 million.</w:t>
      </w:r>
    </w:p>
    <w:p>
      <w:pPr>
        <w:spacing w:after="0" w:line="68"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Our operating results are subject to market risk from interest rate fluctuations on our 2021 Term Loan, which bears a variable interest rate based on the Secured Overnight Financing Rate (“SOFR”) or a Base Rate plus an applicable margin. In order to reduce the interest rate risk on our debt, we have entered into an interest rate cap agreement on a portion of our borrowings. As of June 30, 2025, the total principal balance outstanding was $170.6 million. Excluding the effect of the interest rate cap agreement, a hypothetical 1.0% increase or decrease in the interest rate associated with borrowings under the 2021 Credit Agreement would have resulted in an impact to interest expense of approximately $0.9 million for the six months ended June 30,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To date, the majority of our sales contracts have been denominated in U.S. dollars. We have one foreign entity established in Sweden and one in India. The functional currencies of these foreign subsidiaries are the Swedish Krona and the Indian Rupee, respectively. Assets and liabilities of the foreign subsidiaries are translated into U.S. dollars at the exchange rates in effect at the reporting date and revenue and expenses are translated at average exchange rates in effect during each reporting period. Realized and unrealized foreign currency transaction gains and losses are recorded to non-operating loss. As the impact of foreign currency exchange rates has not been material to our historical results of operations, we have not entered into derivative or hedging transactions, but we may do so in the future if our exposure to foreign currency becomes more significant.</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of June 30, 2025, our management carried out an evaluation, under the supervision and participation of our Chief Executive Officer (principal executive officer) and our Chief Financial Officer (principal financial officer), of the effectiveness of the design of our disclosure controls and procedures (as defined in Rules 13a-15(e) and 15d-15(e) under the Securities Exchange Act of 1934, as amended (“Exchange Act”)). Based on such evaluation, our Chief Executive Officer and Chief Financial Officer have concluded that our disclosure controls and procedures were effective as of June 30, 2025 to provide reasonable assurance that information to be disclosed by us in the reports that we file or submit under the Exchange Act is (i) recorded, processed, summarized, and reported within the time periods specified in the rules and forms of the SEC, and (ii) accumulated and communicated to management, including our principal executive and principal financial officers or persons performing similar functions, as appropriate to allow timely decisions regarding disclosure.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connection with the evaluation required by Rule 13a-15(d) and 15d-15(d) of the Exchange Act that occurred during the fiscal quarter ended June 30, 2025 that has materially affected, or is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 and Procedures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 not expect that our disclosure controls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57" w:name="page58"/>
    <w:bookmarkEnd w:id="5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are subject to various legal proceedings, claims, and governmental inspections, audits, or investigations that arise in the ordinary course of our business. Although the outcomes of these matters cannot be predicted with certainty, in the opinion of management, the ultimate resolution of these matters would not be expected to have a material adverse effect on our financial position, results of operations, or cash flows.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For a more detailed discussion of our risks and uncertainties, see also Part I, Item 1A, “Risk Factors,” in our 2024 Form 10-K. There have been no material changes in our risk factors since the filing of our 2024 Form 10-K.</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Pursuant to the terms of the Amended LLC Agreement, holders of LLC Units have the right to exchange all or a portion of their LLC Units for newly issued shares of Class A Common Stock on a one-for-one basis, which issuances are made in reliance on Section 4(a)(2) of the Securities Act. Upon any such exchange, a corresponding number of shares of Class B Common Stock held by such LLC Unit holders are cancelled. Such exchanges executed in the three months ended June 30, 2025 are as follows:</w:t>
      </w:r>
    </w:p>
    <w:p>
      <w:pPr>
        <w:spacing w:after="0" w:line="176" w:lineRule="exact"/>
        <w:rPr>
          <w:sz w:val="20"/>
          <w:szCs w:val="20"/>
          <w:color w:val="auto"/>
        </w:rPr>
      </w:pPr>
    </w:p>
    <w:tbl>
      <w:tblPr>
        <w:tblLayout w:type="fixed"/>
        <w:tblInd w:w="282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Number of Shares</w:t>
            </w:r>
          </w:p>
        </w:tc>
      </w:tr>
      <w:tr>
        <w:trPr>
          <w:trHeight w:val="238"/>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Date of Exchange</w:t>
            </w:r>
          </w:p>
        </w:tc>
        <w:tc>
          <w:tcPr>
            <w:tcW w:w="200" w:type="dxa"/>
            <w:vAlign w:val="bottom"/>
          </w:tcPr>
          <w:p>
            <w:pPr>
              <w:spacing w:after="0"/>
              <w:rPr>
                <w:sz w:val="20"/>
                <w:szCs w:val="20"/>
                <w:color w:val="auto"/>
              </w:rPr>
            </w:pPr>
          </w:p>
        </w:tc>
        <w:tc>
          <w:tcPr>
            <w:tcW w:w="20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Exchanged</w:t>
            </w:r>
          </w:p>
        </w:tc>
        <w:tc>
          <w:tcPr>
            <w:tcW w:w="80" w:type="dxa"/>
            <w:vAlign w:val="bottom"/>
          </w:tcPr>
          <w:p>
            <w:pPr>
              <w:spacing w:after="0"/>
              <w:rPr>
                <w:sz w:val="20"/>
                <w:szCs w:val="20"/>
                <w:color w:val="auto"/>
              </w:rPr>
            </w:pPr>
          </w:p>
        </w:tc>
      </w:tr>
      <w:tr>
        <w:trPr>
          <w:trHeight w:val="210"/>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May 12, 2025</w:t>
            </w:r>
          </w:p>
        </w:tc>
        <w:tc>
          <w:tcPr>
            <w:tcW w:w="2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80" w:type="dxa"/>
            <w:vAlign w:val="bottom"/>
            <w:shd w:val="clear" w:color="auto" w:fill="CFF0FC"/>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June 16, 2025</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486,827</w:t>
            </w:r>
          </w:p>
        </w:tc>
        <w:tc>
          <w:tcPr>
            <w:tcW w:w="80" w:type="dxa"/>
            <w:vAlign w:val="bottom"/>
          </w:tcPr>
          <w:p>
            <w:pPr>
              <w:spacing w:after="0"/>
              <w:rPr>
                <w:sz w:val="18"/>
                <w:szCs w:val="18"/>
                <w:color w:val="auto"/>
              </w:rPr>
            </w:pPr>
          </w:p>
        </w:tc>
      </w:tr>
      <w:tr>
        <w:trPr>
          <w:trHeight w:val="249"/>
        </w:trPr>
        <w:tc>
          <w:tcPr>
            <w:tcW w:w="32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CFF0FC"/>
              <w:bottom w:val="single" w:sz="8" w:color="CFF0FC"/>
            </w:tcBorders>
            <w:shd w:val="clear" w:color="auto" w:fill="CFF0FC"/>
          </w:tcPr>
          <w:p>
            <w:pPr>
              <w:spacing w:after="0"/>
              <w:rPr>
                <w:sz w:val="21"/>
                <w:szCs w:val="21"/>
                <w:color w:val="auto"/>
              </w:rPr>
            </w:pPr>
          </w:p>
        </w:tc>
        <w:tc>
          <w:tcPr>
            <w:tcW w:w="2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601,827</w:t>
            </w: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-25400</wp:posOffset>
            </wp:positionV>
            <wp:extent cx="431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431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-170815</wp:posOffset>
            </wp:positionV>
            <wp:extent cx="431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table sets forth certain information with respect to repurchases of our Class A Common Stock during the quarter ended June 30, 2025.</w:t>
      </w:r>
    </w:p>
    <w:p>
      <w:pPr>
        <w:spacing w:after="0" w:line="23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ISSUER PURCHASES OF EQUITY SECURITIES</w:t>
      </w:r>
    </w:p>
    <w:p>
      <w:pPr>
        <w:spacing w:after="0" w:line="27"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3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920" w:type="dxa"/>
            <w:vAlign w:val="bottom"/>
            <w:tcBorders>
              <w:top w:val="single" w:sz="8" w:color="auto"/>
            </w:tcBorders>
            <w:gridSpan w:val="2"/>
          </w:tcPr>
          <w:p>
            <w:pPr>
              <w:jc w:val="center"/>
              <w:ind w:right="180"/>
              <w:spacing w:after="0" w:line="188" w:lineRule="exact"/>
              <w:rPr>
                <w:sz w:val="20"/>
                <w:szCs w:val="20"/>
                <w:color w:val="auto"/>
              </w:rPr>
            </w:pPr>
            <w:r>
              <w:rPr>
                <w:rFonts w:ascii="Times New Roman" w:cs="Times New Roman" w:eastAsia="Times New Roman" w:hAnsi="Times New Roman"/>
                <w:sz w:val="18"/>
                <w:szCs w:val="18"/>
                <w:b w:val="1"/>
                <w:bCs w:val="1"/>
                <w:color w:val="auto"/>
              </w:rPr>
              <w:t>Total Number of</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880" w:type="dxa"/>
            <w:vAlign w:val="bottom"/>
            <w:tcBorders>
              <w:top w:val="single" w:sz="8" w:color="auto"/>
            </w:tcBorders>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Approximate Dollar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1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9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Shares Purchased as</w:t>
            </w:r>
          </w:p>
        </w:tc>
        <w:tc>
          <w:tcPr>
            <w:tcW w:w="120" w:type="dxa"/>
            <w:vAlign w:val="bottom"/>
          </w:tcPr>
          <w:p>
            <w:pPr>
              <w:spacing w:after="0"/>
              <w:rPr>
                <w:sz w:val="18"/>
                <w:szCs w:val="18"/>
                <w:color w:val="auto"/>
              </w:rPr>
            </w:pPr>
          </w:p>
        </w:tc>
        <w:tc>
          <w:tcPr>
            <w:tcW w:w="21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Value of Shares that May</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00" w:type="dxa"/>
            <w:vAlign w:val="bottom"/>
            <w:gridSpan w:val="3"/>
            <w:vMerge w:val="continue"/>
          </w:tcPr>
          <w:p>
            <w:pPr>
              <w:spacing w:after="0"/>
              <w:rPr>
                <w:sz w:val="9"/>
                <w:szCs w:val="9"/>
                <w:color w:val="auto"/>
              </w:rPr>
            </w:pPr>
          </w:p>
        </w:tc>
        <w:tc>
          <w:tcPr>
            <w:tcW w:w="1460" w:type="dxa"/>
            <w:vAlign w:val="bottom"/>
            <w:gridSpan w:val="3"/>
            <w:vMerge w:val="continue"/>
          </w:tcPr>
          <w:p>
            <w:pPr>
              <w:spacing w:after="0"/>
              <w:rPr>
                <w:sz w:val="9"/>
                <w:szCs w:val="9"/>
                <w:color w:val="auto"/>
              </w:rPr>
            </w:pPr>
          </w:p>
        </w:tc>
        <w:tc>
          <w:tcPr>
            <w:tcW w:w="1920" w:type="dxa"/>
            <w:vAlign w:val="bottom"/>
            <w:gridSpan w:val="2"/>
            <w:vMerge w:val="restart"/>
          </w:tcPr>
          <w:p>
            <w:pPr>
              <w:jc w:val="center"/>
              <w:ind w:right="180"/>
              <w:spacing w:after="0" w:line="196" w:lineRule="exact"/>
              <w:rPr>
                <w:sz w:val="20"/>
                <w:szCs w:val="20"/>
                <w:color w:val="auto"/>
              </w:rPr>
            </w:pPr>
            <w:r>
              <w:rPr>
                <w:rFonts w:ascii="Times New Roman" w:cs="Times New Roman" w:eastAsia="Times New Roman" w:hAnsi="Times New Roman"/>
                <w:sz w:val="18"/>
                <w:szCs w:val="18"/>
                <w:b w:val="1"/>
                <w:bCs w:val="1"/>
                <w:color w:val="auto"/>
              </w:rPr>
              <w:t>Part of Publicly</w:t>
            </w:r>
          </w:p>
        </w:tc>
        <w:tc>
          <w:tcPr>
            <w:tcW w:w="120" w:type="dxa"/>
            <w:vAlign w:val="bottom"/>
          </w:tcPr>
          <w:p>
            <w:pPr>
              <w:spacing w:after="0"/>
              <w:rPr>
                <w:sz w:val="9"/>
                <w:szCs w:val="9"/>
                <w:color w:val="auto"/>
              </w:rPr>
            </w:pPr>
          </w:p>
        </w:tc>
        <w:tc>
          <w:tcPr>
            <w:tcW w:w="2140" w:type="dxa"/>
            <w:vAlign w:val="bottom"/>
            <w:gridSpan w:val="3"/>
            <w:vMerge w:val="restart"/>
          </w:tcPr>
          <w:p>
            <w:pPr>
              <w:jc w:val="center"/>
              <w:ind w:right="140"/>
              <w:spacing w:after="0" w:line="196" w:lineRule="exact"/>
              <w:rPr>
                <w:sz w:val="20"/>
                <w:szCs w:val="20"/>
                <w:color w:val="auto"/>
              </w:rPr>
            </w:pPr>
            <w:r>
              <w:rPr>
                <w:rFonts w:ascii="Times New Roman" w:cs="Times New Roman" w:eastAsia="Times New Roman" w:hAnsi="Times New Roman"/>
                <w:sz w:val="18"/>
                <w:szCs w:val="18"/>
                <w:b w:val="1"/>
                <w:bCs w:val="1"/>
                <w:color w:val="auto"/>
              </w:rPr>
              <w:t>Yet Be Purchased Under</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3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14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Paid Per Share</w:t>
            </w:r>
          </w:p>
        </w:tc>
        <w:tc>
          <w:tcPr>
            <w:tcW w:w="19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21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3"/>
            <w:vMerge w:val="continue"/>
          </w:tcPr>
          <w:p>
            <w:pPr>
              <w:spacing w:after="0"/>
              <w:rPr>
                <w:sz w:val="18"/>
                <w:szCs w:val="18"/>
                <w:color w:val="auto"/>
              </w:rPr>
            </w:pPr>
          </w:p>
        </w:tc>
        <w:tc>
          <w:tcPr>
            <w:tcW w:w="1460" w:type="dxa"/>
            <w:vAlign w:val="bottom"/>
            <w:gridSpan w:val="3"/>
            <w:vMerge w:val="continue"/>
          </w:tcPr>
          <w:p>
            <w:pPr>
              <w:spacing w:after="0"/>
              <w:rPr>
                <w:sz w:val="18"/>
                <w:szCs w:val="18"/>
                <w:color w:val="auto"/>
              </w:rPr>
            </w:pPr>
          </w:p>
        </w:tc>
        <w:tc>
          <w:tcPr>
            <w:tcW w:w="1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120" w:type="dxa"/>
            <w:vAlign w:val="bottom"/>
          </w:tcPr>
          <w:p>
            <w:pPr>
              <w:spacing w:after="0"/>
              <w:rPr>
                <w:sz w:val="18"/>
                <w:szCs w:val="18"/>
                <w:color w:val="auto"/>
              </w:rPr>
            </w:pPr>
          </w:p>
        </w:tc>
        <w:tc>
          <w:tcPr>
            <w:tcW w:w="2140" w:type="dxa"/>
            <w:vAlign w:val="bottom"/>
            <w:gridSpan w:val="3"/>
          </w:tcPr>
          <w:p>
            <w:pPr>
              <w:jc w:val="center"/>
              <w:ind w:right="100"/>
              <w:spacing w:after="0" w:line="216" w:lineRule="exact"/>
              <w:rPr>
                <w:sz w:val="20"/>
                <w:szCs w:val="20"/>
                <w:color w:val="auto"/>
              </w:rPr>
            </w:pPr>
            <w:r>
              <w:rPr>
                <w:rFonts w:ascii="Times New Roman" w:cs="Times New Roman" w:eastAsia="Times New Roman" w:hAnsi="Times New Roman"/>
                <w:sz w:val="18"/>
                <w:szCs w:val="18"/>
                <w:b w:val="1"/>
                <w:bCs w:val="1"/>
                <w:color w:val="auto"/>
                <w:w w:val="98"/>
              </w:rPr>
              <w:t xml:space="preserve">the Plans or Programs </w:t>
            </w:r>
            <w:r>
              <w:rPr>
                <w:rFonts w:ascii="Times New Roman" w:cs="Times New Roman" w:eastAsia="Times New Roman" w:hAnsi="Times New Roman"/>
                <w:sz w:val="24"/>
                <w:szCs w:val="24"/>
                <w:b w:val="1"/>
                <w:bCs w:val="1"/>
                <w:color w:val="auto"/>
                <w:w w:val="98"/>
                <w:vertAlign w:val="superscript"/>
              </w:rPr>
              <w:t>(1)</w:t>
            </w:r>
          </w:p>
        </w:tc>
        <w:tc>
          <w:tcPr>
            <w:tcW w:w="0" w:type="dxa"/>
            <w:vAlign w:val="bottom"/>
          </w:tcPr>
          <w:p>
            <w:pPr>
              <w:spacing w:after="0"/>
              <w:rPr>
                <w:sz w:val="1"/>
                <w:szCs w:val="1"/>
                <w:color w:val="auto"/>
              </w:rPr>
            </w:pPr>
          </w:p>
        </w:tc>
      </w:tr>
      <w:tr>
        <w:trPr>
          <w:trHeight w:val="258"/>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Period</w:t>
            </w: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920" w:type="dxa"/>
            <w:vAlign w:val="bottom"/>
            <w:gridSpan w:val="2"/>
          </w:tcPr>
          <w:p>
            <w:pPr>
              <w:jc w:val="center"/>
              <w:ind w:right="140"/>
              <w:spacing w:after="0" w:line="258" w:lineRule="exact"/>
              <w:rPr>
                <w:sz w:val="20"/>
                <w:szCs w:val="20"/>
                <w:color w:val="auto"/>
              </w:rPr>
            </w:pPr>
            <w:r>
              <w:rPr>
                <w:rFonts w:ascii="Times New Roman" w:cs="Times New Roman" w:eastAsia="Times New Roman" w:hAnsi="Times New Roman"/>
                <w:sz w:val="18"/>
                <w:szCs w:val="18"/>
                <w:b w:val="1"/>
                <w:bCs w:val="1"/>
                <w:color w:val="auto"/>
                <w:w w:val="94"/>
              </w:rPr>
              <w:t xml:space="preserve">Programs </w:t>
            </w:r>
            <w:r>
              <w:rPr>
                <w:rFonts w:ascii="Times New Roman" w:cs="Times New Roman" w:eastAsia="Times New Roman" w:hAnsi="Times New Roman"/>
                <w:sz w:val="24"/>
                <w:szCs w:val="24"/>
                <w:b w:val="1"/>
                <w:bCs w:val="1"/>
                <w:color w:val="auto"/>
                <w:w w:val="94"/>
                <w:vertAlign w:val="superscript"/>
              </w:rPr>
              <w:t>(1)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April 1 - April 30, 2025</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2,320,497</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2.55</w:t>
            </w:r>
          </w:p>
        </w:tc>
        <w:tc>
          <w:tcPr>
            <w:tcW w:w="1920" w:type="dxa"/>
            <w:vAlign w:val="bottom"/>
            <w:gridSpan w:val="2"/>
            <w:shd w:val="clear" w:color="auto" w:fill="CFF0FC"/>
          </w:tcPr>
          <w:p>
            <w:pPr>
              <w:ind w:left="1060"/>
              <w:spacing w:after="0"/>
              <w:rPr>
                <w:sz w:val="20"/>
                <w:szCs w:val="20"/>
                <w:color w:val="auto"/>
              </w:rPr>
            </w:pPr>
            <w:r>
              <w:rPr>
                <w:rFonts w:ascii="Times New Roman" w:cs="Times New Roman" w:eastAsia="Times New Roman" w:hAnsi="Times New Roman"/>
                <w:sz w:val="18"/>
                <w:szCs w:val="18"/>
                <w:color w:val="auto"/>
              </w:rPr>
              <w:t>2,320,497</w:t>
            </w:r>
          </w:p>
        </w:tc>
        <w:tc>
          <w:tcPr>
            <w:tcW w:w="2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71,086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May 1 - May 31, 2025</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1,524,675</w:t>
            </w:r>
          </w:p>
        </w:tc>
        <w:tc>
          <w:tcPr>
            <w:tcW w:w="26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3.33</w:t>
            </w:r>
          </w:p>
        </w:tc>
        <w:tc>
          <w:tcPr>
            <w:tcW w:w="19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1,524,675</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1 - June 30, 2025</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2,113,965</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3.76</w:t>
            </w:r>
          </w:p>
        </w:tc>
        <w:tc>
          <w:tcPr>
            <w:tcW w:w="1920" w:type="dxa"/>
            <w:vAlign w:val="bottom"/>
            <w:gridSpan w:val="2"/>
            <w:shd w:val="clear" w:color="auto" w:fill="CFF0FC"/>
          </w:tcPr>
          <w:p>
            <w:pPr>
              <w:ind w:left="1060"/>
              <w:spacing w:after="0"/>
              <w:rPr>
                <w:sz w:val="20"/>
                <w:szCs w:val="20"/>
                <w:color w:val="auto"/>
              </w:rPr>
            </w:pPr>
            <w:r>
              <w:rPr>
                <w:rFonts w:ascii="Times New Roman" w:cs="Times New Roman" w:eastAsia="Times New Roman" w:hAnsi="Times New Roman"/>
                <w:sz w:val="18"/>
                <w:szCs w:val="18"/>
                <w:color w:val="auto"/>
              </w:rPr>
              <w:t>2,113,965</w:t>
            </w:r>
          </w:p>
        </w:tc>
        <w:tc>
          <w:tcPr>
            <w:tcW w:w="2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58,056</w:t>
            </w: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vMerge w:val="restart"/>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5,959,137</w:t>
            </w:r>
          </w:p>
        </w:tc>
        <w:tc>
          <w:tcPr>
            <w:tcW w:w="2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3.18</w:t>
            </w:r>
          </w:p>
        </w:tc>
        <w:tc>
          <w:tcPr>
            <w:tcW w:w="178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w w:val="97"/>
              </w:rPr>
              <w:t>5,959,137</w:t>
            </w:r>
          </w:p>
        </w:tc>
        <w:tc>
          <w:tcPr>
            <w:tcW w:w="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137160</wp:posOffset>
            </wp:positionV>
            <wp:extent cx="301752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spacing w:after="0" w:line="245" w:lineRule="exact"/>
        <w:rPr>
          <w:sz w:val="20"/>
          <w:szCs w:val="20"/>
          <w:color w:val="auto"/>
        </w:rPr>
      </w:pPr>
    </w:p>
    <w:p>
      <w:pPr>
        <w:ind w:left="760" w:right="20" w:hanging="452"/>
        <w:spacing w:after="0" w:line="289" w:lineRule="auto"/>
        <w:tabs>
          <w:tab w:leader="none" w:pos="76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7"/>
          <w:szCs w:val="17"/>
          <w:color w:val="auto"/>
        </w:rPr>
        <w:t>On November 1, 2024, our Board announced the 2025 Repurchase Program of our Class A Common Stock authorizing up to $100.0 million in share repurchases. The Repurchase Program expires on December 31, 2025. Repurchases may be effected, from time to time, either on the open market (including pre-set trading plans), in privately negotiated transactions, and other transactions in accordance with applicable securities laws.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Trading Arrangements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3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24"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Exhibits filed or furnished herewith are designated by an asterisk (*); all exhibits not so designated are incorporated by reference to a prior filing as indicated. Agreements included as exhibits are included only to provide information to investors regarding their terms. Agreements listed below may contain representations, warranties, and other provisions that were made, among other things, to provide the parties thereto with specified rights and obligations and to allocate risk among them, and no such agreement should be relied upon as constituting or providing any factual disclosures about Definitive Healthcare Corp., any other persons, any state of affairs, or other matters.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6500" w:type="dxa"/>
            <w:vAlign w:val="bottom"/>
            <w:gridSpan w:val="8"/>
          </w:tcPr>
          <w:p>
            <w:pPr>
              <w:ind w:left="11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73"/>
        </w:trPr>
        <w:tc>
          <w:tcPr>
            <w:tcW w:w="11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5"/>
                <w:szCs w:val="15"/>
                <w:color w:val="auto"/>
              </w:rPr>
            </w:pPr>
          </w:p>
        </w:tc>
        <w:tc>
          <w:tcPr>
            <w:tcW w:w="34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r>
      <w:tr>
        <w:trPr>
          <w:trHeight w:val="169"/>
        </w:trPr>
        <w:tc>
          <w:tcPr>
            <w:tcW w:w="116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4"/>
                <w:szCs w:val="14"/>
                <w:color w:val="auto"/>
              </w:rPr>
            </w:pPr>
          </w:p>
        </w:tc>
        <w:tc>
          <w:tcPr>
            <w:tcW w:w="9380" w:type="dxa"/>
            <w:vAlign w:val="bottom"/>
            <w:tcBorders>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379">
              <w:r>
                <w:rPr>
                  <w:rFonts w:ascii="Times New Roman" w:cs="Times New Roman" w:eastAsia="Times New Roman" w:hAnsi="Times New Roman"/>
                  <w:sz w:val="18"/>
                  <w:szCs w:val="18"/>
                  <w:color w:val="0000FF"/>
                  <w:w w:val="99"/>
                </w:rPr>
                <w:t>Amended and Restated Certificate of Incorporation of Definitive Healthcare Corp. (incorporated by reference to Exhibit 3.1 to the</w:t>
              </w:r>
            </w:hyperlink>
          </w:p>
        </w:tc>
        <w:tc>
          <w:tcPr>
            <w:tcW w:w="540" w:type="dxa"/>
            <w:vAlign w:val="bottom"/>
            <w:gridSpan w:val="4"/>
          </w:tcPr>
          <w:p>
            <w:pPr>
              <w:spacing w:after="0"/>
              <w:rPr>
                <w:sz w:val="14"/>
                <w:szCs w:val="14"/>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20" w:type="dxa"/>
            <w:vAlign w:val="bottom"/>
            <w:gridSpan w:val="9"/>
          </w:tcPr>
          <w:p>
            <w:pPr>
              <w:spacing w:after="0" w:line="196" w:lineRule="exact"/>
              <w:rPr>
                <w:rFonts w:ascii="Times New Roman" w:cs="Times New Roman" w:eastAsia="Times New Roman" w:hAnsi="Times New Roman"/>
                <w:sz w:val="18"/>
                <w:szCs w:val="18"/>
                <w:color w:val="0000FF"/>
              </w:rPr>
            </w:pPr>
            <w:hyperlink r:id="rId379">
              <w:r>
                <w:rPr>
                  <w:rFonts w:ascii="Times New Roman" w:cs="Times New Roman" w:eastAsia="Times New Roman" w:hAnsi="Times New Roman"/>
                  <w:sz w:val="18"/>
                  <w:szCs w:val="18"/>
                  <w:color w:val="0000FF"/>
                </w:rPr>
                <w:t>Company’s Quarterly Report on Form 10-Q (File No. 001-40815) filed with the SEC on November 8, 2021).</w:t>
              </w:r>
            </w:hyperlink>
          </w:p>
        </w:tc>
      </w:tr>
      <w:tr>
        <w:trPr>
          <w:trHeight w:val="20"/>
        </w:trPr>
        <w:tc>
          <w:tcPr>
            <w:tcW w:w="1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EE"/>
            </w:tcBorders>
            <w:shd w:val="clear" w:color="auto" w:fill="0000FF"/>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7"/>
                <w:szCs w:val="17"/>
                <w:color w:val="auto"/>
              </w:rPr>
            </w:pPr>
          </w:p>
        </w:tc>
        <w:tc>
          <w:tcPr>
            <w:tcW w:w="9920" w:type="dxa"/>
            <w:vAlign w:val="bottom"/>
            <w:gridSpan w:val="9"/>
          </w:tcPr>
          <w:p>
            <w:pPr>
              <w:spacing w:after="0" w:line="196" w:lineRule="exact"/>
              <w:rPr>
                <w:rFonts w:ascii="Times New Roman" w:cs="Times New Roman" w:eastAsia="Times New Roman" w:hAnsi="Times New Roman"/>
                <w:sz w:val="18"/>
                <w:szCs w:val="18"/>
                <w:color w:val="0000FF"/>
              </w:rPr>
            </w:pPr>
            <w:hyperlink r:id="rId380">
              <w:r>
                <w:rPr>
                  <w:rFonts w:ascii="Times New Roman" w:cs="Times New Roman" w:eastAsia="Times New Roman" w:hAnsi="Times New Roman"/>
                  <w:sz w:val="18"/>
                  <w:szCs w:val="18"/>
                  <w:color w:val="0000FF"/>
                </w:rPr>
                <w:t>Amended and Restated Bylaws of Definitive Healthcare Corp. (incorporated by reference to Exhibit 3.2 to the Company’s Quarterly</w:t>
              </w:r>
            </w:hyperlink>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33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20" w:type="dxa"/>
            <w:vAlign w:val="bottom"/>
            <w:gridSpan w:val="9"/>
          </w:tcPr>
          <w:p>
            <w:pPr>
              <w:spacing w:after="0" w:line="196" w:lineRule="exact"/>
              <w:rPr>
                <w:rFonts w:ascii="Times New Roman" w:cs="Times New Roman" w:eastAsia="Times New Roman" w:hAnsi="Times New Roman"/>
                <w:sz w:val="18"/>
                <w:szCs w:val="18"/>
                <w:color w:val="0000FF"/>
              </w:rPr>
            </w:pPr>
            <w:hyperlink r:id="rId380">
              <w:r>
                <w:rPr>
                  <w:rFonts w:ascii="Times New Roman" w:cs="Times New Roman" w:eastAsia="Times New Roman" w:hAnsi="Times New Roman"/>
                  <w:sz w:val="18"/>
                  <w:szCs w:val="18"/>
                  <w:color w:val="0000FF"/>
                </w:rPr>
                <w:t>Report on Form 10-Q (File No. 001-40815) filed with the SEC on November 8, 2021).</w:t>
              </w:r>
            </w:hyperlink>
          </w:p>
        </w:tc>
      </w:tr>
      <w:tr>
        <w:trPr>
          <w:trHeight w:val="20"/>
        </w:trPr>
        <w:tc>
          <w:tcPr>
            <w:tcW w:w="1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280" w:type="dxa"/>
            <w:vAlign w:val="bottom"/>
            <w:tcBorders>
              <w:right w:val="single" w:sz="8" w:color="0000EE"/>
            </w:tcBorders>
            <w:shd w:val="clear" w:color="auto" w:fill="0000FF"/>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60" w:type="dxa"/>
            <w:vAlign w:val="bottom"/>
          </w:tcPr>
          <w:p>
            <w:pPr>
              <w:spacing w:after="0"/>
              <w:rPr>
                <w:sz w:val="17"/>
                <w:szCs w:val="17"/>
                <w:color w:val="auto"/>
              </w:rPr>
            </w:pPr>
          </w:p>
        </w:tc>
        <w:tc>
          <w:tcPr>
            <w:tcW w:w="99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4620" w:type="dxa"/>
            <w:vAlign w:val="bottom"/>
            <w:gridSpan w:val="5"/>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462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60" w:type="dxa"/>
            <w:vAlign w:val="bottom"/>
          </w:tcPr>
          <w:p>
            <w:pPr>
              <w:spacing w:after="0"/>
              <w:rPr>
                <w:sz w:val="17"/>
                <w:szCs w:val="17"/>
                <w:color w:val="auto"/>
              </w:rPr>
            </w:pPr>
          </w:p>
        </w:tc>
        <w:tc>
          <w:tcPr>
            <w:tcW w:w="99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6160" w:type="dxa"/>
            <w:vAlign w:val="bottom"/>
            <w:gridSpan w:val="6"/>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482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60" w:type="dxa"/>
            <w:vAlign w:val="bottom"/>
          </w:tcPr>
          <w:p>
            <w:pPr>
              <w:spacing w:after="0"/>
              <w:rPr>
                <w:sz w:val="17"/>
                <w:szCs w:val="17"/>
                <w:color w:val="auto"/>
              </w:rPr>
            </w:pPr>
          </w:p>
        </w:tc>
        <w:tc>
          <w:tcPr>
            <w:tcW w:w="99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Pursuant to 18 U.S.C. Section 1350, as Adopted Pursuant to</w:t>
            </w: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6360" w:type="dxa"/>
            <w:vAlign w:val="bottom"/>
            <w:gridSpan w:val="7"/>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r>
      <w:tr>
        <w:trPr>
          <w:trHeight w:val="20"/>
        </w:trPr>
        <w:tc>
          <w:tcPr>
            <w:tcW w:w="1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6500" w:type="dxa"/>
            <w:vAlign w:val="bottom"/>
            <w:gridSpan w:val="8"/>
          </w:tcPr>
          <w:p>
            <w:pPr>
              <w:spacing w:after="0" w:line="20" w:lineRule="exact"/>
              <w:rPr>
                <w:sz w:val="1"/>
                <w:szCs w:val="1"/>
                <w:color w:val="auto"/>
              </w:rPr>
            </w:pPr>
          </w:p>
        </w:tc>
      </w:tr>
      <w:tr>
        <w:trPr>
          <w:trHeight w:val="21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60" w:type="dxa"/>
            <w:vAlign w:val="bottom"/>
          </w:tcPr>
          <w:p>
            <w:pPr>
              <w:spacing w:after="0"/>
              <w:rPr>
                <w:sz w:val="18"/>
                <w:szCs w:val="18"/>
                <w:color w:val="auto"/>
              </w:rPr>
            </w:pPr>
          </w:p>
        </w:tc>
        <w:tc>
          <w:tcPr>
            <w:tcW w:w="99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r>
      <w:tr>
        <w:trPr>
          <w:trHeight w:val="216"/>
        </w:trPr>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60" w:type="dxa"/>
            <w:vAlign w:val="bottom"/>
          </w:tcPr>
          <w:p>
            <w:pPr>
              <w:spacing w:after="0"/>
              <w:rPr>
                <w:sz w:val="20"/>
                <w:szCs w:val="20"/>
                <w:color w:val="auto"/>
              </w:rPr>
            </w:pPr>
          </w:p>
        </w:tc>
        <w:tc>
          <w:tcPr>
            <w:tcW w:w="99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bl>
    <w:p>
      <w:pPr>
        <w:ind w:left="1300" w:hanging="1292"/>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9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117" w:lineRule="exact"/>
        <w:rPr>
          <w:sz w:val="20"/>
          <w:szCs w:val="20"/>
          <w:color w:val="auto"/>
        </w:rPr>
      </w:pPr>
    </w:p>
    <w:p>
      <w:pPr>
        <w:ind w:right="140" w:firstLine="8"/>
        <w:spacing w:after="0" w:line="261" w:lineRule="auto"/>
        <w:tabs>
          <w:tab w:leader="none" w:pos="14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 attached as Exhibit 32.1 that accompanies this Quarterly Report is not deemed filed with the Securities and Exchange Commission and is not to be incorporated by reference into any filing of Definitive Healthcare Corp. under the Securities Act of 1933, as amended, or the Securities Exchange Act of 1934, as amended, whether made before or after the date of this Quarterly Report, irrespective of any general incorporation language contained in such filing.</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60" w:name="page61"/>
    <w:bookmarkEnd w:id="6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p>
        </w:tc>
        <w:tc>
          <w:tcPr>
            <w:tcW w:w="7960" w:type="dxa"/>
            <w:vAlign w:val="bottom"/>
            <w:gridSpan w:val="3"/>
          </w:tcPr>
          <w:p>
            <w:pPr>
              <w:ind w:left="2140"/>
              <w:spacing w:after="0"/>
              <w:rPr>
                <w:sz w:val="20"/>
                <w:szCs w:val="20"/>
                <w:color w:val="auto"/>
              </w:rPr>
            </w:pPr>
            <w:r>
              <w:rPr>
                <w:rFonts w:ascii="Times New Roman" w:cs="Times New Roman" w:eastAsia="Times New Roman" w:hAnsi="Times New Roman"/>
                <w:sz w:val="18"/>
                <w:szCs w:val="18"/>
                <w:color w:val="auto"/>
              </w:rPr>
              <w:t>DEFINITIVE HEALTHCARE CORP.</w:t>
            </w:r>
          </w:p>
        </w:tc>
      </w:tr>
      <w:tr>
        <w:trPr>
          <w:trHeight w:val="479"/>
        </w:trPr>
        <w:tc>
          <w:tcPr>
            <w:tcW w:w="27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5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/s/ Kevin Coop</w:t>
            </w:r>
          </w:p>
        </w:tc>
      </w:tr>
      <w:tr>
        <w:trPr>
          <w:trHeight w:val="229"/>
        </w:trPr>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August 7, 2025</w:t>
            </w:r>
          </w:p>
        </w:tc>
        <w:tc>
          <w:tcPr>
            <w:tcW w:w="322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Pr>
          <w:p>
            <w:pPr>
              <w:spacing w:after="0"/>
              <w:rPr>
                <w:sz w:val="19"/>
                <w:szCs w:val="19"/>
                <w:color w:val="auto"/>
              </w:rPr>
            </w:pPr>
          </w:p>
        </w:tc>
      </w:tr>
      <w:tr>
        <w:trPr>
          <w:trHeight w:val="189"/>
        </w:trPr>
        <w:tc>
          <w:tcPr>
            <w:tcW w:w="2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Date</w:t>
            </w:r>
          </w:p>
        </w:tc>
        <w:tc>
          <w:tcPr>
            <w:tcW w:w="2580" w:type="dxa"/>
            <w:vAlign w:val="bottom"/>
          </w:tcPr>
          <w:p>
            <w:pPr>
              <w:spacing w:after="0"/>
              <w:rPr>
                <w:sz w:val="16"/>
                <w:szCs w:val="16"/>
                <w:color w:val="auto"/>
              </w:rPr>
            </w:pPr>
          </w:p>
        </w:tc>
        <w:tc>
          <w:tcPr>
            <w:tcW w:w="6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474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Kevin Coop</w:t>
            </w:r>
          </w:p>
        </w:tc>
      </w:tr>
      <w:tr>
        <w:trPr>
          <w:trHeight w:val="236"/>
        </w:trPr>
        <w:tc>
          <w:tcPr>
            <w:tcW w:w="27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Executive Officer (</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r>
        <w:trPr>
          <w:trHeight w:val="466"/>
        </w:trPr>
        <w:tc>
          <w:tcPr>
            <w:tcW w:w="27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5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/s/ Casey Heller</w:t>
            </w:r>
          </w:p>
        </w:tc>
      </w:tr>
      <w:tr>
        <w:trPr>
          <w:trHeight w:val="229"/>
        </w:trPr>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August 7, 2025</w:t>
            </w:r>
          </w:p>
        </w:tc>
        <w:tc>
          <w:tcPr>
            <w:tcW w:w="322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Pr>
          <w:p>
            <w:pPr>
              <w:spacing w:after="0"/>
              <w:rPr>
                <w:sz w:val="19"/>
                <w:szCs w:val="19"/>
                <w:color w:val="auto"/>
              </w:rPr>
            </w:pPr>
          </w:p>
        </w:tc>
      </w:tr>
      <w:tr>
        <w:trPr>
          <w:trHeight w:val="189"/>
        </w:trPr>
        <w:tc>
          <w:tcPr>
            <w:tcW w:w="2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Date</w:t>
            </w:r>
          </w:p>
        </w:tc>
        <w:tc>
          <w:tcPr>
            <w:tcW w:w="2580" w:type="dxa"/>
            <w:vAlign w:val="bottom"/>
          </w:tcPr>
          <w:p>
            <w:pPr>
              <w:spacing w:after="0"/>
              <w:rPr>
                <w:sz w:val="16"/>
                <w:szCs w:val="16"/>
                <w:color w:val="auto"/>
              </w:rPr>
            </w:pPr>
          </w:p>
        </w:tc>
        <w:tc>
          <w:tcPr>
            <w:tcW w:w="6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474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Casey Heller</w:t>
            </w:r>
          </w:p>
        </w:tc>
      </w:tr>
      <w:tr>
        <w:trPr>
          <w:trHeight w:val="236"/>
        </w:trPr>
        <w:tc>
          <w:tcPr>
            <w:tcW w:w="27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Financial Officer (</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Management 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Kevin Coop, certify that:</w:t>
      </w:r>
    </w:p>
    <w:p>
      <w:pPr>
        <w:spacing w:after="0" w:line="225"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Definitive Healthcare Corp.;</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0" w:lineRule="exact"/>
        <w:rPr>
          <w:sz w:val="20"/>
          <w:szCs w:val="20"/>
          <w:color w:val="auto"/>
        </w:rPr>
      </w:pPr>
    </w:p>
    <w:p>
      <w:pPr>
        <w:spacing w:after="0"/>
        <w:tabs>
          <w:tab w:leader="none" w:pos="620" w:val="left"/>
          <w:tab w:leader="none" w:pos="6620" w:val="left"/>
        </w:tabs>
        <w:rPr>
          <w:sz w:val="20"/>
          <w:szCs w:val="20"/>
          <w:color w:val="auto"/>
        </w:rPr>
      </w:pPr>
      <w:r>
        <w:rPr>
          <w:rFonts w:ascii="Times New Roman" w:cs="Times New Roman" w:eastAsia="Times New Roman" w:hAnsi="Times New Roman"/>
          <w:sz w:val="18"/>
          <w:szCs w:val="18"/>
          <w:color w:val="auto"/>
        </w:rPr>
        <w:t>Date:</w:t>
        <w:tab/>
        <w:t>August 7, 2025</w:t>
      </w:r>
      <w:r>
        <w:rPr>
          <w:sz w:val="20"/>
          <w:szCs w:val="20"/>
          <w:color w:val="auto"/>
        </w:rPr>
        <w:tab/>
      </w:r>
      <w:r>
        <w:rPr>
          <w:rFonts w:ascii="Times New Roman" w:cs="Times New Roman" w:eastAsia="Times New Roman" w:hAnsi="Times New Roman"/>
          <w:sz w:val="17"/>
          <w:szCs w:val="17"/>
          <w:i w:val="1"/>
          <w:iCs w:val="1"/>
          <w:color w:val="auto"/>
        </w:rPr>
        <w:t>/s/ Kevin Coop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27305</wp:posOffset>
            </wp:positionV>
            <wp:extent cx="306006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3">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261"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Kevin Coop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-127635</wp:posOffset>
            </wp:positionV>
            <wp:extent cx="292290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4">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7"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Management 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Casey Heller, certify that:</w:t>
      </w:r>
    </w:p>
    <w:p>
      <w:pPr>
        <w:spacing w:after="0" w:line="225"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Definitive Healthcare Corp.;</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0" w:lineRule="exact"/>
        <w:rPr>
          <w:sz w:val="20"/>
          <w:szCs w:val="20"/>
          <w:color w:val="auto"/>
        </w:rPr>
      </w:pPr>
    </w:p>
    <w:p>
      <w:pPr>
        <w:spacing w:after="0"/>
        <w:tabs>
          <w:tab w:leader="none" w:pos="660" w:val="left"/>
          <w:tab w:leader="none" w:pos="6620" w:val="left"/>
        </w:tabs>
        <w:rPr>
          <w:sz w:val="20"/>
          <w:szCs w:val="20"/>
          <w:color w:val="auto"/>
        </w:rPr>
      </w:pPr>
      <w:r>
        <w:rPr>
          <w:rFonts w:ascii="Times New Roman" w:cs="Times New Roman" w:eastAsia="Times New Roman" w:hAnsi="Times New Roman"/>
          <w:sz w:val="18"/>
          <w:szCs w:val="18"/>
          <w:color w:val="auto"/>
        </w:rPr>
        <w:t>Date:</w:t>
        <w:tab/>
        <w:t>August 7, 2025</w:t>
      </w:r>
      <w:r>
        <w:rPr>
          <w:sz w:val="20"/>
          <w:szCs w:val="20"/>
          <w:color w:val="auto"/>
        </w:rPr>
        <w:tab/>
      </w:r>
      <w:r>
        <w:rPr>
          <w:rFonts w:ascii="Times New Roman" w:cs="Times New Roman" w:eastAsia="Times New Roman" w:hAnsi="Times New Roman"/>
          <w:sz w:val="17"/>
          <w:szCs w:val="17"/>
          <w:i w:val="1"/>
          <w:iCs w:val="1"/>
          <w:color w:val="auto"/>
        </w:rPr>
        <w:t>/s/ Casey Heller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27305</wp:posOffset>
            </wp:positionV>
            <wp:extent cx="313753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6">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261"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Casey Heller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-127635</wp:posOffset>
            </wp:positionV>
            <wp:extent cx="292290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7">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7"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3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on Form 10-Q of Definitive Healthcare Corp. (the “Company”) for the quarterly period ended June 30, 2025 as filed with the Securities and Exchange Commission on the date hereof (the “Report”), Kevin Coop, Chief Executive Officer of the Company, and Casey Heller, Chief Financial Officer of the Company, each hereby certifies, pursuant to the requirement set forth in Rule 13a-14(b) of the Securities Exchange Act of 1934, as amended, (the “Exchange Act”) and Section 1350 of Chapter 63 of Title 18 of the United States Code (18 U.S.C. § 1350), as adopted pursuant to § 906 of the Sarbanes-Oxley Act of 2002, that, to the best of their knowledge:</w:t>
      </w:r>
    </w:p>
    <w:p>
      <w:pPr>
        <w:spacing w:after="0" w:line="183"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7, 2025</w:t>
      </w:r>
    </w:p>
    <w:p>
      <w:pPr>
        <w:spacing w:after="0" w:line="25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/s/ Kevin Coop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27305</wp:posOffset>
            </wp:positionV>
            <wp:extent cx="284607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6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Kevin Coop</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7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/s/ Casey Heller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27305</wp:posOffset>
            </wp:positionV>
            <wp:extent cx="284607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0">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6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Casey Heller</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Definitive Healthcare Corp. under the Securities Act of 1933, as amended, or the Securities Exchange Act of 1934, as amended (whether made before or after the date of the Form 10-Q), irrespective of any general incorporation language contained in such filing.</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4" w:name="page65"/>
    <w:bookmarkEnd w:id="6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1)"/>
      <w:numFmt w:val="lowerLetter"/>
      <w:start w:val="1"/>
    </w:lvl>
  </w:abstractNum>
  <w:abstractNum w:abstractNumId="7">
    <w:nsid w:val="66EF438D"/>
    <w:multiLevelType w:val="hybridMultilevel"/>
    <w:lvl w:ilvl="0">
      <w:lvlJc w:val="left"/>
      <w:lvlText w:val="(%1)"/>
      <w:numFmt w:val="lowerRoman"/>
      <w:start w:val="2"/>
    </w:lvl>
  </w:abstractNum>
  <w:abstractNum w:abstractNumId="8">
    <w:nsid w:val="140E0F76"/>
    <w:multiLevelType w:val="hybridMultilevel"/>
    <w:lvl w:ilvl="0">
      <w:lvlJc w:val="left"/>
      <w:lvlText w:val="(%1)"/>
      <w:numFmt w:val="lowerLetter"/>
      <w:start w:val="1"/>
    </w:lvl>
  </w:abstractNum>
  <w:abstractNum w:abstractNumId="9">
    <w:nsid w:val="3352255A"/>
    <w:multiLevelType w:val="hybridMultilevel"/>
    <w:lvl w:ilvl="0">
      <w:lvlJc w:val="left"/>
      <w:lvlText w:val="(%1)"/>
      <w:numFmt w:val="lowerLetter"/>
      <w:start w:val="4"/>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04"/>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81" Type="http://schemas.openxmlformats.org/officeDocument/2006/relationships/image" Target="media/image372.png"/><Relationship Id="rId382" Type="http://schemas.openxmlformats.org/officeDocument/2006/relationships/image" Target="media/image373.png"/><Relationship Id="rId383" Type="http://schemas.openxmlformats.org/officeDocument/2006/relationships/image" Target="media/image374.png"/><Relationship Id="rId384" Type="http://schemas.openxmlformats.org/officeDocument/2006/relationships/image" Target="media/image375.png"/><Relationship Id="rId385" Type="http://schemas.openxmlformats.org/officeDocument/2006/relationships/image" Target="media/image376.png"/><Relationship Id="rId386" Type="http://schemas.openxmlformats.org/officeDocument/2006/relationships/image" Target="media/image377.png"/><Relationship Id="rId387" Type="http://schemas.openxmlformats.org/officeDocument/2006/relationships/image" Target="media/image378.png"/><Relationship Id="rId388" Type="http://schemas.openxmlformats.org/officeDocument/2006/relationships/image" Target="media/image379.png"/><Relationship Id="rId389" Type="http://schemas.openxmlformats.org/officeDocument/2006/relationships/image" Target="media/image380.png"/><Relationship Id="rId390" Type="http://schemas.openxmlformats.org/officeDocument/2006/relationships/image" Target="media/image381.png"/><Relationship Id="rId391" Type="http://schemas.openxmlformats.org/officeDocument/2006/relationships/image" Target="media/image382.png"/><Relationship Id="rId379" Type="http://schemas.openxmlformats.org/officeDocument/2006/relationships/hyperlink" Target="https://www.sec.gov/Archives/edgar/data/1861795/000095017021003484/dh-ex3_1.htm" TargetMode="External"/><Relationship Id="rId380" Type="http://schemas.openxmlformats.org/officeDocument/2006/relationships/hyperlink" Target="https://www.sec.gov/Archives/edgar/data/1861795/000095017021003484/dh-ex3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2025-08-07T15:35:57Z</dcterms:created>
  <dcterms:modified xsi:type="dcterms:W3CDTF">2025-08-07T15:35:57Z</dcterms:modified>
</cp:coreProperties>
</file>