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Lazorchak Carrie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DEFINITIVE HEALTHCARE CORP.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492 OLD CONNECTICUT PATH, SUITE 401</w:t>
      </w:r>
    </w:p>
    <w:p>
      <w:pPr>
        <w:spacing w:after="0" w:line="29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FRAMINGHAM MA</w:t>
            </w:r>
          </w:p>
        </w:tc>
        <w:tc>
          <w:tcPr>
            <w:tcW w:w="16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Definitive Healthcare Corp.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DH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Revenue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385,695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385,695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60" w:firstLine="7"/>
        <w:spacing w:after="0" w:line="250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("RSUs"), each representing a contingent right to receive one share of the Issuer's Class A Common Stock, par value $0.001. The RSUs vest over a four-year period, with 25% of the RSUs vesting on November 1, 2024, followed by quarterly vesting of 6.25% every three months thereafter over the subsequent three years, in each case subject to the Reporting Person's continued service with the Issuer through each such vesting date.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Matthew Ruderman,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0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attorney in fact</w:t>
            </w: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0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92970" TargetMode="External"/><Relationship Id="rId13" Type="http://schemas.openxmlformats.org/officeDocument/2006/relationships/hyperlink" Target="http://www.sec.gov/cgi-bin/browse-edgar?action=getcompany&amp;CIK=00018617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2023-11-03T15:44:15Z</dcterms:created>
  <dcterms:modified xsi:type="dcterms:W3CDTF">2023-11-03T15:44:15Z</dcterms:modified>
</cp:coreProperties>
</file>